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747" w:rsidRDefault="00043747" w:rsidP="00043747">
      <w:pPr>
        <w:spacing w:after="240" w:line="240" w:lineRule="auto"/>
        <w:jc w:val="center"/>
        <w:rPr>
          <w:b/>
        </w:rPr>
      </w:pPr>
      <w:r w:rsidRPr="00A86767">
        <w:rPr>
          <w:b/>
        </w:rPr>
        <w:t xml:space="preserve">ORDINARY LEGISLATIVE PROCEDURE </w:t>
      </w:r>
      <w:r>
        <w:rPr>
          <w:b/>
        </w:rPr>
        <w:t>–</w:t>
      </w:r>
      <w:r w:rsidRPr="00A86767">
        <w:rPr>
          <w:b/>
        </w:rPr>
        <w:t xml:space="preserve"> </w:t>
      </w:r>
      <w:r>
        <w:rPr>
          <w:b/>
        </w:rPr>
        <w:t xml:space="preserve">first </w:t>
      </w:r>
      <w:r w:rsidRPr="00A86767">
        <w:rPr>
          <w:b/>
        </w:rPr>
        <w:t>reading</w:t>
      </w:r>
    </w:p>
    <w:p w:rsidR="00043747" w:rsidRPr="002B508D" w:rsidRDefault="00043747" w:rsidP="00043747">
      <w:pPr>
        <w:pStyle w:val="Header"/>
        <w:spacing w:after="600"/>
        <w:jc w:val="center"/>
        <w:rPr>
          <w:b/>
          <w:lang w:val="en-US"/>
        </w:rPr>
      </w:pPr>
      <w:proofErr w:type="gramStart"/>
      <w:r w:rsidRPr="002B508D">
        <w:rPr>
          <w:b/>
          <w:lang w:val="en-GB"/>
        </w:rPr>
        <w:t>Follow-up to the</w:t>
      </w:r>
      <w:r w:rsidRPr="002B508D">
        <w:rPr>
          <w:b/>
          <w:szCs w:val="24"/>
          <w:lang w:val="en-GB"/>
        </w:rPr>
        <w:t xml:space="preserve"> </w:t>
      </w:r>
      <w:r w:rsidRPr="002B508D">
        <w:rPr>
          <w:b/>
          <w:lang w:val="en-GB"/>
        </w:rPr>
        <w:t>European Parliament legislative resolution</w:t>
      </w:r>
      <w:r>
        <w:rPr>
          <w:b/>
          <w:lang w:val="en-GB"/>
        </w:rPr>
        <w:t>s</w:t>
      </w:r>
      <w:r w:rsidRPr="002B508D">
        <w:rPr>
          <w:b/>
          <w:lang w:val="en-GB"/>
        </w:rPr>
        <w:t xml:space="preserve"> of 2</w:t>
      </w:r>
      <w:r>
        <w:rPr>
          <w:b/>
          <w:lang w:val="en-GB"/>
        </w:rPr>
        <w:t>5</w:t>
      </w:r>
      <w:r w:rsidRPr="002B508D">
        <w:rPr>
          <w:b/>
          <w:lang w:val="en-GB"/>
        </w:rPr>
        <w:t xml:space="preserve"> October 2017 on</w:t>
      </w:r>
      <w:r>
        <w:rPr>
          <w:b/>
          <w:lang w:val="en-GB"/>
        </w:rPr>
        <w:t>:</w:t>
      </w:r>
      <w:r w:rsidRPr="002B508D">
        <w:rPr>
          <w:b/>
          <w:lang w:val="en-GB"/>
        </w:rPr>
        <w:t xml:space="preserve"> </w:t>
      </w:r>
      <w:r>
        <w:rPr>
          <w:b/>
          <w:lang w:val="en-GB"/>
        </w:rPr>
        <w:br/>
      </w:r>
      <w:r w:rsidRPr="002B508D">
        <w:rPr>
          <w:b/>
          <w:szCs w:val="24"/>
          <w:lang w:val="en-US"/>
        </w:rPr>
        <w:t>1)</w:t>
      </w:r>
      <w:r w:rsidRPr="002B508D">
        <w:rPr>
          <w:lang w:val="en-US"/>
        </w:rPr>
        <w:t xml:space="preserve"> </w:t>
      </w:r>
      <w:r w:rsidRPr="002B508D">
        <w:rPr>
          <w:b/>
          <w:lang w:val="en-US"/>
        </w:rPr>
        <w:t xml:space="preserve">the proposal for a </w:t>
      </w:r>
      <w:r>
        <w:rPr>
          <w:b/>
          <w:lang w:val="en-US"/>
        </w:rPr>
        <w:t>R</w:t>
      </w:r>
      <w:r w:rsidRPr="002B508D">
        <w:rPr>
          <w:b/>
          <w:lang w:val="en-US"/>
        </w:rPr>
        <w:t>egulation of the European Parliament and of the Council establishing an Entry/</w:t>
      </w:r>
      <w:r>
        <w:rPr>
          <w:b/>
          <w:lang w:val="en-US"/>
        </w:rPr>
        <w:t xml:space="preserve"> </w:t>
      </w:r>
      <w:r w:rsidRPr="002B508D">
        <w:rPr>
          <w:b/>
          <w:lang w:val="en-US"/>
        </w:rPr>
        <w:t>Exit System (EES) to register entry and exit data and refusal of entry data of third country nationals crossing the external borders of the Member States of the European Union and determining the conditions for access to the EES for law enforcement purposes and amending Regulation (EC) No 767/2008 and Regulation (EU) No 1077/2011</w:t>
      </w:r>
      <w:r>
        <w:rPr>
          <w:b/>
          <w:lang w:val="en-US"/>
        </w:rPr>
        <w:br/>
        <w:t xml:space="preserve">2) </w:t>
      </w:r>
      <w:r w:rsidRPr="002B508D">
        <w:rPr>
          <w:b/>
          <w:lang w:val="en-US"/>
        </w:rPr>
        <w:t xml:space="preserve">the proposal for a </w:t>
      </w:r>
      <w:r>
        <w:rPr>
          <w:b/>
          <w:lang w:val="en-US"/>
        </w:rPr>
        <w:t>R</w:t>
      </w:r>
      <w:r w:rsidRPr="002B508D">
        <w:rPr>
          <w:b/>
          <w:lang w:val="en-US"/>
        </w:rPr>
        <w:t>egulation of the European Parliament and of the Council amending Regulation (EU) 2016/399 as regards the use of the Entry/</w:t>
      </w:r>
      <w:r>
        <w:rPr>
          <w:b/>
          <w:lang w:val="en-US"/>
        </w:rPr>
        <w:t xml:space="preserve"> </w:t>
      </w:r>
      <w:r w:rsidRPr="002B508D">
        <w:rPr>
          <w:b/>
          <w:lang w:val="en-US"/>
        </w:rPr>
        <w:t>Exit System</w:t>
      </w:r>
      <w:proofErr w:type="gramEnd"/>
    </w:p>
    <w:p w:rsidR="00043747" w:rsidRPr="00043747" w:rsidRDefault="00043747" w:rsidP="00043747">
      <w:pPr>
        <w:spacing w:after="600"/>
        <w:jc w:val="center"/>
        <w:rPr>
          <w:b/>
          <w:szCs w:val="24"/>
          <w:lang w:val="es-ES_tradnl"/>
        </w:rPr>
      </w:pPr>
      <w:r w:rsidRPr="00043747">
        <w:rPr>
          <w:b/>
          <w:lang w:val="es-ES_tradnl"/>
        </w:rPr>
        <w:t>2016/0106 (COD) and 2016/0105 (COD)</w:t>
      </w:r>
    </w:p>
    <w:p w:rsidR="00043747" w:rsidRPr="00043747" w:rsidRDefault="00043747" w:rsidP="00043747">
      <w:pPr>
        <w:spacing w:after="240" w:line="240" w:lineRule="auto"/>
        <w:ind w:left="709" w:hanging="709"/>
        <w:jc w:val="both"/>
        <w:rPr>
          <w:lang w:val="es-ES_tradnl"/>
        </w:rPr>
      </w:pPr>
      <w:r w:rsidRPr="00043747">
        <w:rPr>
          <w:b/>
          <w:lang w:val="es-ES_tradnl"/>
        </w:rPr>
        <w:t>1.</w:t>
      </w:r>
      <w:r w:rsidRPr="00043747">
        <w:rPr>
          <w:b/>
          <w:lang w:val="es-ES_tradnl"/>
        </w:rPr>
        <w:tab/>
      </w:r>
      <w:proofErr w:type="spellStart"/>
      <w:r w:rsidRPr="00043747">
        <w:rPr>
          <w:b/>
          <w:lang w:val="es-ES_tradnl"/>
        </w:rPr>
        <w:t>Rapporteur</w:t>
      </w:r>
      <w:proofErr w:type="spellEnd"/>
      <w:r w:rsidRPr="00043747">
        <w:rPr>
          <w:b/>
          <w:lang w:val="es-ES_tradnl"/>
        </w:rPr>
        <w:t xml:space="preserve">: </w:t>
      </w:r>
      <w:r w:rsidRPr="00043747">
        <w:rPr>
          <w:lang w:val="es-ES_tradnl"/>
        </w:rPr>
        <w:t>Agustín DÍAZ DE MERA GARCÍA CONSUEGRA (EPP/ES)</w:t>
      </w:r>
    </w:p>
    <w:p w:rsidR="00043747" w:rsidRPr="002B508D" w:rsidRDefault="00043747" w:rsidP="00043747">
      <w:pPr>
        <w:spacing w:after="240" w:line="240" w:lineRule="auto"/>
        <w:ind w:left="709" w:hanging="709"/>
        <w:jc w:val="both"/>
        <w:rPr>
          <w:lang w:val="en-US"/>
        </w:rPr>
      </w:pPr>
      <w:r w:rsidRPr="003206F9">
        <w:rPr>
          <w:b/>
        </w:rPr>
        <w:t>2.</w:t>
      </w:r>
      <w:r w:rsidRPr="003206F9">
        <w:rPr>
          <w:b/>
        </w:rPr>
        <w:tab/>
        <w:t>EP reference number</w:t>
      </w:r>
      <w:r>
        <w:rPr>
          <w:b/>
        </w:rPr>
        <w:t>s</w:t>
      </w:r>
      <w:r w:rsidRPr="003206F9">
        <w:rPr>
          <w:b/>
        </w:rPr>
        <w:t xml:space="preserve">: </w:t>
      </w:r>
      <w:r w:rsidRPr="00EA208E">
        <w:t>A8-0057/2017</w:t>
      </w:r>
      <w:r w:rsidRPr="00BA7E94">
        <w:t xml:space="preserve"> </w:t>
      </w:r>
      <w:r>
        <w:t xml:space="preserve">and </w:t>
      </w:r>
      <w:r w:rsidRPr="00524955">
        <w:rPr>
          <w:color w:val="000000"/>
          <w:szCs w:val="24"/>
        </w:rPr>
        <w:t>A8-0059/2017</w:t>
      </w:r>
      <w:r w:rsidRPr="00524955">
        <w:rPr>
          <w:szCs w:val="24"/>
        </w:rPr>
        <w:t xml:space="preserve"> </w:t>
      </w:r>
      <w:r>
        <w:t xml:space="preserve">/ </w:t>
      </w:r>
      <w:r w:rsidRPr="002B508D">
        <w:rPr>
          <w:rStyle w:val="contents"/>
          <w:lang w:val="en-US"/>
        </w:rPr>
        <w:t>P8_TA-</w:t>
      </w:r>
      <w:proofErr w:type="gramStart"/>
      <w:r w:rsidRPr="002B508D">
        <w:rPr>
          <w:rStyle w:val="contents"/>
          <w:lang w:val="en-US"/>
        </w:rPr>
        <w:t>PROV(</w:t>
      </w:r>
      <w:proofErr w:type="gramEnd"/>
      <w:r w:rsidRPr="002B508D">
        <w:rPr>
          <w:rStyle w:val="contents"/>
          <w:lang w:val="en-US"/>
        </w:rPr>
        <w:t xml:space="preserve">2017)0411 </w:t>
      </w:r>
      <w:r>
        <w:rPr>
          <w:rStyle w:val="contents"/>
          <w:lang w:val="en-US"/>
        </w:rPr>
        <w:t xml:space="preserve">and </w:t>
      </w:r>
      <w:r w:rsidRPr="002B508D">
        <w:rPr>
          <w:rStyle w:val="contents"/>
          <w:lang w:val="en-US"/>
        </w:rPr>
        <w:t>P8_TA-PROV(2017)0412</w:t>
      </w:r>
    </w:p>
    <w:p w:rsidR="00043747" w:rsidRPr="001E6999" w:rsidRDefault="00043747" w:rsidP="00043747">
      <w:pPr>
        <w:spacing w:after="240" w:line="240" w:lineRule="auto"/>
        <w:ind w:left="709" w:hanging="709"/>
        <w:jc w:val="both"/>
      </w:pPr>
      <w:r w:rsidRPr="00C136EC">
        <w:rPr>
          <w:b/>
        </w:rPr>
        <w:t>3</w:t>
      </w:r>
      <w:r>
        <w:rPr>
          <w:b/>
        </w:rPr>
        <w:t>.</w:t>
      </w:r>
      <w:r>
        <w:rPr>
          <w:b/>
        </w:rPr>
        <w:tab/>
      </w:r>
      <w:r w:rsidRPr="00C136EC">
        <w:rPr>
          <w:b/>
        </w:rPr>
        <w:t xml:space="preserve">Date of adoption of the </w:t>
      </w:r>
      <w:r>
        <w:rPr>
          <w:b/>
        </w:rPr>
        <w:t>resolutions</w:t>
      </w:r>
      <w:r w:rsidRPr="00C136EC">
        <w:rPr>
          <w:b/>
        </w:rPr>
        <w:t>:</w:t>
      </w:r>
      <w:r>
        <w:rPr>
          <w:b/>
        </w:rPr>
        <w:t xml:space="preserve"> </w:t>
      </w:r>
      <w:r>
        <w:t>25 October 2017</w:t>
      </w:r>
    </w:p>
    <w:p w:rsidR="00043747" w:rsidRPr="00BB573A" w:rsidRDefault="00043747" w:rsidP="00043747">
      <w:pPr>
        <w:shd w:val="clear" w:color="auto" w:fill="FBFBFB"/>
        <w:spacing w:after="240" w:line="240" w:lineRule="auto"/>
        <w:ind w:left="709" w:hanging="709"/>
        <w:jc w:val="both"/>
        <w:rPr>
          <w:szCs w:val="24"/>
          <w:lang w:val="en"/>
        </w:rPr>
      </w:pPr>
      <w:r w:rsidRPr="00C136EC">
        <w:rPr>
          <w:b/>
        </w:rPr>
        <w:t>4</w:t>
      </w:r>
      <w:r>
        <w:rPr>
          <w:b/>
        </w:rPr>
        <w:t>.</w:t>
      </w:r>
      <w:r>
        <w:rPr>
          <w:b/>
        </w:rPr>
        <w:tab/>
      </w:r>
      <w:r w:rsidRPr="00C136EC">
        <w:rPr>
          <w:b/>
        </w:rPr>
        <w:t>Subject:</w:t>
      </w:r>
      <w:r>
        <w:rPr>
          <w:b/>
        </w:rPr>
        <w:t xml:space="preserve"> </w:t>
      </w:r>
      <w:r w:rsidRPr="002732F4">
        <w:t xml:space="preserve">The </w:t>
      </w:r>
      <w:r>
        <w:t xml:space="preserve">two proposals were presented simultaneously: 1) </w:t>
      </w:r>
      <w:proofErr w:type="gramStart"/>
      <w:r>
        <w:t>The</w:t>
      </w:r>
      <w:proofErr w:type="gramEnd"/>
      <w:r>
        <w:t xml:space="preserve"> </w:t>
      </w:r>
      <w:r w:rsidRPr="002732F4">
        <w:t xml:space="preserve">proposed </w:t>
      </w:r>
      <w:r>
        <w:t>R</w:t>
      </w:r>
      <w:r w:rsidRPr="002732F4">
        <w:t xml:space="preserve">egulation </w:t>
      </w:r>
      <w:r>
        <w:t xml:space="preserve">on the </w:t>
      </w:r>
      <w:r w:rsidRPr="002878D5">
        <w:t>Entry/ Exit System</w:t>
      </w:r>
      <w:r w:rsidRPr="002732F4">
        <w:t xml:space="preserve"> is a revised version of a legislative package presented by the Commission in February 2013. After the co-legislators voiced technical, financial and operation concerns on certain aspects of the 2013 package, the Commission carried out a technical study</w:t>
      </w:r>
      <w:r w:rsidRPr="00BB573A">
        <w:t xml:space="preserve">, followed by a pilot project entrusted to </w:t>
      </w:r>
      <w:proofErr w:type="spellStart"/>
      <w:r w:rsidRPr="00BB573A">
        <w:t>eu</w:t>
      </w:r>
      <w:proofErr w:type="spellEnd"/>
      <w:r w:rsidRPr="00BB573A">
        <w:t>-LISA, the EU agency for the operational management of large</w:t>
      </w:r>
      <w:r>
        <w:t>-</w:t>
      </w:r>
      <w:r w:rsidRPr="00BB573A">
        <w:t xml:space="preserve">scale IT systems. </w:t>
      </w:r>
      <w:proofErr w:type="gramStart"/>
      <w:r w:rsidRPr="00BB573A">
        <w:t>On the basis of</w:t>
      </w:r>
      <w:proofErr w:type="gramEnd"/>
      <w:r w:rsidRPr="00BB573A">
        <w:t xml:space="preserve"> the results of this preparatory phase, the Commission presented a revised proposal on 6 April 2016. 2) The </w:t>
      </w:r>
      <w:r w:rsidRPr="00BB573A">
        <w:rPr>
          <w:szCs w:val="24"/>
        </w:rPr>
        <w:t xml:space="preserve">proposal to amend Regulation on the Schengen Borders Code aims to amend the said Regulation in view of the </w:t>
      </w:r>
      <w:hyperlink r:id="rId4" w:history="1">
        <w:r w:rsidRPr="00BB573A">
          <w:rPr>
            <w:szCs w:val="24"/>
          </w:rPr>
          <w:t>proposed establishment of an Entry</w:t>
        </w:r>
        <w:r>
          <w:rPr>
            <w:szCs w:val="24"/>
          </w:rPr>
          <w:t xml:space="preserve">/ </w:t>
        </w:r>
        <w:r w:rsidRPr="00BB573A">
          <w:rPr>
            <w:szCs w:val="24"/>
          </w:rPr>
          <w:t>Exit System</w:t>
        </w:r>
      </w:hyperlink>
      <w:r w:rsidRPr="00BB573A">
        <w:rPr>
          <w:szCs w:val="24"/>
        </w:rPr>
        <w:t>.</w:t>
      </w:r>
    </w:p>
    <w:p w:rsidR="00043747" w:rsidRPr="002732F4" w:rsidRDefault="00043747" w:rsidP="00043747">
      <w:pPr>
        <w:spacing w:after="240" w:line="240" w:lineRule="auto"/>
        <w:ind w:left="709"/>
        <w:jc w:val="both"/>
      </w:pPr>
      <w:r w:rsidRPr="002732F4">
        <w:t xml:space="preserve">The Entry-Exit System will record information on the time and place of entry and exit of third country nationals entering the Schengen area to improve external border management, prevent irregular migration, facilitate the management of migration and enhance internal security. It is one of the priority files identified in the Joint Declaration on legislative priorities for 2017 and </w:t>
      </w:r>
      <w:proofErr w:type="gramStart"/>
      <w:r w:rsidRPr="002732F4">
        <w:t>is closely linked</w:t>
      </w:r>
      <w:proofErr w:type="gramEnd"/>
      <w:r w:rsidRPr="002732F4">
        <w:t xml:space="preserve"> with </w:t>
      </w:r>
      <w:r>
        <w:t xml:space="preserve">the </w:t>
      </w:r>
      <w:r w:rsidRPr="002732F4">
        <w:t>European Travel Information Authorisation System</w:t>
      </w:r>
      <w:r>
        <w:t xml:space="preserve"> – </w:t>
      </w:r>
      <w:r w:rsidRPr="002732F4">
        <w:t>another priority legislative proposal included in the Joint Declaration.</w:t>
      </w:r>
    </w:p>
    <w:p w:rsidR="00043747" w:rsidRPr="00BA7E94" w:rsidRDefault="00043747" w:rsidP="00043747">
      <w:pPr>
        <w:spacing w:after="240" w:line="240" w:lineRule="auto"/>
        <w:ind w:left="709" w:hanging="709"/>
        <w:jc w:val="both"/>
      </w:pPr>
      <w:r w:rsidRPr="00C136EC">
        <w:rPr>
          <w:b/>
        </w:rPr>
        <w:t>5</w:t>
      </w:r>
      <w:r>
        <w:rPr>
          <w:b/>
        </w:rPr>
        <w:t>.</w:t>
      </w:r>
      <w:r>
        <w:rPr>
          <w:b/>
        </w:rPr>
        <w:tab/>
      </w:r>
      <w:proofErr w:type="spellStart"/>
      <w:r w:rsidRPr="00C136EC">
        <w:rPr>
          <w:b/>
        </w:rPr>
        <w:t>Interinstitutional</w:t>
      </w:r>
      <w:proofErr w:type="spellEnd"/>
      <w:r w:rsidRPr="00C136EC">
        <w:rPr>
          <w:b/>
        </w:rPr>
        <w:t xml:space="preserve"> reference</w:t>
      </w:r>
      <w:r>
        <w:rPr>
          <w:b/>
        </w:rPr>
        <w:t xml:space="preserve"> numbers</w:t>
      </w:r>
      <w:r w:rsidRPr="00C136EC">
        <w:rPr>
          <w:b/>
        </w:rPr>
        <w:t>:</w:t>
      </w:r>
      <w:r>
        <w:rPr>
          <w:b/>
        </w:rPr>
        <w:t xml:space="preserve"> </w:t>
      </w:r>
      <w:r w:rsidRPr="00EA208E">
        <w:t>2016/0106</w:t>
      </w:r>
      <w:r>
        <w:t> </w:t>
      </w:r>
      <w:r w:rsidRPr="00EA208E">
        <w:t>(COD)</w:t>
      </w:r>
      <w:r>
        <w:t xml:space="preserve"> </w:t>
      </w:r>
      <w:r w:rsidRPr="00BA7E94">
        <w:t>and 2016/0105 (COD)</w:t>
      </w:r>
    </w:p>
    <w:p w:rsidR="00043747" w:rsidRPr="00417B79" w:rsidRDefault="00043747" w:rsidP="00043747">
      <w:pPr>
        <w:spacing w:after="240" w:line="240" w:lineRule="auto"/>
        <w:ind w:left="709" w:hanging="709"/>
        <w:jc w:val="both"/>
      </w:pPr>
      <w:r w:rsidRPr="00C136EC">
        <w:rPr>
          <w:b/>
        </w:rPr>
        <w:t>6</w:t>
      </w:r>
      <w:r>
        <w:rPr>
          <w:b/>
        </w:rPr>
        <w:t>.</w:t>
      </w:r>
      <w:r>
        <w:rPr>
          <w:b/>
        </w:rPr>
        <w:tab/>
      </w:r>
      <w:r w:rsidRPr="00C136EC">
        <w:rPr>
          <w:b/>
        </w:rPr>
        <w:t>Legal basis:</w:t>
      </w:r>
      <w:r>
        <w:rPr>
          <w:b/>
        </w:rPr>
        <w:t xml:space="preserve"> </w:t>
      </w:r>
      <w:r w:rsidRPr="00993DB5">
        <w:t xml:space="preserve">Article </w:t>
      </w:r>
      <w:r w:rsidRPr="00417B79">
        <w:rPr>
          <w:sz w:val="23"/>
          <w:szCs w:val="23"/>
        </w:rPr>
        <w:t>77(2</w:t>
      </w:r>
      <w:proofErr w:type="gramStart"/>
      <w:r w:rsidRPr="00417B79">
        <w:rPr>
          <w:sz w:val="23"/>
          <w:szCs w:val="23"/>
        </w:rPr>
        <w:t>)(</w:t>
      </w:r>
      <w:proofErr w:type="gramEnd"/>
      <w:r w:rsidRPr="00417B79">
        <w:rPr>
          <w:sz w:val="23"/>
          <w:szCs w:val="23"/>
        </w:rPr>
        <w:t>b) and (d)</w:t>
      </w:r>
      <w:r>
        <w:rPr>
          <w:sz w:val="23"/>
          <w:szCs w:val="23"/>
        </w:rPr>
        <w:t>,</w:t>
      </w:r>
      <w:r w:rsidRPr="00417B79">
        <w:rPr>
          <w:sz w:val="23"/>
          <w:szCs w:val="23"/>
        </w:rPr>
        <w:t xml:space="preserve"> </w:t>
      </w:r>
      <w:r w:rsidRPr="002B508D">
        <w:rPr>
          <w:lang w:val="en-US"/>
        </w:rPr>
        <w:t xml:space="preserve">Article 87(2)(a) and Article 88(22)(a) </w:t>
      </w:r>
      <w:r w:rsidRPr="00417B79">
        <w:rPr>
          <w:sz w:val="23"/>
          <w:szCs w:val="23"/>
        </w:rPr>
        <w:t>of the Treaty on the Functioning of the European Union</w:t>
      </w:r>
    </w:p>
    <w:p w:rsidR="00043747" w:rsidRPr="00B36ABD" w:rsidRDefault="00043747" w:rsidP="00043747">
      <w:pPr>
        <w:spacing w:after="240" w:line="240" w:lineRule="auto"/>
        <w:ind w:left="709" w:hanging="709"/>
        <w:jc w:val="both"/>
      </w:pPr>
      <w:r w:rsidRPr="00C136EC">
        <w:rPr>
          <w:b/>
        </w:rPr>
        <w:t>7</w:t>
      </w:r>
      <w:r>
        <w:rPr>
          <w:b/>
        </w:rPr>
        <w:t>.</w:t>
      </w:r>
      <w:r>
        <w:rPr>
          <w:b/>
        </w:rPr>
        <w:tab/>
      </w:r>
      <w:r w:rsidRPr="00C136EC">
        <w:rPr>
          <w:b/>
        </w:rPr>
        <w:t xml:space="preserve">Competent </w:t>
      </w:r>
      <w:r>
        <w:rPr>
          <w:b/>
        </w:rPr>
        <w:t>P</w:t>
      </w:r>
      <w:r w:rsidRPr="00C136EC">
        <w:rPr>
          <w:b/>
        </w:rPr>
        <w:t xml:space="preserve">arliamentary </w:t>
      </w:r>
      <w:r>
        <w:rPr>
          <w:b/>
        </w:rPr>
        <w:t>C</w:t>
      </w:r>
      <w:r w:rsidRPr="00C136EC">
        <w:rPr>
          <w:b/>
        </w:rPr>
        <w:t>ommittee:</w:t>
      </w:r>
      <w:r>
        <w:rPr>
          <w:b/>
        </w:rPr>
        <w:t xml:space="preserve"> </w:t>
      </w:r>
      <w:r w:rsidRPr="00B36ABD">
        <w:t xml:space="preserve">Committee on Civil Liberties, Justice and Home </w:t>
      </w:r>
      <w:r>
        <w:t>A</w:t>
      </w:r>
      <w:r w:rsidRPr="00B36ABD">
        <w:t>ffairs (LIBE)</w:t>
      </w:r>
    </w:p>
    <w:p w:rsidR="00043747" w:rsidRPr="006557D1" w:rsidRDefault="00043747" w:rsidP="00043747">
      <w:pPr>
        <w:spacing w:after="240" w:line="240" w:lineRule="auto"/>
        <w:ind w:left="709" w:hanging="709"/>
        <w:jc w:val="both"/>
      </w:pPr>
      <w:r w:rsidRPr="009D1F23">
        <w:rPr>
          <w:b/>
        </w:rPr>
        <w:t>8</w:t>
      </w:r>
      <w:r>
        <w:rPr>
          <w:b/>
        </w:rPr>
        <w:t>.</w:t>
      </w:r>
      <w:r>
        <w:rPr>
          <w:b/>
        </w:rPr>
        <w:tab/>
      </w:r>
      <w:r w:rsidRPr="009D1F23">
        <w:rPr>
          <w:b/>
        </w:rPr>
        <w:t>Commission</w:t>
      </w:r>
      <w:r>
        <w:rPr>
          <w:b/>
        </w:rPr>
        <w:t>'</w:t>
      </w:r>
      <w:r w:rsidRPr="009D1F23">
        <w:rPr>
          <w:b/>
        </w:rPr>
        <w:t>s position:</w:t>
      </w:r>
      <w:r>
        <w:rPr>
          <w:b/>
        </w:rPr>
        <w:t xml:space="preserve"> </w:t>
      </w:r>
      <w:r w:rsidRPr="00524955">
        <w:t>The</w:t>
      </w:r>
      <w:r>
        <w:rPr>
          <w:b/>
        </w:rPr>
        <w:t xml:space="preserve"> </w:t>
      </w:r>
      <w:r w:rsidRPr="006557D1">
        <w:t>Commission can accept all the amendme</w:t>
      </w:r>
      <w:r>
        <w:t>nts</w:t>
      </w:r>
      <w:r w:rsidRPr="00E013B0">
        <w:t>, for th</w:t>
      </w:r>
      <w:r>
        <w:t>e sake of an overall agreement, on both proposals.</w:t>
      </w:r>
    </w:p>
    <w:p w:rsidR="00043747" w:rsidRPr="00E51459" w:rsidRDefault="00043747" w:rsidP="00043747">
      <w:pPr>
        <w:spacing w:after="240" w:line="240" w:lineRule="auto"/>
        <w:ind w:left="709" w:hanging="709"/>
        <w:jc w:val="both"/>
      </w:pPr>
      <w:r w:rsidRPr="009D1F23">
        <w:rPr>
          <w:b/>
        </w:rPr>
        <w:lastRenderedPageBreak/>
        <w:t>9</w:t>
      </w:r>
      <w:r>
        <w:rPr>
          <w:b/>
        </w:rPr>
        <w:t>.</w:t>
      </w:r>
      <w:r>
        <w:rPr>
          <w:b/>
        </w:rPr>
        <w:tab/>
      </w:r>
      <w:r w:rsidRPr="009D1F23">
        <w:rPr>
          <w:b/>
        </w:rPr>
        <w:t>Outlook for amendment of the proposal</w:t>
      </w:r>
      <w:r>
        <w:rPr>
          <w:b/>
        </w:rPr>
        <w:t>s</w:t>
      </w:r>
      <w:r w:rsidRPr="009D1F23">
        <w:rPr>
          <w:b/>
        </w:rPr>
        <w:t>:</w:t>
      </w:r>
      <w:r>
        <w:rPr>
          <w:b/>
        </w:rPr>
        <w:t xml:space="preserve"> </w:t>
      </w:r>
      <w:r w:rsidRPr="006557D1">
        <w:rPr>
          <w:color w:val="000000"/>
        </w:rPr>
        <w:t>There is no need for formal modified proposal</w:t>
      </w:r>
      <w:r>
        <w:rPr>
          <w:color w:val="000000"/>
        </w:rPr>
        <w:t>s</w:t>
      </w:r>
      <w:r w:rsidRPr="006557D1">
        <w:rPr>
          <w:color w:val="000000"/>
        </w:rPr>
        <w:t>, as there is already agreement between the European Parliament and Council, endorsed by the Commission</w:t>
      </w:r>
      <w:r>
        <w:rPr>
          <w:color w:val="000000"/>
        </w:rPr>
        <w:t>.</w:t>
      </w:r>
    </w:p>
    <w:p w:rsidR="00043747" w:rsidRDefault="00043747" w:rsidP="00043747">
      <w:pPr>
        <w:spacing w:after="240" w:line="240" w:lineRule="auto"/>
        <w:ind w:left="709" w:hanging="709"/>
        <w:jc w:val="both"/>
      </w:pPr>
      <w:r w:rsidRPr="009D1F23">
        <w:rPr>
          <w:b/>
        </w:rPr>
        <w:t>10</w:t>
      </w:r>
      <w:r>
        <w:rPr>
          <w:b/>
        </w:rPr>
        <w:t>.</w:t>
      </w:r>
      <w:r>
        <w:rPr>
          <w:b/>
        </w:rPr>
        <w:tab/>
      </w:r>
      <w:r w:rsidRPr="009D1F23">
        <w:rPr>
          <w:b/>
        </w:rPr>
        <w:t xml:space="preserve">Outlook for the adoption of </w:t>
      </w:r>
      <w:r>
        <w:rPr>
          <w:b/>
        </w:rPr>
        <w:t xml:space="preserve">Council's </w:t>
      </w:r>
      <w:r w:rsidRPr="009D1F23">
        <w:rPr>
          <w:b/>
        </w:rPr>
        <w:t>position:</w:t>
      </w:r>
      <w:r>
        <w:rPr>
          <w:b/>
        </w:rPr>
        <w:t xml:space="preserve"> </w:t>
      </w:r>
      <w:r w:rsidRPr="00DC0EAA">
        <w:t xml:space="preserve">The Council </w:t>
      </w:r>
      <w:r>
        <w:t xml:space="preserve">adopted the two Regulations </w:t>
      </w:r>
      <w:r w:rsidRPr="00823AF4">
        <w:t xml:space="preserve">on </w:t>
      </w:r>
      <w:r w:rsidRPr="00BB573A">
        <w:t>20</w:t>
      </w:r>
      <w:r>
        <w:t> </w:t>
      </w:r>
      <w:r w:rsidRPr="00BB573A">
        <w:t>November</w:t>
      </w:r>
      <w:r>
        <w:t> </w:t>
      </w:r>
      <w:r w:rsidRPr="00DC0EAA">
        <w:t>2017.</w:t>
      </w:r>
    </w:p>
    <w:p w:rsidR="00EA1173" w:rsidRDefault="00EA1173">
      <w:bookmarkStart w:id="0" w:name="_GoBack"/>
      <w:bookmarkEnd w:id="0"/>
    </w:p>
    <w:sectPr w:rsidR="00EA11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747"/>
    <w:rsid w:val="00043747"/>
    <w:rsid w:val="00EA1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48AAF-F17B-48FD-95E3-D39D1AA8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3747"/>
    <w:pPr>
      <w:tabs>
        <w:tab w:val="center" w:pos="4153"/>
        <w:tab w:val="right" w:pos="8306"/>
      </w:tabs>
      <w:spacing w:after="0" w:line="240" w:lineRule="atLeast"/>
    </w:pPr>
    <w:rPr>
      <w:rFonts w:ascii="Times New Roman" w:eastAsia="Times New Roman" w:hAnsi="Times New Roman" w:cs="Times New Roman"/>
      <w:sz w:val="24"/>
      <w:szCs w:val="20"/>
      <w:lang w:val="fr-BE" w:eastAsia="en-GB"/>
    </w:rPr>
  </w:style>
  <w:style w:type="character" w:customStyle="1" w:styleId="HeaderChar">
    <w:name w:val="Header Char"/>
    <w:basedOn w:val="DefaultParagraphFont"/>
    <w:link w:val="Header"/>
    <w:rsid w:val="00043747"/>
    <w:rPr>
      <w:rFonts w:ascii="Times New Roman" w:eastAsia="Times New Roman" w:hAnsi="Times New Roman" w:cs="Times New Roman"/>
      <w:sz w:val="24"/>
      <w:szCs w:val="20"/>
      <w:lang w:val="fr-BE" w:eastAsia="en-GB"/>
    </w:rPr>
  </w:style>
  <w:style w:type="character" w:customStyle="1" w:styleId="contents">
    <w:name w:val="contents"/>
    <w:basedOn w:val="DefaultParagraphFont"/>
    <w:rsid w:val="00043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uroparl.europa.eu/oeil/popups/ficheprocedure.do?reference=2016/0106(COD)&am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3DCEDB00</Template>
  <TotalTime>0</TotalTime>
  <Pages>2</Pages>
  <Words>468</Words>
  <Characters>2674</Characters>
  <Application>Microsoft Office Word</Application>
  <DocSecurity>0</DocSecurity>
  <Lines>22</Lines>
  <Paragraphs>6</Paragraphs>
  <ScaleCrop>false</ScaleCrop>
  <Company>European Parliament</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BALAJKOVA Tatiana</dc:creator>
  <cp:keywords/>
  <dc:description/>
  <cp:lastModifiedBy>BALAJKOVA Tatiana</cp:lastModifiedBy>
  <cp:revision>1</cp:revision>
  <dcterms:created xsi:type="dcterms:W3CDTF">2018-01-24T14:49:00Z</dcterms:created>
  <dcterms:modified xsi:type="dcterms:W3CDTF">2018-01-24T14:54:00Z</dcterms:modified>
</cp:coreProperties>
</file>