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9E" w:rsidRPr="00AA629E" w:rsidRDefault="00AA629E" w:rsidP="00AA629E">
      <w:pPr>
        <w:spacing w:after="240"/>
        <w:jc w:val="center"/>
        <w:rPr>
          <w:rFonts w:eastAsia="Times New Roman"/>
          <w:szCs w:val="20"/>
          <w:lang w:eastAsia="en-GB"/>
        </w:rPr>
      </w:pPr>
      <w:bookmarkStart w:id="0" w:name="TURCANU"/>
      <w:r w:rsidRPr="00AA629E">
        <w:rPr>
          <w:rFonts w:eastAsia="Times New Roman"/>
          <w:b/>
          <w:szCs w:val="20"/>
          <w:lang w:eastAsia="en-GB"/>
        </w:rPr>
        <w:t xml:space="preserve">ORDINARY LEGISLATIVE </w:t>
      </w:r>
      <w:r w:rsidRPr="00AA629E">
        <w:rPr>
          <w:rFonts w:eastAsia="Times New Roman"/>
          <w:b/>
          <w:caps/>
          <w:szCs w:val="20"/>
          <w:lang w:eastAsia="en-GB"/>
        </w:rPr>
        <w:t>procedure</w:t>
      </w:r>
      <w:r w:rsidRPr="00AA629E">
        <w:rPr>
          <w:rFonts w:eastAsia="Times New Roman"/>
          <w:b/>
          <w:szCs w:val="20"/>
          <w:lang w:eastAsia="en-GB"/>
        </w:rPr>
        <w:t xml:space="preserve"> – First reading</w:t>
      </w:r>
      <w:bookmarkEnd w:id="0"/>
    </w:p>
    <w:p w:rsidR="00AA629E" w:rsidRPr="00AA629E" w:rsidRDefault="00AA629E" w:rsidP="00AA629E">
      <w:pPr>
        <w:spacing w:after="720"/>
        <w:jc w:val="center"/>
        <w:rPr>
          <w:rFonts w:eastAsia="Times New Roman"/>
          <w:b/>
          <w:bCs/>
          <w:lang w:eastAsia="en-GB"/>
        </w:rPr>
      </w:pPr>
      <w:r w:rsidRPr="00AA629E">
        <w:rPr>
          <w:rFonts w:eastAsia="Times New Roman"/>
          <w:b/>
          <w:bCs/>
          <w:lang w:eastAsia="en-GB"/>
        </w:rPr>
        <w:t xml:space="preserve">Follow up to the </w:t>
      </w:r>
      <w:r w:rsidRPr="00AA629E">
        <w:rPr>
          <w:rFonts w:eastAsia="Times New Roman"/>
          <w:b/>
          <w:lang w:eastAsia="en-GB"/>
        </w:rPr>
        <w:t xml:space="preserve">European Parliament legislative resolution </w:t>
      </w:r>
      <w:r w:rsidRPr="00AA629E">
        <w:rPr>
          <w:rFonts w:eastAsia="Times New Roman"/>
          <w:b/>
          <w:bCs/>
          <w:lang w:eastAsia="en-GB"/>
        </w:rPr>
        <w:t>on the proposal for a regulation of the European Parliament and of the Council laying down rules on the making available on the market of CE marked fertilising products and amending Regulations (EC) No 1069/2009 and (EC) No 1107/2009</w:t>
      </w:r>
    </w:p>
    <w:p w:rsidR="00AA629E" w:rsidRPr="00AA629E" w:rsidRDefault="00AA629E" w:rsidP="00AA629E">
      <w:pPr>
        <w:shd w:val="clear" w:color="auto" w:fill="FFFFFF"/>
        <w:spacing w:line="288" w:lineRule="atLeast"/>
        <w:jc w:val="left"/>
        <w:textAlignment w:val="center"/>
        <w:rPr>
          <w:rFonts w:eastAsia="Times New Roman"/>
          <w:szCs w:val="20"/>
          <w:lang w:val="fr-BE" w:eastAsia="en-GB"/>
        </w:rPr>
      </w:pPr>
      <w:r w:rsidRPr="00AA629E">
        <w:rPr>
          <w:rFonts w:eastAsia="Times New Roman"/>
          <w:b/>
          <w:szCs w:val="20"/>
          <w:lang w:val="fr-BE" w:eastAsia="en-GB"/>
        </w:rPr>
        <w:t>1.</w:t>
      </w:r>
      <w:r w:rsidRPr="00AA629E">
        <w:rPr>
          <w:rFonts w:eastAsia="Times New Roman"/>
          <w:b/>
          <w:szCs w:val="20"/>
          <w:lang w:val="fr-BE" w:eastAsia="en-GB"/>
        </w:rPr>
        <w:tab/>
        <w:t xml:space="preserve">Rapporteur: </w:t>
      </w:r>
      <w:proofErr w:type="spellStart"/>
      <w:r w:rsidRPr="00AA629E">
        <w:rPr>
          <w:rFonts w:eastAsia="Times New Roman"/>
          <w:bdr w:val="none" w:sz="0" w:space="0" w:color="auto" w:frame="1"/>
          <w:lang w:val="fr-BE" w:eastAsia="en-GB"/>
        </w:rPr>
        <w:t>Mihai</w:t>
      </w:r>
      <w:proofErr w:type="spellEnd"/>
      <w:r w:rsidRPr="00AA629E">
        <w:rPr>
          <w:rFonts w:eastAsia="Times New Roman"/>
          <w:bdr w:val="none" w:sz="0" w:space="0" w:color="auto" w:frame="1"/>
          <w:lang w:val="fr-BE" w:eastAsia="en-GB"/>
        </w:rPr>
        <w:t xml:space="preserve"> ŢURCANU</w:t>
      </w:r>
      <w:r w:rsidRPr="00AA629E">
        <w:rPr>
          <w:rFonts w:eastAsia="Times New Roman"/>
          <w:szCs w:val="20"/>
          <w:lang w:val="fr-BE" w:eastAsia="en-GB"/>
        </w:rPr>
        <w:t xml:space="preserve"> (EPP / RO)</w:t>
      </w:r>
    </w:p>
    <w:p w:rsidR="00AA629E" w:rsidRPr="00AA629E" w:rsidRDefault="00AA629E" w:rsidP="00AA629E">
      <w:pPr>
        <w:spacing w:before="100" w:beforeAutospacing="1" w:after="100" w:afterAutospacing="1" w:line="240" w:lineRule="atLeast"/>
        <w:ind w:left="720" w:hanging="720"/>
        <w:rPr>
          <w:rFonts w:eastAsia="Times New Roman"/>
          <w:szCs w:val="20"/>
          <w:lang w:eastAsia="en-GB"/>
        </w:rPr>
      </w:pPr>
      <w:r w:rsidRPr="00AA629E">
        <w:rPr>
          <w:rFonts w:eastAsia="Times New Roman"/>
          <w:b/>
          <w:szCs w:val="20"/>
          <w:lang w:eastAsia="en-GB"/>
        </w:rPr>
        <w:t>2.</w:t>
      </w:r>
      <w:r w:rsidRPr="00AA629E">
        <w:rPr>
          <w:rFonts w:eastAsia="Times New Roman"/>
          <w:b/>
          <w:szCs w:val="20"/>
          <w:lang w:eastAsia="en-GB"/>
        </w:rPr>
        <w:tab/>
        <w:t>Reference numbers:</w:t>
      </w:r>
      <w:r w:rsidRPr="00AA629E">
        <w:rPr>
          <w:rFonts w:eastAsia="Times New Roman"/>
          <w:szCs w:val="20"/>
          <w:lang w:eastAsia="en-GB"/>
        </w:rPr>
        <w:t xml:space="preserve"> 2016/0084 (COD) / A8-0270/2017 / P8_TA-</w:t>
      </w:r>
      <w:proofErr w:type="gramStart"/>
      <w:r w:rsidRPr="00AA629E">
        <w:rPr>
          <w:rFonts w:eastAsia="Times New Roman"/>
          <w:szCs w:val="20"/>
          <w:lang w:eastAsia="en-GB"/>
        </w:rPr>
        <w:t>PROV(</w:t>
      </w:r>
      <w:proofErr w:type="gramEnd"/>
      <w:r w:rsidRPr="00AA629E">
        <w:rPr>
          <w:rFonts w:eastAsia="Times New Roman"/>
          <w:szCs w:val="20"/>
          <w:lang w:eastAsia="en-GB"/>
        </w:rPr>
        <w:t>2019)0306</w:t>
      </w:r>
    </w:p>
    <w:p w:rsidR="00AA629E" w:rsidRPr="00AA629E" w:rsidRDefault="00AA629E" w:rsidP="00AA629E">
      <w:pPr>
        <w:spacing w:line="240" w:lineRule="atLeast"/>
        <w:ind w:left="720" w:hanging="720"/>
        <w:jc w:val="left"/>
        <w:rPr>
          <w:rFonts w:eastAsia="Times New Roman"/>
          <w:szCs w:val="20"/>
          <w:lang w:eastAsia="en-GB"/>
        </w:rPr>
      </w:pPr>
      <w:r w:rsidRPr="00AA629E">
        <w:rPr>
          <w:rFonts w:eastAsia="Times New Roman"/>
          <w:b/>
          <w:szCs w:val="20"/>
          <w:lang w:eastAsia="en-GB"/>
        </w:rPr>
        <w:t>3.</w:t>
      </w:r>
      <w:r w:rsidRPr="00AA629E">
        <w:rPr>
          <w:rFonts w:eastAsia="Times New Roman"/>
          <w:b/>
          <w:szCs w:val="20"/>
          <w:lang w:eastAsia="en-GB"/>
        </w:rPr>
        <w:tab/>
        <w:t xml:space="preserve">Date of adoption of the resolution: </w:t>
      </w:r>
      <w:r w:rsidRPr="00AA629E">
        <w:rPr>
          <w:rFonts w:eastAsia="Times New Roman"/>
          <w:szCs w:val="20"/>
          <w:lang w:eastAsia="en-GB"/>
        </w:rPr>
        <w:t>27 March 2019</w:t>
      </w:r>
    </w:p>
    <w:p w:rsidR="00AA629E" w:rsidRPr="00AA629E" w:rsidRDefault="00AA629E" w:rsidP="00AA629E">
      <w:pPr>
        <w:spacing w:before="100" w:beforeAutospacing="1" w:after="100" w:afterAutospacing="1" w:line="240" w:lineRule="atLeast"/>
        <w:ind w:left="720" w:hanging="720"/>
        <w:rPr>
          <w:rFonts w:eastAsia="Times New Roman"/>
          <w:szCs w:val="20"/>
          <w:lang w:eastAsia="en-GB"/>
        </w:rPr>
      </w:pPr>
      <w:r w:rsidRPr="00AA629E">
        <w:rPr>
          <w:rFonts w:eastAsia="Times New Roman"/>
          <w:b/>
          <w:szCs w:val="20"/>
          <w:lang w:eastAsia="en-GB"/>
        </w:rPr>
        <w:t>4.</w:t>
      </w:r>
      <w:r w:rsidRPr="00AA629E">
        <w:rPr>
          <w:rFonts w:eastAsia="Times New Roman"/>
          <w:b/>
          <w:szCs w:val="20"/>
          <w:lang w:eastAsia="en-GB"/>
        </w:rPr>
        <w:tab/>
        <w:t xml:space="preserve">Legal basis: </w:t>
      </w:r>
      <w:r w:rsidRPr="00AA629E">
        <w:rPr>
          <w:rFonts w:eastAsia="Times New Roman"/>
          <w:lang w:eastAsia="en-GB"/>
        </w:rPr>
        <w:t>Article 114 of the Treaty on the Functioning of the European Union</w:t>
      </w:r>
    </w:p>
    <w:p w:rsidR="00AA629E" w:rsidRPr="00AA629E" w:rsidRDefault="00AA629E" w:rsidP="00AA629E">
      <w:pPr>
        <w:spacing w:before="100" w:beforeAutospacing="1" w:after="100" w:afterAutospacing="1" w:line="240" w:lineRule="atLeast"/>
        <w:ind w:left="720" w:hanging="720"/>
        <w:rPr>
          <w:rFonts w:eastAsia="Times New Roman"/>
          <w:i/>
          <w:szCs w:val="20"/>
          <w:lang w:eastAsia="en-GB"/>
        </w:rPr>
      </w:pPr>
      <w:r w:rsidRPr="00AA629E">
        <w:rPr>
          <w:rFonts w:eastAsia="Times New Roman"/>
          <w:b/>
          <w:szCs w:val="20"/>
          <w:lang w:eastAsia="en-GB"/>
        </w:rPr>
        <w:t>5.</w:t>
      </w:r>
      <w:r w:rsidRPr="00AA629E">
        <w:rPr>
          <w:rFonts w:eastAsia="Times New Roman"/>
          <w:b/>
          <w:szCs w:val="20"/>
          <w:lang w:eastAsia="en-GB"/>
        </w:rPr>
        <w:tab/>
        <w:t xml:space="preserve">Competent Parliamentary Committee: </w:t>
      </w:r>
      <w:r w:rsidRPr="00AA629E">
        <w:rPr>
          <w:rFonts w:eastAsia="Times New Roman"/>
          <w:szCs w:val="20"/>
          <w:lang w:eastAsia="en-GB"/>
        </w:rPr>
        <w:t>Committee on Internal market and Consumer Protection (IMCO)</w:t>
      </w:r>
    </w:p>
    <w:p w:rsidR="00AA629E" w:rsidRPr="00AA629E" w:rsidRDefault="00AA629E" w:rsidP="00AA629E">
      <w:pPr>
        <w:spacing w:before="100" w:beforeAutospacing="1" w:after="100" w:afterAutospacing="1" w:line="240" w:lineRule="atLeast"/>
        <w:ind w:left="720" w:hanging="720"/>
        <w:rPr>
          <w:rFonts w:eastAsia="Times New Roman"/>
          <w:color w:val="000000"/>
          <w:lang w:eastAsia="en-GB"/>
        </w:rPr>
      </w:pPr>
      <w:r w:rsidRPr="00AA629E">
        <w:rPr>
          <w:rFonts w:eastAsia="Times New Roman"/>
          <w:b/>
          <w:szCs w:val="20"/>
          <w:lang w:eastAsia="en-GB"/>
        </w:rPr>
        <w:t>6.</w:t>
      </w:r>
      <w:r w:rsidRPr="00AA629E">
        <w:rPr>
          <w:rFonts w:eastAsia="Times New Roman"/>
          <w:b/>
          <w:szCs w:val="20"/>
          <w:lang w:eastAsia="en-GB"/>
        </w:rPr>
        <w:tab/>
        <w:t>Commission's position:</w:t>
      </w:r>
      <w:r w:rsidRPr="00AA629E">
        <w:rPr>
          <w:rFonts w:eastAsia="Times New Roman"/>
          <w:color w:val="000000"/>
          <w:sz w:val="22"/>
          <w:szCs w:val="22"/>
          <w:lang w:eastAsia="en-GB"/>
        </w:rPr>
        <w:t xml:space="preserve"> </w:t>
      </w:r>
      <w:r w:rsidRPr="00AA629E">
        <w:rPr>
          <w:rFonts w:eastAsia="Times New Roman"/>
          <w:color w:val="000000"/>
          <w:lang w:eastAsia="en-GB"/>
        </w:rPr>
        <w:t>Accepts all amendments. The Commission tabled the following statement:</w:t>
      </w:r>
    </w:p>
    <w:p w:rsidR="00AA629E" w:rsidRPr="00AA629E" w:rsidRDefault="00AA629E" w:rsidP="00AA629E">
      <w:pPr>
        <w:spacing w:after="120" w:line="240" w:lineRule="atLeast"/>
        <w:rPr>
          <w:rFonts w:eastAsia="Times New Roman"/>
          <w:lang w:val="en-IE"/>
        </w:rPr>
      </w:pPr>
      <w:r w:rsidRPr="00AA629E">
        <w:rPr>
          <w:rFonts w:eastAsia="Times New Roman"/>
          <w:lang w:val="en-IE"/>
        </w:rPr>
        <w:t>“The Fertilising Products Regulation is part of the Circular Economy Action Plan, as it substantially contributes to the implementation of circular economy principles in the sector of nutrients for agricultural production.</w:t>
      </w:r>
    </w:p>
    <w:p w:rsidR="00AA629E" w:rsidRPr="00AA629E" w:rsidRDefault="00AA629E" w:rsidP="00AA629E">
      <w:pPr>
        <w:spacing w:after="120" w:line="240" w:lineRule="atLeast"/>
        <w:rPr>
          <w:rFonts w:eastAsia="Times New Roman"/>
          <w:lang w:val="en-IE"/>
        </w:rPr>
      </w:pPr>
      <w:r w:rsidRPr="00AA629E">
        <w:rPr>
          <w:rFonts w:eastAsia="Times New Roman"/>
          <w:lang w:val="en-IE"/>
        </w:rPr>
        <w:t xml:space="preserve">In parallel, under a different work stream, the Commission is working to ensure an integrated and more sustainable management of nutrients, to reduce inefficiencies and avoid nutrients </w:t>
      </w:r>
      <w:proofErr w:type="gramStart"/>
      <w:r w:rsidRPr="00AA629E">
        <w:rPr>
          <w:rFonts w:eastAsia="Times New Roman"/>
          <w:lang w:val="en-IE"/>
        </w:rPr>
        <w:t>pollution which</w:t>
      </w:r>
      <w:proofErr w:type="gramEnd"/>
      <w:r w:rsidRPr="00AA629E">
        <w:rPr>
          <w:rFonts w:eastAsia="Times New Roman"/>
          <w:lang w:val="en-IE"/>
        </w:rPr>
        <w:t xml:space="preserve"> can affect human health and the environment.</w:t>
      </w:r>
    </w:p>
    <w:p w:rsidR="00AA629E" w:rsidRPr="00AA629E" w:rsidRDefault="00AA629E" w:rsidP="00AA629E">
      <w:pPr>
        <w:spacing w:after="120" w:line="240" w:lineRule="atLeast"/>
        <w:rPr>
          <w:rFonts w:eastAsia="Times New Roman"/>
          <w:lang w:val="en-IE"/>
        </w:rPr>
      </w:pPr>
      <w:r w:rsidRPr="00AA629E">
        <w:rPr>
          <w:rFonts w:eastAsia="Times New Roman"/>
          <w:lang w:val="en-IE"/>
        </w:rPr>
        <w:t xml:space="preserve">Processing of manure offers possibilities for more efficient use of nutrients, from the agricultural as well as from the environmental point of view. This is why via its Joint Research Centre the Commission launched a project in 2017, which includes literature review, modelling and experimental work to define the conditions under which it does not entail additional environmental risks to replace chemical nitrate nitrogen-containing chemical fertilisers by processed manure in agricultural applications. This work is ongoing and a draft study report </w:t>
      </w:r>
      <w:proofErr w:type="gramStart"/>
      <w:r w:rsidRPr="00AA629E">
        <w:rPr>
          <w:rFonts w:eastAsia="Times New Roman"/>
          <w:lang w:val="en-IE"/>
        </w:rPr>
        <w:t>should be presented</w:t>
      </w:r>
      <w:proofErr w:type="gramEnd"/>
      <w:r w:rsidRPr="00AA629E">
        <w:rPr>
          <w:rFonts w:eastAsia="Times New Roman"/>
          <w:lang w:val="en-IE"/>
        </w:rPr>
        <w:t xml:space="preserve"> in principle by the end of 2019.</w:t>
      </w:r>
    </w:p>
    <w:p w:rsidR="00AA629E" w:rsidRPr="00AA629E" w:rsidRDefault="00AA629E" w:rsidP="00AA629E">
      <w:pPr>
        <w:spacing w:after="120" w:line="240" w:lineRule="atLeast"/>
        <w:rPr>
          <w:rFonts w:eastAsia="Times New Roman"/>
          <w:lang w:val="en-IE" w:eastAsia="en-GB"/>
        </w:rPr>
      </w:pPr>
      <w:r w:rsidRPr="00AA629E">
        <w:rPr>
          <w:rFonts w:eastAsia="Times New Roman"/>
          <w:lang w:val="en-IE"/>
        </w:rPr>
        <w:t xml:space="preserve">As these criteria concern the use of fertilisers and not their placing on the market, they </w:t>
      </w:r>
      <w:proofErr w:type="gramStart"/>
      <w:r w:rsidRPr="00AA629E">
        <w:rPr>
          <w:rFonts w:eastAsia="Times New Roman"/>
          <w:lang w:val="en-IE"/>
        </w:rPr>
        <w:t>are not affected by the Fertilising Products Regulation, and not expected to affect the implementation of that regulation</w:t>
      </w:r>
      <w:proofErr w:type="gramEnd"/>
      <w:r w:rsidRPr="00AA629E">
        <w:rPr>
          <w:rFonts w:eastAsia="Times New Roman"/>
          <w:lang w:val="en-IE"/>
        </w:rPr>
        <w:t>. However they certainly constitute an additional and complementary action to foster an efficient and environmentally safe circular economy.”</w:t>
      </w:r>
    </w:p>
    <w:p w:rsidR="008765BE" w:rsidRDefault="008765BE">
      <w:bookmarkStart w:id="1" w:name="_GoBack"/>
      <w:bookmarkEnd w:id="1"/>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9E"/>
    <w:rsid w:val="000F3C25"/>
    <w:rsid w:val="005762E3"/>
    <w:rsid w:val="008765BE"/>
    <w:rsid w:val="00AA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51831-0C43-4CD1-9587-729ECBBD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1887</Characters>
  <Application>Microsoft Office Word</Application>
  <DocSecurity>0</DocSecurity>
  <Lines>15</Lines>
  <Paragraphs>4</Paragraphs>
  <ScaleCrop>false</ScaleCrop>
  <Company>European Parliament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 Ales</dc:creator>
  <cp:keywords/>
  <dc:description/>
  <cp:lastModifiedBy>RUS Ales</cp:lastModifiedBy>
  <cp:revision>1</cp:revision>
  <dcterms:created xsi:type="dcterms:W3CDTF">2019-09-03T09:38:00Z</dcterms:created>
  <dcterms:modified xsi:type="dcterms:W3CDTF">2019-09-03T09:38:00Z</dcterms:modified>
</cp:coreProperties>
</file>