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0B" w:rsidRPr="00EE64E6" w:rsidRDefault="008C7F0B" w:rsidP="008C7F0B">
      <w:pPr>
        <w:spacing w:after="480"/>
        <w:jc w:val="center"/>
      </w:pPr>
      <w:r w:rsidRPr="00EE64E6">
        <w:rPr>
          <w:b/>
        </w:rPr>
        <w:t xml:space="preserve">ORDINARY LEGISLATIVE </w:t>
      </w:r>
      <w:r w:rsidRPr="00EE64E6">
        <w:rPr>
          <w:b/>
          <w:caps/>
        </w:rPr>
        <w:t>procedure</w:t>
      </w:r>
      <w:r w:rsidRPr="00EE64E6">
        <w:rPr>
          <w:b/>
        </w:rPr>
        <w:t xml:space="preserve"> – First reading</w:t>
      </w:r>
    </w:p>
    <w:p w:rsidR="008C7F0B" w:rsidRPr="00EE64E6" w:rsidRDefault="008C7F0B" w:rsidP="008C7F0B">
      <w:pPr>
        <w:spacing w:after="480"/>
        <w:jc w:val="center"/>
        <w:rPr>
          <w:b/>
          <w:bCs/>
        </w:rPr>
      </w:pPr>
      <w:r w:rsidRPr="00EE64E6">
        <w:rPr>
          <w:b/>
          <w:bCs/>
        </w:rPr>
        <w:t xml:space="preserve">Follow up to the </w:t>
      </w:r>
      <w:r w:rsidRPr="00EE64E6">
        <w:rPr>
          <w:b/>
        </w:rPr>
        <w:t xml:space="preserve">European Parliament legislative resolution of 3 July 2018 </w:t>
      </w:r>
      <w:r w:rsidRPr="00EE64E6">
        <w:rPr>
          <w:b/>
          <w:bCs/>
        </w:rPr>
        <w:t>on the proposal for a Regulation of the European Parliament and of the Council on integrated farm statistics and repealing Regulations (EC) No 1166/2008 and (EU) No 1337/2011</w:t>
      </w:r>
    </w:p>
    <w:p w:rsidR="008C7F0B" w:rsidRPr="00EE64E6" w:rsidRDefault="008C7F0B" w:rsidP="008C7F0B">
      <w:pPr>
        <w:spacing w:after="480"/>
        <w:jc w:val="center"/>
        <w:rPr>
          <w:b/>
          <w:bCs/>
        </w:rPr>
      </w:pPr>
      <w:r w:rsidRPr="00EE64E6">
        <w:rPr>
          <w:b/>
          <w:bCs/>
        </w:rPr>
        <w:t>2016/0389 (COD)</w:t>
      </w:r>
    </w:p>
    <w:p w:rsidR="008C7F0B" w:rsidRPr="00EE64E6" w:rsidRDefault="008C7F0B" w:rsidP="008C7F0B">
      <w:pPr>
        <w:spacing w:after="240"/>
        <w:ind w:left="567" w:hanging="567"/>
      </w:pPr>
      <w:r w:rsidRPr="00EE64E6">
        <w:rPr>
          <w:b/>
        </w:rPr>
        <w:t>1.</w:t>
      </w:r>
      <w:r w:rsidRPr="00EE64E6">
        <w:rPr>
          <w:b/>
        </w:rPr>
        <w:tab/>
        <w:t xml:space="preserve">Rapporteur: </w:t>
      </w:r>
      <w:r w:rsidRPr="00EE64E6">
        <w:t>Gabriela ZOANĂ (S&amp;D/RO)</w:t>
      </w:r>
    </w:p>
    <w:p w:rsidR="008C7F0B" w:rsidRPr="00EE64E6" w:rsidRDefault="008C7F0B" w:rsidP="008C7F0B">
      <w:pPr>
        <w:spacing w:after="240"/>
        <w:ind w:left="567" w:hanging="567"/>
      </w:pPr>
      <w:r w:rsidRPr="00EE64E6">
        <w:rPr>
          <w:b/>
        </w:rPr>
        <w:t>2.</w:t>
      </w:r>
      <w:r w:rsidRPr="00EE64E6">
        <w:rPr>
          <w:b/>
        </w:rPr>
        <w:tab/>
        <w:t>EP reference number:</w:t>
      </w:r>
      <w:r w:rsidRPr="00EE64E6">
        <w:t xml:space="preserve"> </w:t>
      </w:r>
      <w:hyperlink r:id="rId4" w:tgtFrame="_blank" w:history="1">
        <w:r w:rsidRPr="00EE64E6">
          <w:t>A8-0300/2017</w:t>
        </w:r>
      </w:hyperlink>
      <w:r w:rsidRPr="00EE64E6">
        <w:t xml:space="preserve"> / P8_TA-</w:t>
      </w:r>
      <w:proofErr w:type="gramStart"/>
      <w:r w:rsidRPr="00EE64E6">
        <w:t>PROV(</w:t>
      </w:r>
      <w:proofErr w:type="gramEnd"/>
      <w:r w:rsidRPr="00EE64E6">
        <w:t>2018)0276</w:t>
      </w:r>
    </w:p>
    <w:p w:rsidR="008C7F0B" w:rsidRPr="00EE64E6" w:rsidRDefault="008C7F0B" w:rsidP="008C7F0B">
      <w:pPr>
        <w:spacing w:after="240"/>
        <w:ind w:left="567" w:hanging="567"/>
      </w:pPr>
      <w:r w:rsidRPr="00EE64E6">
        <w:rPr>
          <w:b/>
        </w:rPr>
        <w:t>3.</w:t>
      </w:r>
      <w:r w:rsidRPr="00EE64E6">
        <w:rPr>
          <w:b/>
        </w:rPr>
        <w:tab/>
        <w:t xml:space="preserve">Date of adoption of the resolution: </w:t>
      </w:r>
      <w:r w:rsidRPr="00EE64E6">
        <w:t>3 July 2018</w:t>
      </w:r>
    </w:p>
    <w:p w:rsidR="008C7F0B" w:rsidRPr="00EE64E6" w:rsidRDefault="008C7F0B" w:rsidP="008C7F0B">
      <w:pPr>
        <w:spacing w:after="240"/>
        <w:ind w:left="567" w:hanging="567"/>
      </w:pPr>
      <w:r w:rsidRPr="00EE64E6">
        <w:rPr>
          <w:b/>
        </w:rPr>
        <w:t>4.</w:t>
      </w:r>
      <w:r w:rsidRPr="00EE64E6">
        <w:rPr>
          <w:b/>
        </w:rPr>
        <w:tab/>
        <w:t xml:space="preserve">Subject: </w:t>
      </w:r>
      <w:r w:rsidRPr="00EE64E6">
        <w:t>Integrated farm statistics</w:t>
      </w:r>
    </w:p>
    <w:p w:rsidR="008C7F0B" w:rsidRPr="00EE64E6" w:rsidRDefault="008C7F0B" w:rsidP="008C7F0B">
      <w:pPr>
        <w:autoSpaceDE w:val="0"/>
        <w:autoSpaceDN w:val="0"/>
        <w:adjustRightInd w:val="0"/>
        <w:spacing w:after="240"/>
        <w:ind w:left="567" w:hanging="567"/>
      </w:pPr>
      <w:r w:rsidRPr="00EE64E6">
        <w:rPr>
          <w:b/>
        </w:rPr>
        <w:t>5.</w:t>
      </w:r>
      <w:r w:rsidRPr="00EE64E6">
        <w:rPr>
          <w:b/>
        </w:rPr>
        <w:tab/>
      </w:r>
      <w:proofErr w:type="spellStart"/>
      <w:r w:rsidRPr="00EE64E6">
        <w:rPr>
          <w:b/>
        </w:rPr>
        <w:t>Interinstitutional</w:t>
      </w:r>
      <w:proofErr w:type="spellEnd"/>
      <w:r w:rsidRPr="00EE64E6">
        <w:rPr>
          <w:b/>
        </w:rPr>
        <w:t xml:space="preserve"> reference number: </w:t>
      </w:r>
      <w:r w:rsidRPr="00EE64E6">
        <w:rPr>
          <w:bCs/>
        </w:rPr>
        <w:t xml:space="preserve">2016/0389 (COD) </w:t>
      </w:r>
    </w:p>
    <w:p w:rsidR="008C7F0B" w:rsidRPr="00EE64E6" w:rsidRDefault="008C7F0B" w:rsidP="008C7F0B">
      <w:pPr>
        <w:spacing w:after="240"/>
        <w:ind w:left="567" w:hanging="567"/>
      </w:pPr>
      <w:r w:rsidRPr="00EE64E6">
        <w:rPr>
          <w:b/>
        </w:rPr>
        <w:t>6.</w:t>
      </w:r>
      <w:r w:rsidRPr="00EE64E6">
        <w:rPr>
          <w:b/>
        </w:rPr>
        <w:tab/>
        <w:t xml:space="preserve">Legal basis: </w:t>
      </w:r>
      <w:r w:rsidRPr="00EE64E6">
        <w:t>Article 338(1) of the Treaty on the Functioning of the European Union</w:t>
      </w:r>
    </w:p>
    <w:p w:rsidR="008C7F0B" w:rsidRPr="00EE64E6" w:rsidRDefault="008C7F0B" w:rsidP="008C7F0B">
      <w:pPr>
        <w:spacing w:after="240"/>
        <w:ind w:left="567" w:hanging="567"/>
        <w:rPr>
          <w:i/>
        </w:rPr>
      </w:pPr>
      <w:r w:rsidRPr="00EE64E6">
        <w:rPr>
          <w:b/>
        </w:rPr>
        <w:t>7.</w:t>
      </w:r>
      <w:r w:rsidRPr="00EE64E6">
        <w:rPr>
          <w:b/>
        </w:rPr>
        <w:tab/>
        <w:t xml:space="preserve">Competent Parliamentary Committee: </w:t>
      </w:r>
      <w:r w:rsidRPr="00EE64E6">
        <w:t>Committee on</w:t>
      </w:r>
      <w:r w:rsidRPr="00EE64E6">
        <w:rPr>
          <w:i/>
        </w:rPr>
        <w:t xml:space="preserve"> </w:t>
      </w:r>
      <w:hyperlink r:id="rId5" w:tgtFrame="_blank" w:tooltip="Agriculture and Rural Development" w:history="1">
        <w:r w:rsidRPr="00EE64E6">
          <w:t>Agriculture and Rural Development</w:t>
        </w:r>
      </w:hyperlink>
      <w:r w:rsidRPr="00EE64E6">
        <w:t xml:space="preserve"> (AGRI)</w:t>
      </w:r>
    </w:p>
    <w:p w:rsidR="008C7F0B" w:rsidRPr="00EE64E6" w:rsidRDefault="008C7F0B" w:rsidP="008C7F0B">
      <w:pPr>
        <w:spacing w:after="240"/>
        <w:ind w:left="567" w:hanging="567"/>
        <w:rPr>
          <w:b/>
        </w:rPr>
      </w:pPr>
      <w:r w:rsidRPr="00EE64E6">
        <w:rPr>
          <w:b/>
        </w:rPr>
        <w:t>8.</w:t>
      </w:r>
      <w:r w:rsidRPr="00EE64E6">
        <w:rPr>
          <w:b/>
        </w:rPr>
        <w:tab/>
        <w:t>Commission's position:</w:t>
      </w:r>
      <w:r w:rsidRPr="00EE64E6">
        <w:t xml:space="preserve"> A consensus </w:t>
      </w:r>
      <w:proofErr w:type="gramStart"/>
      <w:r w:rsidRPr="00EE64E6">
        <w:t>was reached</w:t>
      </w:r>
      <w:proofErr w:type="gramEnd"/>
      <w:r w:rsidRPr="00EE64E6">
        <w:t xml:space="preserve"> among the Institutions in the </w:t>
      </w:r>
      <w:proofErr w:type="spellStart"/>
      <w:r w:rsidRPr="00EE64E6">
        <w:t>trilogue</w:t>
      </w:r>
      <w:proofErr w:type="spellEnd"/>
      <w:r w:rsidRPr="00EE64E6">
        <w:t xml:space="preserve"> meeting of 11 April 2018. The Council proposed several modifications to limit and control the costs and burden of data collection, but allowed for workable flexibility and improvements compared to the status quo. The European Parliament proposed some new variables on, among others, young farmers and organic farming. </w:t>
      </w:r>
      <w:r w:rsidRPr="00EE64E6">
        <w:rPr>
          <w:snapToGrid w:val="0"/>
        </w:rPr>
        <w:t xml:space="preserve">The Commission thinks that this proposal will allow to serve new and emerging data needs better, more flexibly and faster; that statistics on the structure of EU agriculture will be more comparable and coherent; and that the costs and burden of data collection for producers and providers </w:t>
      </w:r>
      <w:proofErr w:type="gramStart"/>
      <w:r w:rsidRPr="00EE64E6">
        <w:rPr>
          <w:snapToGrid w:val="0"/>
        </w:rPr>
        <w:t>will be reduced</w:t>
      </w:r>
      <w:proofErr w:type="gramEnd"/>
      <w:r w:rsidRPr="00EE64E6">
        <w:rPr>
          <w:snapToGrid w:val="0"/>
        </w:rPr>
        <w:t>.</w:t>
      </w:r>
    </w:p>
    <w:p w:rsidR="008C7F0B" w:rsidRPr="00EE64E6" w:rsidRDefault="008C7F0B" w:rsidP="008C7F0B">
      <w:pPr>
        <w:spacing w:after="240"/>
        <w:ind w:left="567" w:hanging="567"/>
        <w:rPr>
          <w:b/>
        </w:rPr>
      </w:pPr>
      <w:r w:rsidRPr="00EE64E6">
        <w:rPr>
          <w:b/>
        </w:rPr>
        <w:t>9.</w:t>
      </w:r>
      <w:r w:rsidRPr="00EE64E6">
        <w:rPr>
          <w:b/>
        </w:rPr>
        <w:tab/>
        <w:t xml:space="preserve">Outlook for amendment of the proposal: </w:t>
      </w:r>
      <w:r w:rsidRPr="00EE64E6">
        <w:t>There is no need for a formal modified proposal, as there is already agreement between the European Parliament and the Council, endorsed by the Commission.</w:t>
      </w:r>
    </w:p>
    <w:p w:rsidR="008765BE" w:rsidRDefault="008C7F0B" w:rsidP="008C7F0B">
      <w:r w:rsidRPr="00EE64E6">
        <w:rPr>
          <w:b/>
        </w:rPr>
        <w:t>10.</w:t>
      </w:r>
      <w:r w:rsidRPr="00EE64E6">
        <w:rPr>
          <w:b/>
        </w:rPr>
        <w:tab/>
        <w:t xml:space="preserve">Outlook for the adoption of Council's position: </w:t>
      </w:r>
      <w:r w:rsidRPr="00EE64E6">
        <w:rPr>
          <w:lang w:val="en-US"/>
        </w:rPr>
        <w:t>The Council adopted the Regulation on 16 July 2018.</w:t>
      </w:r>
      <w:bookmarkStart w:id="0" w:name="_GoBack"/>
      <w:bookmarkEnd w:id="0"/>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0B"/>
    <w:rsid w:val="005762E3"/>
    <w:rsid w:val="008765BE"/>
    <w:rsid w:val="008C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828A9-C40A-4072-B1F7-053A1D0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arl.europa.eu/committees/en/agri/home.html" TargetMode="External"/><Relationship Id="rId4" Type="http://schemas.openxmlformats.org/officeDocument/2006/relationships/hyperlink" Target="http://www.europarl.europa.eu/sides/getDoc.do?type=REPORT&amp;mode=XML&amp;reference=A8-2017-0300&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Company>European Parliament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2018-11-20T13:53:00Z</dcterms:created>
  <dcterms:modified xsi:type="dcterms:W3CDTF">2018-11-20T13:55:00Z</dcterms:modified>
</cp:coreProperties>
</file>