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FD" w:rsidRPr="00E654FD" w:rsidRDefault="00E654FD" w:rsidP="00E654FD">
      <w:pPr>
        <w:spacing w:after="240"/>
        <w:jc w:val="center"/>
        <w:rPr>
          <w:lang w:val="fr-FR"/>
        </w:rPr>
      </w:pPr>
      <w:r w:rsidRPr="00E654FD">
        <w:rPr>
          <w:b/>
          <w:caps/>
          <w:lang w:val="fr-FR"/>
        </w:rPr>
        <w:t>Procédure</w:t>
      </w:r>
      <w:r w:rsidRPr="00E654FD">
        <w:rPr>
          <w:b/>
          <w:lang w:val="fr-FR"/>
        </w:rPr>
        <w:t xml:space="preserve"> LÉGISLATIVE ORDINAIRE – Première lecture</w:t>
      </w:r>
    </w:p>
    <w:p w:rsidR="00E654FD" w:rsidRPr="00E654FD" w:rsidRDefault="00E654FD" w:rsidP="00E654FD">
      <w:pPr>
        <w:spacing w:after="600"/>
        <w:jc w:val="center"/>
        <w:rPr>
          <w:b/>
          <w:bCs/>
          <w:lang w:val="fr-FR"/>
        </w:rPr>
      </w:pPr>
      <w:r w:rsidRPr="00E654FD">
        <w:rPr>
          <w:b/>
          <w:lang w:val="fr-FR"/>
        </w:rPr>
        <w:t>Suite donnée à la résolution législative du Parlement européen du 13 septembre 2018 sur</w:t>
      </w:r>
      <w:r w:rsidRPr="00E654FD">
        <w:rPr>
          <w:b/>
          <w:bCs/>
          <w:lang w:val="fr-FR"/>
        </w:rPr>
        <w:br/>
      </w:r>
      <w:r w:rsidRPr="00E654FD">
        <w:rPr>
          <w:b/>
          <w:lang w:val="fr-FR"/>
        </w:rPr>
        <w:t xml:space="preserve">la proposition de règlement du Parlement européen et du Conseil </w:t>
      </w:r>
      <w:r w:rsidRPr="00E654FD">
        <w:rPr>
          <w:b/>
          <w:bCs/>
          <w:lang w:val="fr-FR"/>
        </w:rPr>
        <w:br/>
      </w:r>
      <w:r w:rsidRPr="00E654FD">
        <w:rPr>
          <w:b/>
          <w:lang w:val="fr-FR"/>
        </w:rPr>
        <w:t xml:space="preserve">relatif à la protection des personnes physiques à l’égard du traitement des données </w:t>
      </w:r>
      <w:r w:rsidRPr="00E654FD">
        <w:rPr>
          <w:b/>
          <w:lang w:val="fr-FR"/>
        </w:rPr>
        <w:br/>
        <w:t>à caractère personnel par les institutions, organes et organismes de l’Union et à la libre circulation de ces données, et abrogeant le règlement (CE) nº 45/2001 et la décision nº 1247/2002/CE</w:t>
      </w:r>
    </w:p>
    <w:p w:rsidR="00E654FD" w:rsidRPr="00E654FD" w:rsidRDefault="00E654FD" w:rsidP="00E654FD">
      <w:pPr>
        <w:spacing w:after="600"/>
        <w:jc w:val="center"/>
        <w:rPr>
          <w:b/>
          <w:lang w:val="fr-FR"/>
        </w:rPr>
      </w:pPr>
      <w:r w:rsidRPr="00E654FD">
        <w:rPr>
          <w:b/>
          <w:lang w:val="fr-FR"/>
        </w:rPr>
        <w:t>2017/0002 (COD)</w:t>
      </w:r>
    </w:p>
    <w:p w:rsidR="00E654FD" w:rsidRPr="00E654FD" w:rsidRDefault="00E654FD" w:rsidP="00E654FD">
      <w:pPr>
        <w:spacing w:after="240"/>
        <w:ind w:left="567" w:hanging="567"/>
        <w:rPr>
          <w:b/>
          <w:lang w:val="fr-FR"/>
        </w:rPr>
      </w:pPr>
      <w:r w:rsidRPr="00E654FD">
        <w:rPr>
          <w:b/>
          <w:lang w:val="fr-FR"/>
        </w:rPr>
        <w:t>1.</w:t>
      </w:r>
      <w:r w:rsidRPr="00E654FD">
        <w:rPr>
          <w:lang w:val="fr-FR"/>
        </w:rPr>
        <w:tab/>
      </w:r>
      <w:proofErr w:type="spellStart"/>
      <w:r w:rsidRPr="00E654FD">
        <w:rPr>
          <w:b/>
          <w:lang w:val="fr-FR"/>
        </w:rPr>
        <w:t>Rapporteure</w:t>
      </w:r>
      <w:proofErr w:type="spellEnd"/>
      <w:r w:rsidRPr="00E654FD">
        <w:rPr>
          <w:b/>
          <w:lang w:val="fr-FR"/>
        </w:rPr>
        <w:t xml:space="preserve">: </w:t>
      </w:r>
      <w:r w:rsidRPr="00E654FD">
        <w:rPr>
          <w:lang w:val="fr-FR"/>
        </w:rPr>
        <w:t>Cornelia ERNST (GUE-NGL / DE)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2.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>Numéro de référence du PE:</w:t>
      </w:r>
      <w:r w:rsidRPr="00E654FD">
        <w:rPr>
          <w:lang w:val="fr-FR"/>
        </w:rPr>
        <w:t xml:space="preserve"> A8-0313/2017 / P8_TA-</w:t>
      </w:r>
      <w:proofErr w:type="gramStart"/>
      <w:r w:rsidRPr="00E654FD">
        <w:rPr>
          <w:lang w:val="fr-FR"/>
        </w:rPr>
        <w:t>PROV(</w:t>
      </w:r>
      <w:proofErr w:type="gramEnd"/>
      <w:r w:rsidRPr="00E654FD">
        <w:rPr>
          <w:lang w:val="fr-FR"/>
        </w:rPr>
        <w:t>2018)0348</w:t>
      </w:r>
    </w:p>
    <w:p w:rsidR="00E654FD" w:rsidRPr="00E654FD" w:rsidRDefault="00E654FD" w:rsidP="00E654FD">
      <w:pPr>
        <w:spacing w:after="240"/>
        <w:ind w:left="567" w:hanging="567"/>
        <w:rPr>
          <w:b/>
          <w:lang w:val="fr-FR"/>
        </w:rPr>
      </w:pPr>
      <w:r w:rsidRPr="00E654FD">
        <w:rPr>
          <w:b/>
          <w:lang w:val="fr-FR"/>
        </w:rPr>
        <w:t>3.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Date d’adoption de la résolution: </w:t>
      </w:r>
      <w:r w:rsidRPr="00E654FD">
        <w:rPr>
          <w:lang w:val="fr-FR"/>
        </w:rPr>
        <w:t>13 septembre 2018</w:t>
      </w:r>
    </w:p>
    <w:p w:rsidR="00E654FD" w:rsidRPr="00E654FD" w:rsidRDefault="00E654FD" w:rsidP="00E654FD">
      <w:pPr>
        <w:spacing w:after="240"/>
        <w:ind w:left="567" w:hanging="567"/>
        <w:rPr>
          <w:b/>
          <w:lang w:val="fr-FR"/>
        </w:rPr>
      </w:pPr>
      <w:r w:rsidRPr="00E654FD">
        <w:rPr>
          <w:b/>
          <w:lang w:val="fr-FR"/>
        </w:rPr>
        <w:t>4.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Objet: </w:t>
      </w:r>
      <w:r w:rsidRPr="00E654FD">
        <w:rPr>
          <w:lang w:val="fr-FR"/>
        </w:rPr>
        <w:t>protection des personnes physiques à l’égard du traitement des données à caractère personnel par les institutions, organes et organismes de l’Union et libre circulation de ces données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5.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Numéro de référence interinstitutionnel: </w:t>
      </w:r>
      <w:r w:rsidRPr="00E654FD">
        <w:rPr>
          <w:lang w:val="fr-FR"/>
        </w:rPr>
        <w:t>2017/0002</w:t>
      </w:r>
      <w:r w:rsidRPr="00E654FD">
        <w:rPr>
          <w:b/>
          <w:lang w:val="fr-FR"/>
        </w:rPr>
        <w:t> </w:t>
      </w:r>
      <w:r w:rsidRPr="00E654FD">
        <w:rPr>
          <w:lang w:val="fr-FR"/>
        </w:rPr>
        <w:t>(COD)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6.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Base juridique: </w:t>
      </w:r>
      <w:r w:rsidRPr="00E654FD">
        <w:rPr>
          <w:lang w:val="fr-FR"/>
        </w:rPr>
        <w:t>article 16, paragraphe 2, du traité sur le fonctionnement de l’Union européenne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7.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Commission parlementaire compétente: </w:t>
      </w:r>
      <w:r w:rsidRPr="00E654FD">
        <w:rPr>
          <w:lang w:val="fr-FR"/>
        </w:rPr>
        <w:t>commission des libertés civiles, de la justice et des affaires intérieures (LIBE)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8.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Position de la Commission: </w:t>
      </w:r>
      <w:r w:rsidRPr="00E654FD">
        <w:rPr>
          <w:lang w:val="fr-FR"/>
        </w:rPr>
        <w:t>la Commission peut accepter tous les amendements entérinés par l’accord politique, mais y a joint une déclaration.</w:t>
      </w:r>
    </w:p>
    <w:p w:rsidR="00E654FD" w:rsidRPr="00E654FD" w:rsidRDefault="00E654FD" w:rsidP="00E654FD">
      <w:pPr>
        <w:spacing w:after="240"/>
        <w:ind w:left="567" w:hanging="567"/>
        <w:rPr>
          <w:lang w:val="fr-FR"/>
        </w:rPr>
      </w:pPr>
      <w:r w:rsidRPr="00E654FD">
        <w:rPr>
          <w:b/>
          <w:lang w:val="fr-FR"/>
        </w:rPr>
        <w:t>9.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Prévisions quant à la modification de la proposition: </w:t>
      </w:r>
      <w:r w:rsidRPr="00E654FD">
        <w:rPr>
          <w:lang w:val="fr-FR"/>
        </w:rPr>
        <w:t>une proposition modifiée officielle n’est pas nécessaire dans la mesure où un accord, approuvé par la Commission, existe déjà entre le Parlement européen et le Conseil.</w:t>
      </w:r>
    </w:p>
    <w:p w:rsidR="00E654FD" w:rsidRPr="00E654FD" w:rsidRDefault="00E654FD" w:rsidP="00E654FD">
      <w:pPr>
        <w:spacing w:after="240"/>
        <w:ind w:left="567" w:hanging="567"/>
        <w:rPr>
          <w:b/>
          <w:lang w:val="fr-FR"/>
        </w:rPr>
      </w:pPr>
      <w:r w:rsidRPr="00E654FD">
        <w:rPr>
          <w:b/>
          <w:lang w:val="fr-FR"/>
        </w:rPr>
        <w:t>10.</w:t>
      </w:r>
      <w:r w:rsidRPr="00E654FD">
        <w:rPr>
          <w:lang w:val="fr-FR"/>
        </w:rPr>
        <w:tab/>
      </w:r>
      <w:r w:rsidRPr="00E654FD">
        <w:rPr>
          <w:b/>
          <w:lang w:val="fr-FR"/>
        </w:rPr>
        <w:t xml:space="preserve">Prévisions quant à l’adoption de la position du Conseil: </w:t>
      </w:r>
      <w:r w:rsidRPr="00E654FD">
        <w:rPr>
          <w:lang w:val="fr-FR"/>
        </w:rPr>
        <w:t>adoption finale par le Conseil lors du Conseil ECOFIN du 2 octobre.</w:t>
      </w:r>
      <w:r w:rsidRPr="00E654FD">
        <w:rPr>
          <w:lang w:val="fr-FR"/>
        </w:rPr>
        <w:br w:type="page"/>
      </w:r>
    </w:p>
    <w:p w:rsidR="008765BE" w:rsidRPr="00E654FD" w:rsidRDefault="008765BE">
      <w:pPr>
        <w:rPr>
          <w:lang w:val="fr-FR"/>
        </w:rPr>
      </w:pPr>
      <w:bookmarkStart w:id="0" w:name="_GoBack"/>
      <w:bookmarkEnd w:id="0"/>
    </w:p>
    <w:sectPr w:rsidR="008765BE" w:rsidRPr="00E6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D"/>
    <w:rsid w:val="005762E3"/>
    <w:rsid w:val="008765BE"/>
    <w:rsid w:val="00E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C3C4-A552-4A48-B9B4-5ECCAB4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2019-01-03T14:49:00Z</dcterms:created>
  <dcterms:modified xsi:type="dcterms:W3CDTF">2019-01-03T14:53:00Z</dcterms:modified>
</cp:coreProperties>
</file>