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6147" w14:textId="232F9F1F" w:rsidR="00607B19" w:rsidRDefault="00607B19" w:rsidP="00607B19">
      <w:pPr>
        <w:spacing w:after="600"/>
        <w:jc w:val="center"/>
        <w:rPr>
          <w:rFonts w:ascii="Times New Roman" w:eastAsia="Calibri" w:hAnsi="Times New Roman"/>
          <w:b/>
          <w:bCs/>
          <w:color w:val="000000"/>
          <w:szCs w:val="24"/>
          <w:lang w:eastAsia="en-US"/>
        </w:rPr>
      </w:pPr>
      <w:r>
        <w:rPr>
          <w:rFonts w:ascii="Times New Roman" w:eastAsia="Calibri" w:hAnsi="Times New Roman"/>
          <w:b/>
          <w:bCs/>
          <w:color w:val="000000"/>
          <w:szCs w:val="24"/>
          <w:lang w:eastAsia="en-US"/>
        </w:rPr>
        <w:t xml:space="preserve">Follow up to the </w:t>
      </w:r>
      <w:r w:rsidRPr="00963ADF">
        <w:rPr>
          <w:rFonts w:ascii="Times New Roman" w:eastAsia="Calibri" w:hAnsi="Times New Roman"/>
          <w:b/>
          <w:bCs/>
          <w:color w:val="000000"/>
          <w:szCs w:val="24"/>
          <w:lang w:eastAsia="en-US"/>
        </w:rPr>
        <w:t xml:space="preserve">European Parliament </w:t>
      </w:r>
      <w:r w:rsidR="0065795A" w:rsidRPr="00A36268">
        <w:rPr>
          <w:rFonts w:ascii="Times New Roman" w:hAnsi="Times New Roman"/>
          <w:b/>
        </w:rPr>
        <w:t>non-legislative</w:t>
      </w:r>
      <w:r w:rsidR="0065795A" w:rsidRPr="004421DB">
        <w:rPr>
          <w:b/>
        </w:rPr>
        <w:t xml:space="preserve"> </w:t>
      </w:r>
      <w:r w:rsidRPr="00963ADF">
        <w:rPr>
          <w:rFonts w:ascii="Times New Roman" w:eastAsia="Calibri" w:hAnsi="Times New Roman"/>
          <w:b/>
          <w:bCs/>
          <w:color w:val="000000"/>
          <w:szCs w:val="24"/>
          <w:lang w:eastAsia="en-US"/>
        </w:rPr>
        <w:t xml:space="preserve">resolution </w:t>
      </w:r>
      <w:r w:rsidR="001F746B">
        <w:rPr>
          <w:rFonts w:ascii="Times New Roman" w:hAnsi="Times New Roman"/>
          <w:b/>
          <w:szCs w:val="24"/>
        </w:rPr>
        <w:t>of 6</w:t>
      </w:r>
      <w:r w:rsidR="001F746B" w:rsidRPr="00A36268">
        <w:rPr>
          <w:rFonts w:ascii="Times New Roman" w:hAnsi="Times New Roman"/>
          <w:b/>
          <w:szCs w:val="24"/>
        </w:rPr>
        <w:t xml:space="preserve"> February 2018 </w:t>
      </w:r>
      <w:r w:rsidRPr="00963ADF">
        <w:rPr>
          <w:rFonts w:ascii="Times New Roman" w:eastAsia="Calibri" w:hAnsi="Times New Roman"/>
          <w:b/>
          <w:bCs/>
          <w:color w:val="000000"/>
          <w:szCs w:val="24"/>
          <w:lang w:eastAsia="en-US"/>
        </w:rPr>
        <w:t>on the European Central Bank Annual Report for 2016</w:t>
      </w:r>
    </w:p>
    <w:p w14:paraId="248FCF9D" w14:textId="77777777" w:rsidR="00607B19" w:rsidRPr="00762B5D" w:rsidRDefault="00171CA8" w:rsidP="00607B19">
      <w:pPr>
        <w:spacing w:after="600"/>
        <w:jc w:val="center"/>
        <w:rPr>
          <w:rFonts w:ascii="Times New Roman" w:eastAsia="Calibri" w:hAnsi="Times New Roman"/>
          <w:b/>
          <w:bCs/>
          <w:color w:val="000000"/>
          <w:szCs w:val="24"/>
          <w:lang w:val="fr-FR" w:eastAsia="en-US"/>
        </w:rPr>
      </w:pPr>
      <w:r w:rsidRPr="00A36268">
        <w:rPr>
          <w:rFonts w:ascii="Times New Roman" w:hAnsi="Times New Roman"/>
          <w:b/>
          <w:lang w:val="fr-FR"/>
        </w:rPr>
        <w:t>2017/2124</w:t>
      </w:r>
      <w:r w:rsidR="00F12C6C">
        <w:rPr>
          <w:rFonts w:ascii="Times New Roman" w:hAnsi="Times New Roman"/>
          <w:b/>
          <w:lang w:val="fr-FR"/>
        </w:rPr>
        <w:t xml:space="preserve"> </w:t>
      </w:r>
      <w:r w:rsidRPr="00A36268">
        <w:rPr>
          <w:rFonts w:ascii="Times New Roman" w:hAnsi="Times New Roman"/>
          <w:b/>
          <w:lang w:val="fr-FR"/>
        </w:rPr>
        <w:t>(INI)</w:t>
      </w:r>
    </w:p>
    <w:p w14:paraId="3C1C8663" w14:textId="77777777" w:rsidR="00607B19" w:rsidRPr="00445C76" w:rsidRDefault="00ED6321" w:rsidP="00445C76">
      <w:pPr>
        <w:ind w:left="567" w:hanging="567"/>
        <w:rPr>
          <w:rFonts w:ascii="Times New Roman" w:eastAsia="SimSun" w:hAnsi="Times New Roman"/>
          <w:szCs w:val="24"/>
          <w:lang w:val="fr-FR" w:eastAsia="ko-KR"/>
        </w:rPr>
      </w:pPr>
      <w:r w:rsidRPr="00445C76">
        <w:rPr>
          <w:rFonts w:ascii="Times New Roman" w:eastAsia="SimSun" w:hAnsi="Times New Roman"/>
          <w:b/>
          <w:szCs w:val="24"/>
          <w:lang w:val="fr-FR" w:eastAsia="ko-KR"/>
        </w:rPr>
        <w:t>1.</w:t>
      </w:r>
      <w:r w:rsidRPr="00445C76">
        <w:rPr>
          <w:rFonts w:ascii="Times New Roman" w:eastAsia="SimSun" w:hAnsi="Times New Roman"/>
          <w:b/>
          <w:szCs w:val="24"/>
          <w:lang w:val="fr-FR" w:eastAsia="ko-KR"/>
        </w:rPr>
        <w:tab/>
      </w:r>
      <w:r w:rsidR="00607B19" w:rsidRPr="00445C76">
        <w:rPr>
          <w:rFonts w:ascii="Times New Roman" w:eastAsia="SimSun" w:hAnsi="Times New Roman"/>
          <w:b/>
          <w:szCs w:val="24"/>
          <w:lang w:val="fr-FR" w:eastAsia="ko-KR"/>
        </w:rPr>
        <w:t xml:space="preserve">Rapporteur: </w:t>
      </w:r>
      <w:proofErr w:type="spellStart"/>
      <w:r w:rsidR="00607B19" w:rsidRPr="00445C76">
        <w:rPr>
          <w:rFonts w:ascii="Times New Roman" w:eastAsia="SimSun" w:hAnsi="Times New Roman"/>
          <w:szCs w:val="24"/>
          <w:lang w:val="fr-FR" w:eastAsia="ko-KR"/>
        </w:rPr>
        <w:t>Jonás</w:t>
      </w:r>
      <w:proofErr w:type="spellEnd"/>
      <w:r w:rsidR="00607B19" w:rsidRPr="00445C76">
        <w:rPr>
          <w:rFonts w:ascii="Times New Roman" w:eastAsia="SimSun" w:hAnsi="Times New Roman"/>
          <w:szCs w:val="24"/>
          <w:lang w:val="fr-FR" w:eastAsia="ko-KR"/>
        </w:rPr>
        <w:t xml:space="preserve"> FERNÁNDEZ</w:t>
      </w:r>
      <w:r w:rsidR="00607B19" w:rsidRPr="00445C76">
        <w:rPr>
          <w:rFonts w:ascii="Times New Roman" w:eastAsia="SimSun" w:hAnsi="Times New Roman"/>
          <w:b/>
          <w:szCs w:val="24"/>
          <w:lang w:val="fr-FR" w:eastAsia="ko-KR"/>
        </w:rPr>
        <w:t xml:space="preserve"> </w:t>
      </w:r>
      <w:r w:rsidR="00607B19" w:rsidRPr="00445C76">
        <w:rPr>
          <w:rFonts w:ascii="Times New Roman" w:eastAsia="SimSun" w:hAnsi="Times New Roman"/>
          <w:szCs w:val="24"/>
          <w:lang w:val="fr-FR" w:eastAsia="ko-KR"/>
        </w:rPr>
        <w:t>(S&amp;D/ES)</w:t>
      </w:r>
    </w:p>
    <w:p w14:paraId="2D5C6154" w14:textId="19E06C74" w:rsidR="00607B19" w:rsidRPr="0089179A" w:rsidRDefault="00ED6321" w:rsidP="00445C76">
      <w:pPr>
        <w:ind w:left="567" w:hanging="567"/>
        <w:rPr>
          <w:rFonts w:ascii="Times New Roman" w:eastAsia="SimSun" w:hAnsi="Times New Roman"/>
          <w:bCs/>
          <w:szCs w:val="24"/>
        </w:rPr>
      </w:pPr>
      <w:r>
        <w:rPr>
          <w:rFonts w:ascii="Times New Roman" w:eastAsia="SimSun" w:hAnsi="Times New Roman"/>
          <w:b/>
          <w:szCs w:val="24"/>
          <w:lang w:eastAsia="ko-KR"/>
        </w:rPr>
        <w:t>2.</w:t>
      </w:r>
      <w:r>
        <w:rPr>
          <w:rFonts w:ascii="Times New Roman" w:eastAsia="SimSun" w:hAnsi="Times New Roman"/>
          <w:b/>
          <w:szCs w:val="24"/>
          <w:lang w:eastAsia="ko-KR"/>
        </w:rPr>
        <w:tab/>
      </w:r>
      <w:r w:rsidR="00607B19" w:rsidRPr="0079333A">
        <w:rPr>
          <w:rFonts w:ascii="Times New Roman" w:eastAsia="SimSun" w:hAnsi="Times New Roman"/>
          <w:b/>
          <w:szCs w:val="24"/>
          <w:lang w:eastAsia="ko-KR"/>
        </w:rPr>
        <w:t xml:space="preserve">EP reference number: </w:t>
      </w:r>
      <w:bookmarkStart w:id="0" w:name="_GoBack"/>
      <w:r w:rsidR="00607B19" w:rsidRPr="00963ADF">
        <w:rPr>
          <w:rFonts w:ascii="Times New Roman" w:eastAsia="SimSun" w:hAnsi="Times New Roman"/>
          <w:bCs/>
          <w:szCs w:val="24"/>
        </w:rPr>
        <w:t>A8-0383/2017</w:t>
      </w:r>
      <w:r w:rsidR="00CB7C1B">
        <w:rPr>
          <w:rFonts w:ascii="Times New Roman" w:eastAsia="SimSun" w:hAnsi="Times New Roman"/>
          <w:bCs/>
          <w:szCs w:val="24"/>
        </w:rPr>
        <w:t xml:space="preserve"> </w:t>
      </w:r>
      <w:bookmarkEnd w:id="0"/>
      <w:r w:rsidR="00607B19" w:rsidRPr="0079333A">
        <w:rPr>
          <w:rFonts w:ascii="Times New Roman" w:eastAsia="SimSun" w:hAnsi="Times New Roman"/>
          <w:szCs w:val="24"/>
          <w:lang w:eastAsia="ko-KR"/>
        </w:rPr>
        <w:t xml:space="preserve">/ </w:t>
      </w:r>
      <w:r w:rsidR="00607B19" w:rsidRPr="00963ADF">
        <w:rPr>
          <w:rFonts w:ascii="Times New Roman" w:eastAsia="SimSun" w:hAnsi="Times New Roman"/>
          <w:szCs w:val="24"/>
          <w:lang w:eastAsia="ko-KR"/>
        </w:rPr>
        <w:t>P8_TA</w:t>
      </w:r>
      <w:r w:rsidR="00476719">
        <w:rPr>
          <w:rFonts w:ascii="Times New Roman" w:eastAsia="SimSun" w:hAnsi="Times New Roman"/>
          <w:szCs w:val="24"/>
          <w:lang w:eastAsia="ko-KR"/>
        </w:rPr>
        <w:t>-</w:t>
      </w:r>
      <w:proofErr w:type="gramStart"/>
      <w:r w:rsidR="00476719">
        <w:rPr>
          <w:rFonts w:ascii="Times New Roman" w:eastAsia="SimSun" w:hAnsi="Times New Roman"/>
          <w:szCs w:val="24"/>
          <w:lang w:eastAsia="ko-KR"/>
        </w:rPr>
        <w:t>PROV</w:t>
      </w:r>
      <w:r w:rsidR="00607B19" w:rsidRPr="00963ADF">
        <w:rPr>
          <w:rFonts w:ascii="Times New Roman" w:eastAsia="SimSun" w:hAnsi="Times New Roman"/>
          <w:szCs w:val="24"/>
          <w:lang w:eastAsia="ko-KR"/>
        </w:rPr>
        <w:t>(</w:t>
      </w:r>
      <w:proofErr w:type="gramEnd"/>
      <w:r w:rsidR="00607B19" w:rsidRPr="00963ADF">
        <w:rPr>
          <w:rFonts w:ascii="Times New Roman" w:eastAsia="SimSun" w:hAnsi="Times New Roman"/>
          <w:szCs w:val="24"/>
          <w:lang w:eastAsia="ko-KR"/>
        </w:rPr>
        <w:t>2018)</w:t>
      </w:r>
      <w:r w:rsidR="00607B19">
        <w:rPr>
          <w:rFonts w:ascii="Times New Roman" w:eastAsia="SimSun" w:hAnsi="Times New Roman"/>
          <w:szCs w:val="24"/>
          <w:lang w:eastAsia="ko-KR"/>
        </w:rPr>
        <w:t xml:space="preserve"> </w:t>
      </w:r>
      <w:r w:rsidR="00607B19" w:rsidRPr="00963ADF">
        <w:rPr>
          <w:rFonts w:ascii="Times New Roman" w:eastAsia="SimSun" w:hAnsi="Times New Roman"/>
          <w:szCs w:val="24"/>
          <w:lang w:eastAsia="ko-KR"/>
        </w:rPr>
        <w:t>0025</w:t>
      </w:r>
    </w:p>
    <w:p w14:paraId="4C0E936E" w14:textId="77777777" w:rsidR="00607B19" w:rsidRPr="0079333A" w:rsidRDefault="00ED6321" w:rsidP="00445C76">
      <w:pPr>
        <w:ind w:left="567" w:hanging="567"/>
        <w:rPr>
          <w:rFonts w:ascii="Times New Roman" w:eastAsia="SimSun" w:hAnsi="Times New Roman"/>
          <w:szCs w:val="24"/>
          <w:lang w:eastAsia="ko-KR"/>
        </w:rPr>
      </w:pPr>
      <w:r>
        <w:rPr>
          <w:rFonts w:ascii="Times New Roman" w:eastAsia="SimSun" w:hAnsi="Times New Roman"/>
          <w:b/>
          <w:szCs w:val="24"/>
          <w:lang w:eastAsia="ko-KR"/>
        </w:rPr>
        <w:t>3.</w:t>
      </w:r>
      <w:r>
        <w:rPr>
          <w:rFonts w:ascii="Times New Roman" w:eastAsia="SimSun" w:hAnsi="Times New Roman"/>
          <w:b/>
          <w:szCs w:val="24"/>
          <w:lang w:eastAsia="ko-KR"/>
        </w:rPr>
        <w:tab/>
      </w:r>
      <w:r w:rsidR="00607B19" w:rsidRPr="0079333A">
        <w:rPr>
          <w:rFonts w:ascii="Times New Roman" w:eastAsia="SimSun" w:hAnsi="Times New Roman"/>
          <w:b/>
          <w:szCs w:val="24"/>
          <w:lang w:eastAsia="ko-KR"/>
        </w:rPr>
        <w:t xml:space="preserve">Date of adoption of the resolution: </w:t>
      </w:r>
      <w:r w:rsidR="00607B19">
        <w:rPr>
          <w:rFonts w:ascii="Times New Roman" w:eastAsia="SimSun" w:hAnsi="Times New Roman"/>
          <w:szCs w:val="24"/>
          <w:lang w:eastAsia="ko-KR"/>
        </w:rPr>
        <w:t>6</w:t>
      </w:r>
      <w:r w:rsidR="00607B19" w:rsidRPr="0079333A">
        <w:rPr>
          <w:rFonts w:ascii="Times New Roman" w:eastAsia="SimSun" w:hAnsi="Times New Roman"/>
          <w:szCs w:val="24"/>
          <w:lang w:eastAsia="ko-KR"/>
        </w:rPr>
        <w:t xml:space="preserve"> </w:t>
      </w:r>
      <w:r w:rsidR="00607B19">
        <w:rPr>
          <w:rFonts w:ascii="Times New Roman" w:eastAsia="SimSun" w:hAnsi="Times New Roman"/>
          <w:szCs w:val="24"/>
          <w:lang w:val="en-US" w:eastAsia="ko-KR"/>
        </w:rPr>
        <w:t>February</w:t>
      </w:r>
      <w:r w:rsidR="00607B19">
        <w:rPr>
          <w:rFonts w:ascii="Times New Roman" w:eastAsia="SimSun" w:hAnsi="Times New Roman"/>
          <w:szCs w:val="24"/>
          <w:lang w:eastAsia="ko-KR"/>
        </w:rPr>
        <w:t xml:space="preserve"> 2018</w:t>
      </w:r>
    </w:p>
    <w:p w14:paraId="663ABA7A" w14:textId="51AD6DDD" w:rsidR="00607B19" w:rsidRDefault="00ED6321" w:rsidP="00445C76">
      <w:pPr>
        <w:autoSpaceDE w:val="0"/>
        <w:autoSpaceDN w:val="0"/>
        <w:adjustRightInd w:val="0"/>
        <w:ind w:left="567" w:hanging="567"/>
        <w:rPr>
          <w:rFonts w:ascii="Times New Roman" w:eastAsia="SimSun" w:hAnsi="Times New Roman"/>
          <w:bCs/>
          <w:szCs w:val="24"/>
          <w:lang w:eastAsia="ko-KR"/>
        </w:rPr>
      </w:pPr>
      <w:r>
        <w:rPr>
          <w:rFonts w:ascii="Times New Roman" w:eastAsia="SimSun" w:hAnsi="Times New Roman"/>
          <w:b/>
          <w:szCs w:val="24"/>
          <w:lang w:eastAsia="ko-KR"/>
        </w:rPr>
        <w:t>4.</w:t>
      </w:r>
      <w:r>
        <w:rPr>
          <w:rFonts w:ascii="Times New Roman" w:eastAsia="SimSun" w:hAnsi="Times New Roman"/>
          <w:b/>
          <w:szCs w:val="24"/>
          <w:lang w:eastAsia="ko-KR"/>
        </w:rPr>
        <w:tab/>
      </w:r>
      <w:r w:rsidR="00607B19" w:rsidRPr="0079333A">
        <w:rPr>
          <w:rFonts w:ascii="Times New Roman" w:eastAsia="SimSun" w:hAnsi="Times New Roman"/>
          <w:b/>
          <w:szCs w:val="24"/>
          <w:lang w:eastAsia="ko-KR"/>
        </w:rPr>
        <w:t xml:space="preserve">Subject: </w:t>
      </w:r>
      <w:r w:rsidR="00607B19" w:rsidRPr="00963ADF">
        <w:rPr>
          <w:rFonts w:ascii="Times New Roman" w:eastAsia="SimSun" w:hAnsi="Times New Roman"/>
          <w:bCs/>
          <w:szCs w:val="24"/>
          <w:lang w:eastAsia="ko-KR"/>
        </w:rPr>
        <w:t>European Central Bank Annual Report for 2016</w:t>
      </w:r>
    </w:p>
    <w:p w14:paraId="7610BA27" w14:textId="77777777" w:rsidR="00607B19" w:rsidRPr="00D84FA9" w:rsidRDefault="00ED6321" w:rsidP="00445C76">
      <w:pPr>
        <w:autoSpaceDE w:val="0"/>
        <w:autoSpaceDN w:val="0"/>
        <w:adjustRightInd w:val="0"/>
        <w:ind w:left="567" w:hanging="567"/>
        <w:rPr>
          <w:rFonts w:ascii="Times New Roman" w:eastAsia="SimSun" w:hAnsi="Times New Roman"/>
          <w:bCs/>
          <w:szCs w:val="24"/>
          <w:lang w:eastAsia="ko-KR"/>
        </w:rPr>
      </w:pPr>
      <w:r>
        <w:rPr>
          <w:rFonts w:ascii="Times New Roman" w:eastAsia="SimSun" w:hAnsi="Times New Roman"/>
          <w:b/>
          <w:bCs/>
          <w:szCs w:val="24"/>
        </w:rPr>
        <w:t>5.</w:t>
      </w:r>
      <w:r>
        <w:rPr>
          <w:rFonts w:ascii="Times New Roman" w:eastAsia="SimSun" w:hAnsi="Times New Roman"/>
          <w:b/>
          <w:bCs/>
          <w:szCs w:val="24"/>
        </w:rPr>
        <w:tab/>
      </w:r>
      <w:r w:rsidR="00607B19" w:rsidRPr="0079333A">
        <w:rPr>
          <w:rFonts w:ascii="Times New Roman" w:eastAsia="SimSun" w:hAnsi="Times New Roman"/>
          <w:b/>
          <w:bCs/>
          <w:szCs w:val="24"/>
        </w:rPr>
        <w:t xml:space="preserve">Competent Parliamentary Committee: </w:t>
      </w:r>
      <w:r w:rsidR="00607B19" w:rsidRPr="00D84FA9">
        <w:rPr>
          <w:rFonts w:ascii="Times New Roman" w:eastAsia="SimSun" w:hAnsi="Times New Roman"/>
          <w:bCs/>
          <w:szCs w:val="24"/>
        </w:rPr>
        <w:t>Committee on Economic and Monetary Affairs</w:t>
      </w:r>
      <w:r w:rsidR="00CB7C1B">
        <w:rPr>
          <w:rFonts w:ascii="Times New Roman" w:eastAsia="SimSun" w:hAnsi="Times New Roman"/>
          <w:bCs/>
          <w:szCs w:val="24"/>
        </w:rPr>
        <w:t xml:space="preserve"> (ECON)</w:t>
      </w:r>
    </w:p>
    <w:p w14:paraId="7AC25038" w14:textId="77777777" w:rsidR="00607B19" w:rsidRDefault="00ED6321" w:rsidP="00445C76">
      <w:pPr>
        <w:ind w:left="567" w:hanging="567"/>
        <w:rPr>
          <w:rFonts w:ascii="Times New Roman" w:eastAsia="SimSun" w:hAnsi="Times New Roman"/>
          <w:b/>
          <w:szCs w:val="24"/>
          <w:lang w:eastAsia="ko-KR"/>
        </w:rPr>
      </w:pPr>
      <w:r>
        <w:rPr>
          <w:rFonts w:ascii="Times New Roman" w:eastAsia="SimSun" w:hAnsi="Times New Roman"/>
          <w:b/>
          <w:szCs w:val="24"/>
          <w:lang w:eastAsia="ko-KR"/>
        </w:rPr>
        <w:t>6.</w:t>
      </w:r>
      <w:r>
        <w:rPr>
          <w:rFonts w:ascii="Times New Roman" w:eastAsia="SimSun" w:hAnsi="Times New Roman"/>
          <w:b/>
          <w:szCs w:val="24"/>
          <w:lang w:eastAsia="ko-KR"/>
        </w:rPr>
        <w:tab/>
      </w:r>
      <w:r w:rsidR="00607B19" w:rsidRPr="0079333A">
        <w:rPr>
          <w:rFonts w:ascii="Times New Roman" w:eastAsia="SimSun" w:hAnsi="Times New Roman"/>
          <w:b/>
          <w:szCs w:val="24"/>
          <w:lang w:eastAsia="ko-KR"/>
        </w:rPr>
        <w:t>Brief analysis/</w:t>
      </w:r>
      <w:r w:rsidR="00F12C6C">
        <w:rPr>
          <w:rFonts w:ascii="Times New Roman" w:eastAsia="SimSun" w:hAnsi="Times New Roman"/>
          <w:b/>
          <w:szCs w:val="24"/>
          <w:lang w:eastAsia="ko-KR"/>
        </w:rPr>
        <w:t xml:space="preserve"> </w:t>
      </w:r>
      <w:r w:rsidR="00607B19" w:rsidRPr="0079333A">
        <w:rPr>
          <w:rFonts w:ascii="Times New Roman" w:eastAsia="SimSun" w:hAnsi="Times New Roman"/>
          <w:b/>
          <w:szCs w:val="24"/>
          <w:lang w:eastAsia="ko-KR"/>
        </w:rPr>
        <w:t>assessment</w:t>
      </w:r>
      <w:r w:rsidR="00607B19">
        <w:rPr>
          <w:rFonts w:ascii="Times New Roman" w:eastAsia="SimSun" w:hAnsi="Times New Roman"/>
          <w:b/>
          <w:szCs w:val="24"/>
          <w:lang w:eastAsia="ko-KR"/>
        </w:rPr>
        <w:t xml:space="preserve"> </w:t>
      </w:r>
      <w:r w:rsidR="00607B19" w:rsidRPr="0079333A">
        <w:rPr>
          <w:rFonts w:ascii="Times New Roman" w:eastAsia="SimSun" w:hAnsi="Times New Roman"/>
          <w:b/>
          <w:szCs w:val="24"/>
          <w:lang w:eastAsia="ko-KR"/>
        </w:rPr>
        <w:t>of the resolution and of requests made in it:</w:t>
      </w:r>
    </w:p>
    <w:p w14:paraId="0B8C5D79" w14:textId="77777777" w:rsidR="00607B19" w:rsidRDefault="00607B19" w:rsidP="00607B19">
      <w:pPr>
        <w:spacing w:after="120"/>
        <w:ind w:right="-314"/>
        <w:rPr>
          <w:rFonts w:ascii="Times New Roman" w:hAnsi="Times New Roman"/>
        </w:rPr>
      </w:pPr>
      <w:r w:rsidRPr="008819B2">
        <w:rPr>
          <w:rFonts w:ascii="Times New Roman" w:hAnsi="Times New Roman"/>
        </w:rPr>
        <w:t>The resolution is based on the European Central Bank's (ECB) annual r</w:t>
      </w:r>
      <w:r>
        <w:rPr>
          <w:rFonts w:ascii="Times New Roman" w:hAnsi="Times New Roman"/>
        </w:rPr>
        <w:t>eport for 2016</w:t>
      </w:r>
      <w:r w:rsidRPr="008819B2">
        <w:rPr>
          <w:rFonts w:ascii="Times New Roman" w:hAnsi="Times New Roman"/>
        </w:rPr>
        <w:t xml:space="preserve">. </w:t>
      </w:r>
      <w:r>
        <w:rPr>
          <w:rFonts w:ascii="Times New Roman" w:hAnsi="Times New Roman"/>
        </w:rPr>
        <w:t xml:space="preserve">It </w:t>
      </w:r>
      <w:r w:rsidRPr="008819B2">
        <w:rPr>
          <w:rFonts w:ascii="Times New Roman" w:hAnsi="Times New Roman"/>
        </w:rPr>
        <w:t>notes that</w:t>
      </w:r>
      <w:r>
        <w:rPr>
          <w:rFonts w:ascii="Times New Roman" w:hAnsi="Times New Roman"/>
        </w:rPr>
        <w:t xml:space="preserve"> </w:t>
      </w:r>
      <w:r w:rsidRPr="00D83B98">
        <w:rPr>
          <w:rFonts w:ascii="Times New Roman" w:hAnsi="Times New Roman"/>
        </w:rPr>
        <w:t>the accommodative monetary policy pursued by the ECB</w:t>
      </w:r>
      <w:r>
        <w:rPr>
          <w:rFonts w:ascii="Times New Roman" w:hAnsi="Times New Roman"/>
        </w:rPr>
        <w:t xml:space="preserve">, </w:t>
      </w:r>
      <w:r w:rsidRPr="00D83B98">
        <w:rPr>
          <w:rFonts w:ascii="Times New Roman" w:hAnsi="Times New Roman"/>
        </w:rPr>
        <w:t>includ</w:t>
      </w:r>
      <w:r>
        <w:rPr>
          <w:rFonts w:ascii="Times New Roman" w:hAnsi="Times New Roman"/>
        </w:rPr>
        <w:t>ing its low interest rates and A</w:t>
      </w:r>
      <w:r w:rsidRPr="00D83B98">
        <w:rPr>
          <w:rFonts w:ascii="Times New Roman" w:hAnsi="Times New Roman"/>
        </w:rPr>
        <w:t xml:space="preserve">ssets </w:t>
      </w:r>
      <w:r>
        <w:rPr>
          <w:rFonts w:ascii="Times New Roman" w:hAnsi="Times New Roman"/>
        </w:rPr>
        <w:t>Purchase P</w:t>
      </w:r>
      <w:r w:rsidRPr="00D83B98">
        <w:rPr>
          <w:rFonts w:ascii="Times New Roman" w:hAnsi="Times New Roman"/>
        </w:rPr>
        <w:t>rogramme</w:t>
      </w:r>
      <w:r>
        <w:rPr>
          <w:rFonts w:ascii="Times New Roman" w:hAnsi="Times New Roman"/>
        </w:rPr>
        <w:t xml:space="preserve"> </w:t>
      </w:r>
      <w:r w:rsidRPr="008819B2">
        <w:rPr>
          <w:rFonts w:ascii="Times New Roman" w:hAnsi="Times New Roman"/>
        </w:rPr>
        <w:t>(APP)</w:t>
      </w:r>
      <w:r w:rsidR="00476719">
        <w:rPr>
          <w:rFonts w:ascii="Times New Roman" w:hAnsi="Times New Roman"/>
        </w:rPr>
        <w:t>,</w:t>
      </w:r>
      <w:r>
        <w:rPr>
          <w:rFonts w:ascii="Times New Roman" w:hAnsi="Times New Roman"/>
        </w:rPr>
        <w:t xml:space="preserve"> has contributed to cyclical economic recovery and employment creation, also by preserving favourable financing conditions for companies and households. At the same time, the resolution expresses concerns over the consequences of unconventional monetary policy measures for individual savers and the financial equilibrium of pension and insurance schemes as well as the build-up of asset bubbles. </w:t>
      </w:r>
      <w:r w:rsidRPr="008819B2">
        <w:rPr>
          <w:rFonts w:ascii="Times New Roman" w:hAnsi="Times New Roman"/>
        </w:rPr>
        <w:t>It also</w:t>
      </w:r>
      <w:r>
        <w:rPr>
          <w:rFonts w:ascii="Times New Roman" w:hAnsi="Times New Roman"/>
        </w:rPr>
        <w:t xml:space="preserve"> stresses</w:t>
      </w:r>
      <w:r w:rsidRPr="008819B2">
        <w:rPr>
          <w:rFonts w:ascii="Times New Roman" w:hAnsi="Times New Roman"/>
        </w:rPr>
        <w:t xml:space="preserve"> that monetary policy</w:t>
      </w:r>
      <w:r>
        <w:rPr>
          <w:rFonts w:ascii="Times New Roman" w:hAnsi="Times New Roman"/>
        </w:rPr>
        <w:t xml:space="preserve"> alone</w:t>
      </w:r>
      <w:r w:rsidRPr="008819B2">
        <w:rPr>
          <w:rFonts w:ascii="Times New Roman" w:hAnsi="Times New Roman"/>
        </w:rPr>
        <w:t xml:space="preserve"> cannot </w:t>
      </w:r>
      <w:r>
        <w:rPr>
          <w:rFonts w:ascii="Times New Roman" w:hAnsi="Times New Roman"/>
        </w:rPr>
        <w:t xml:space="preserve">achieve long-term economic development </w:t>
      </w:r>
      <w:r w:rsidRPr="008819B2">
        <w:rPr>
          <w:rFonts w:ascii="Times New Roman" w:hAnsi="Times New Roman"/>
        </w:rPr>
        <w:t xml:space="preserve">unless it is complemented by sound fiscal policies and </w:t>
      </w:r>
      <w:r w:rsidRPr="00024378">
        <w:rPr>
          <w:rFonts w:ascii="Times New Roman" w:hAnsi="Times New Roman"/>
        </w:rPr>
        <w:t xml:space="preserve">competitiveness-enhancing </w:t>
      </w:r>
      <w:r w:rsidRPr="008819B2">
        <w:rPr>
          <w:rFonts w:ascii="Times New Roman" w:hAnsi="Times New Roman"/>
        </w:rPr>
        <w:t>reforms</w:t>
      </w:r>
      <w:r>
        <w:rPr>
          <w:rFonts w:ascii="Times New Roman" w:hAnsi="Times New Roman"/>
        </w:rPr>
        <w:t xml:space="preserve"> at Member State level</w:t>
      </w:r>
      <w:r w:rsidRPr="008819B2">
        <w:rPr>
          <w:rFonts w:ascii="Times New Roman" w:hAnsi="Times New Roman"/>
        </w:rPr>
        <w:t xml:space="preserve">. It welcomes the steps forward taken by the ECB in publishing </w:t>
      </w:r>
      <w:r w:rsidRPr="001A30BC">
        <w:rPr>
          <w:rFonts w:ascii="Times New Roman" w:hAnsi="Times New Roman"/>
        </w:rPr>
        <w:t xml:space="preserve">its decisions of general application, </w:t>
      </w:r>
      <w:r w:rsidR="005F1CB7">
        <w:rPr>
          <w:rFonts w:ascii="Times New Roman" w:hAnsi="Times New Roman"/>
        </w:rPr>
        <w:t>R</w:t>
      </w:r>
      <w:r w:rsidRPr="001A30BC">
        <w:rPr>
          <w:rFonts w:ascii="Times New Roman" w:hAnsi="Times New Roman"/>
        </w:rPr>
        <w:t>egulations, recommendations and opinions</w:t>
      </w:r>
      <w:r w:rsidR="00476719">
        <w:rPr>
          <w:rFonts w:ascii="Times New Roman" w:hAnsi="Times New Roman"/>
        </w:rPr>
        <w:t>,</w:t>
      </w:r>
      <w:r>
        <w:rPr>
          <w:rFonts w:ascii="Times New Roman" w:hAnsi="Times New Roman"/>
        </w:rPr>
        <w:t xml:space="preserve"> and asks the ECB </w:t>
      </w:r>
      <w:r w:rsidRPr="001A30BC">
        <w:rPr>
          <w:rFonts w:ascii="Times New Roman" w:hAnsi="Times New Roman"/>
        </w:rPr>
        <w:t>to increase its transparency towards the public</w:t>
      </w:r>
      <w:r w:rsidRPr="008819B2">
        <w:rPr>
          <w:rFonts w:ascii="Times New Roman" w:hAnsi="Times New Roman"/>
        </w:rPr>
        <w:t>. Finally, the report affirms the European Parliament's commitment to the independence of the ECB in the conduct of monetary policy, as enshrined in th</w:t>
      </w:r>
      <w:r>
        <w:rPr>
          <w:rFonts w:ascii="Times New Roman" w:hAnsi="Times New Roman"/>
        </w:rPr>
        <w:t>e Treaties.</w:t>
      </w:r>
    </w:p>
    <w:p w14:paraId="22EA9871" w14:textId="77777777" w:rsidR="00607B19" w:rsidRDefault="00ED6321" w:rsidP="00445C76">
      <w:pPr>
        <w:spacing w:before="240"/>
        <w:ind w:left="567" w:hanging="567"/>
        <w:rPr>
          <w:rFonts w:ascii="Times New Roman" w:eastAsia="SimSun" w:hAnsi="Times New Roman"/>
          <w:b/>
          <w:szCs w:val="24"/>
          <w:lang w:eastAsia="ko-KR"/>
        </w:rPr>
      </w:pPr>
      <w:r>
        <w:rPr>
          <w:rFonts w:ascii="Times New Roman" w:eastAsia="SimSun" w:hAnsi="Times New Roman"/>
          <w:b/>
          <w:szCs w:val="24"/>
          <w:lang w:eastAsia="ko-KR"/>
        </w:rPr>
        <w:t>7.</w:t>
      </w:r>
      <w:r>
        <w:rPr>
          <w:rFonts w:ascii="Times New Roman" w:eastAsia="SimSun" w:hAnsi="Times New Roman"/>
          <w:b/>
          <w:szCs w:val="24"/>
          <w:lang w:eastAsia="ko-KR"/>
        </w:rPr>
        <w:tab/>
      </w:r>
      <w:r w:rsidR="00607B19" w:rsidRPr="008D2E51">
        <w:rPr>
          <w:rFonts w:ascii="Times New Roman" w:eastAsia="SimSun" w:hAnsi="Times New Roman"/>
          <w:b/>
          <w:szCs w:val="24"/>
          <w:lang w:eastAsia="ko-KR"/>
        </w:rPr>
        <w:t>Response to requests and overview of action taken, or intended to be taken, by the Commission</w:t>
      </w:r>
      <w:r w:rsidR="00607B19" w:rsidRPr="0079333A">
        <w:rPr>
          <w:rFonts w:ascii="Times New Roman" w:eastAsia="SimSun" w:hAnsi="Times New Roman"/>
          <w:b/>
          <w:szCs w:val="24"/>
          <w:lang w:eastAsia="ko-KR"/>
        </w:rPr>
        <w:t>:</w:t>
      </w:r>
    </w:p>
    <w:p w14:paraId="1CE6E458" w14:textId="77777777" w:rsidR="00607B19" w:rsidRDefault="00607B19" w:rsidP="00607B19">
      <w:pPr>
        <w:spacing w:after="120"/>
        <w:rPr>
          <w:rFonts w:ascii="Times New Roman" w:hAnsi="Times New Roman"/>
          <w:szCs w:val="24"/>
        </w:rPr>
      </w:pPr>
      <w:r w:rsidRPr="00220A71">
        <w:rPr>
          <w:rFonts w:ascii="Times New Roman" w:hAnsi="Times New Roman"/>
          <w:szCs w:val="24"/>
        </w:rPr>
        <w:t xml:space="preserve">On the specific </w:t>
      </w:r>
      <w:r>
        <w:rPr>
          <w:rFonts w:ascii="Times New Roman" w:hAnsi="Times New Roman"/>
          <w:szCs w:val="24"/>
        </w:rPr>
        <w:t>calls</w:t>
      </w:r>
      <w:r w:rsidRPr="00220A71">
        <w:rPr>
          <w:rFonts w:ascii="Times New Roman" w:hAnsi="Times New Roman"/>
          <w:szCs w:val="24"/>
        </w:rPr>
        <w:t xml:space="preserve"> </w:t>
      </w:r>
      <w:r>
        <w:rPr>
          <w:rFonts w:ascii="Times New Roman" w:hAnsi="Times New Roman"/>
          <w:szCs w:val="24"/>
        </w:rPr>
        <w:t xml:space="preserve">to the Commission </w:t>
      </w:r>
      <w:r w:rsidRPr="00220A71">
        <w:rPr>
          <w:rFonts w:ascii="Times New Roman" w:hAnsi="Times New Roman"/>
          <w:szCs w:val="24"/>
        </w:rPr>
        <w:t>mentioned in the resolution</w:t>
      </w:r>
      <w:r>
        <w:rPr>
          <w:rFonts w:ascii="Times New Roman" w:hAnsi="Times New Roman"/>
          <w:szCs w:val="24"/>
        </w:rPr>
        <w:t>:</w:t>
      </w:r>
    </w:p>
    <w:p w14:paraId="60D2CDC5" w14:textId="78BD1401" w:rsidR="00607B19" w:rsidRPr="00476719" w:rsidRDefault="00ED22FA" w:rsidP="00ED1BC0">
      <w:pPr>
        <w:spacing w:after="120"/>
        <w:rPr>
          <w:rFonts w:ascii="Times New Roman" w:eastAsia="SimSun" w:hAnsi="Times New Roman"/>
          <w:szCs w:val="24"/>
          <w:lang w:eastAsia="ko-KR"/>
        </w:rPr>
      </w:pPr>
      <w:r w:rsidRPr="00BD7EA1">
        <w:rPr>
          <w:rFonts w:ascii="Times New Roman" w:eastAsia="SimSun" w:hAnsi="Times New Roman"/>
          <w:b/>
          <w:szCs w:val="24"/>
          <w:lang w:eastAsia="ko-KR"/>
        </w:rPr>
        <w:t>Paragraph 36</w:t>
      </w:r>
      <w:r>
        <w:rPr>
          <w:rFonts w:ascii="Times New Roman" w:eastAsia="SimSun" w:hAnsi="Times New Roman"/>
          <w:szCs w:val="24"/>
          <w:lang w:eastAsia="ko-KR"/>
        </w:rPr>
        <w:t xml:space="preserve"> </w:t>
      </w:r>
      <w:r w:rsidR="00607B19" w:rsidRPr="00BD7EA1">
        <w:rPr>
          <w:rFonts w:ascii="Times New Roman" w:eastAsia="SimSun" w:hAnsi="Times New Roman"/>
          <w:szCs w:val="24"/>
          <w:lang w:eastAsia="ko-KR"/>
        </w:rPr>
        <w:t>"</w:t>
      </w:r>
      <w:r w:rsidR="00607B19" w:rsidRPr="00445C76">
        <w:rPr>
          <w:rFonts w:ascii="Times New Roman" w:eastAsia="SimSun" w:hAnsi="Times New Roman"/>
          <w:szCs w:val="24"/>
          <w:lang w:eastAsia="ko-KR"/>
        </w:rPr>
        <w:t>[</w:t>
      </w:r>
      <w:r w:rsidR="00607B19" w:rsidRPr="00445C76">
        <w:rPr>
          <w:rFonts w:ascii="Times New Roman" w:eastAsia="SimSun" w:hAnsi="Times New Roman"/>
          <w:szCs w:val="24"/>
          <w:lang w:val="el-GR" w:eastAsia="ko-KR"/>
        </w:rPr>
        <w:t>Τ</w:t>
      </w:r>
      <w:r w:rsidR="00607B19" w:rsidRPr="00445C76">
        <w:rPr>
          <w:rFonts w:ascii="Times New Roman" w:eastAsia="SimSun" w:hAnsi="Times New Roman"/>
          <w:szCs w:val="24"/>
          <w:lang w:val="en-US" w:eastAsia="ko-KR"/>
        </w:rPr>
        <w:t>he European Parliament]</w:t>
      </w:r>
      <w:r w:rsidR="00607B19">
        <w:rPr>
          <w:rFonts w:ascii="Times New Roman" w:eastAsia="SimSun" w:hAnsi="Times New Roman"/>
          <w:i/>
          <w:szCs w:val="24"/>
          <w:lang w:val="en-US" w:eastAsia="ko-KR"/>
        </w:rPr>
        <w:t xml:space="preserve"> </w:t>
      </w:r>
      <w:r w:rsidR="00607B19">
        <w:rPr>
          <w:rFonts w:ascii="Times New Roman" w:eastAsia="SimSun" w:hAnsi="Times New Roman"/>
          <w:i/>
          <w:szCs w:val="24"/>
          <w:lang w:eastAsia="ko-KR"/>
        </w:rPr>
        <w:t>t</w:t>
      </w:r>
      <w:r w:rsidR="00607B19" w:rsidRPr="00024378">
        <w:rPr>
          <w:rFonts w:ascii="Times New Roman" w:eastAsia="SimSun" w:hAnsi="Times New Roman"/>
          <w:i/>
          <w:szCs w:val="24"/>
          <w:lang w:eastAsia="ko-KR"/>
        </w:rPr>
        <w:t>akes note of the ongoing discussions concerning a</w:t>
      </w:r>
      <w:r w:rsidR="00607B19" w:rsidRPr="00476719">
        <w:rPr>
          <w:rFonts w:ascii="Times New Roman" w:eastAsia="SimSun" w:hAnsi="Times New Roman"/>
          <w:i/>
          <w:szCs w:val="24"/>
          <w:lang w:eastAsia="ko-KR"/>
        </w:rPr>
        <w:t xml:space="preserve"> </w:t>
      </w:r>
      <w:r w:rsidR="00476719" w:rsidRPr="00445C76">
        <w:rPr>
          <w:rFonts w:ascii="Times New Roman" w:hAnsi="Times New Roman"/>
          <w:i/>
        </w:rPr>
        <w:t>'</w:t>
      </w:r>
      <w:r w:rsidR="00607B19" w:rsidRPr="00024378">
        <w:rPr>
          <w:rFonts w:ascii="Times New Roman" w:eastAsia="SimSun" w:hAnsi="Times New Roman"/>
          <w:i/>
          <w:szCs w:val="24"/>
          <w:lang w:eastAsia="ko-KR"/>
        </w:rPr>
        <w:t>central bank digital currency</w:t>
      </w:r>
      <w:r w:rsidR="00476719" w:rsidRPr="00445C76">
        <w:rPr>
          <w:rFonts w:ascii="Times New Roman" w:hAnsi="Times New Roman"/>
          <w:i/>
        </w:rPr>
        <w:t>'</w:t>
      </w:r>
      <w:r w:rsidR="00607B19" w:rsidRPr="00024378">
        <w:rPr>
          <w:rFonts w:ascii="Times New Roman" w:eastAsia="SimSun" w:hAnsi="Times New Roman"/>
          <w:i/>
          <w:szCs w:val="24"/>
          <w:lang w:eastAsia="ko-KR"/>
        </w:rPr>
        <w:t xml:space="preserve"> or </w:t>
      </w:r>
      <w:r w:rsidR="00476719" w:rsidRPr="00476719">
        <w:rPr>
          <w:rFonts w:ascii="Times New Roman" w:eastAsia="SimSun" w:hAnsi="Times New Roman"/>
          <w:i/>
          <w:szCs w:val="24"/>
          <w:lang w:eastAsia="ko-KR"/>
        </w:rPr>
        <w:t>'</w:t>
      </w:r>
      <w:r w:rsidR="00607B19" w:rsidRPr="00024378">
        <w:rPr>
          <w:rFonts w:ascii="Times New Roman" w:eastAsia="SimSun" w:hAnsi="Times New Roman"/>
          <w:i/>
          <w:szCs w:val="24"/>
          <w:lang w:eastAsia="ko-KR"/>
        </w:rPr>
        <w:t>digital base money</w:t>
      </w:r>
      <w:r w:rsidR="00476719" w:rsidRPr="00445C76">
        <w:rPr>
          <w:rFonts w:ascii="Times New Roman" w:hAnsi="Times New Roman"/>
          <w:i/>
        </w:rPr>
        <w:t>'</w:t>
      </w:r>
      <w:r w:rsidR="00607B19" w:rsidRPr="00024378">
        <w:rPr>
          <w:rFonts w:ascii="Times New Roman" w:eastAsia="SimSun" w:hAnsi="Times New Roman"/>
          <w:i/>
          <w:szCs w:val="24"/>
          <w:lang w:eastAsia="ko-KR"/>
        </w:rPr>
        <w:t xml:space="preserve"> that would be made available to a wide range of counterparties, including households; encourages the Commission and the ECB to study such schemes with a view to improving public access to payment systems, alongside physical money, as well as the potential challenges entailed for the </w:t>
      </w:r>
      <w:r w:rsidR="00607B19">
        <w:rPr>
          <w:rFonts w:ascii="Times New Roman" w:eastAsia="SimSun" w:hAnsi="Times New Roman"/>
          <w:i/>
          <w:szCs w:val="24"/>
          <w:lang w:eastAsia="ko-KR"/>
        </w:rPr>
        <w:t>ECB’s monopoly of issuing money</w:t>
      </w:r>
      <w:r w:rsidR="00620E6E" w:rsidRPr="00476719">
        <w:rPr>
          <w:rFonts w:ascii="Times New Roman" w:eastAsia="SimSun" w:hAnsi="Times New Roman"/>
          <w:i/>
          <w:szCs w:val="24"/>
          <w:lang w:eastAsia="ko-KR"/>
        </w:rPr>
        <w:t xml:space="preserve"> </w:t>
      </w:r>
      <w:r w:rsidR="00620E6E" w:rsidRPr="00445C76">
        <w:rPr>
          <w:rFonts w:ascii="Times New Roman" w:hAnsi="Times New Roman"/>
          <w:szCs w:val="24"/>
        </w:rPr>
        <w:t>[…]"</w:t>
      </w:r>
      <w:r w:rsidR="00620E6E" w:rsidRPr="00445C76">
        <w:rPr>
          <w:rFonts w:ascii="Times New Roman" w:hAnsi="Times New Roman"/>
          <w:b/>
          <w:szCs w:val="24"/>
        </w:rPr>
        <w:t>:</w:t>
      </w:r>
    </w:p>
    <w:p w14:paraId="122CFB8D" w14:textId="77777777" w:rsidR="00607B19" w:rsidRPr="00024378" w:rsidRDefault="00607B19" w:rsidP="00607B19">
      <w:pPr>
        <w:spacing w:after="120"/>
        <w:rPr>
          <w:rFonts w:ascii="Times New Roman" w:eastAsia="SimSun" w:hAnsi="Times New Roman"/>
          <w:szCs w:val="24"/>
          <w:lang w:eastAsia="ko-KR"/>
        </w:rPr>
      </w:pPr>
      <w:r>
        <w:rPr>
          <w:rFonts w:ascii="Times New Roman" w:eastAsia="SimSun" w:hAnsi="Times New Roman"/>
          <w:szCs w:val="24"/>
          <w:lang w:eastAsia="ko-KR"/>
        </w:rPr>
        <w:t>The Commission</w:t>
      </w:r>
      <w:r w:rsidRPr="00024378">
        <w:rPr>
          <w:rFonts w:ascii="Times New Roman" w:eastAsia="SimSun" w:hAnsi="Times New Roman"/>
          <w:szCs w:val="24"/>
          <w:lang w:eastAsia="ko-KR"/>
        </w:rPr>
        <w:t xml:space="preserve"> agree</w:t>
      </w:r>
      <w:r>
        <w:rPr>
          <w:rFonts w:ascii="Times New Roman" w:eastAsia="SimSun" w:hAnsi="Times New Roman"/>
          <w:szCs w:val="24"/>
          <w:lang w:eastAsia="ko-KR"/>
        </w:rPr>
        <w:t>s</w:t>
      </w:r>
      <w:r w:rsidRPr="00024378">
        <w:rPr>
          <w:rFonts w:ascii="Times New Roman" w:eastAsia="SimSun" w:hAnsi="Times New Roman"/>
          <w:szCs w:val="24"/>
          <w:lang w:eastAsia="ko-KR"/>
        </w:rPr>
        <w:t xml:space="preserve"> that further study of the potential challenges associated with </w:t>
      </w:r>
      <w:r w:rsidRPr="00FB4169">
        <w:rPr>
          <w:rFonts w:ascii="Times New Roman" w:eastAsia="SimSun" w:hAnsi="Times New Roman"/>
          <w:szCs w:val="24"/>
          <w:lang w:eastAsia="ko-KR"/>
        </w:rPr>
        <w:t>central bank digital currency schemes or digital base money with respect</w:t>
      </w:r>
      <w:r>
        <w:rPr>
          <w:rFonts w:ascii="Times New Roman" w:eastAsia="SimSun" w:hAnsi="Times New Roman"/>
          <w:szCs w:val="24"/>
          <w:lang w:eastAsia="ko-KR"/>
        </w:rPr>
        <w:t xml:space="preserve"> to access to payment systems is needed. To this end, the Commission</w:t>
      </w:r>
      <w:r w:rsidRPr="00024378">
        <w:rPr>
          <w:rFonts w:ascii="Times New Roman" w:eastAsia="SimSun" w:hAnsi="Times New Roman"/>
          <w:szCs w:val="24"/>
          <w:lang w:eastAsia="ko-KR"/>
        </w:rPr>
        <w:t xml:space="preserve"> will li</w:t>
      </w:r>
      <w:r>
        <w:rPr>
          <w:rFonts w:ascii="Times New Roman" w:eastAsia="SimSun" w:hAnsi="Times New Roman"/>
          <w:szCs w:val="24"/>
          <w:lang w:eastAsia="ko-KR"/>
        </w:rPr>
        <w:t>aise closely with the ECB.</w:t>
      </w:r>
    </w:p>
    <w:p w14:paraId="62BB02CC" w14:textId="77777777" w:rsidR="007C5886" w:rsidRPr="00607B19" w:rsidRDefault="00607B19" w:rsidP="00607B19">
      <w:pPr>
        <w:spacing w:after="120"/>
        <w:rPr>
          <w:rFonts w:ascii="Times New Roman" w:hAnsi="Times New Roman"/>
          <w:bCs/>
          <w:u w:val="single"/>
        </w:rPr>
      </w:pPr>
      <w:r w:rsidRPr="00024378">
        <w:rPr>
          <w:rFonts w:ascii="Times New Roman" w:eastAsia="SimSun" w:hAnsi="Times New Roman"/>
          <w:szCs w:val="24"/>
          <w:lang w:eastAsia="ko-KR"/>
        </w:rPr>
        <w:t xml:space="preserve">Concerning cryptocurrencies, the Commission </w:t>
      </w:r>
      <w:r>
        <w:rPr>
          <w:rFonts w:ascii="Times New Roman" w:eastAsia="SimSun" w:hAnsi="Times New Roman"/>
          <w:szCs w:val="24"/>
          <w:lang w:eastAsia="ko-KR"/>
        </w:rPr>
        <w:t>has already undertaken</w:t>
      </w:r>
      <w:r w:rsidRPr="00024378">
        <w:rPr>
          <w:rFonts w:ascii="Times New Roman" w:eastAsia="SimSun" w:hAnsi="Times New Roman"/>
          <w:szCs w:val="24"/>
          <w:lang w:eastAsia="ko-KR"/>
        </w:rPr>
        <w:t xml:space="preserve"> several initiatives. In 2016</w:t>
      </w:r>
      <w:r>
        <w:rPr>
          <w:rFonts w:ascii="Times New Roman" w:eastAsia="SimSun" w:hAnsi="Times New Roman"/>
          <w:szCs w:val="24"/>
          <w:lang w:eastAsia="ko-KR"/>
        </w:rPr>
        <w:t>,</w:t>
      </w:r>
      <w:r w:rsidRPr="00024378">
        <w:rPr>
          <w:rFonts w:ascii="Times New Roman" w:eastAsia="SimSun" w:hAnsi="Times New Roman"/>
          <w:szCs w:val="24"/>
          <w:lang w:eastAsia="ko-KR"/>
        </w:rPr>
        <w:t xml:space="preserve"> a Financial Technology Task Force (FTTF)</w:t>
      </w:r>
      <w:r>
        <w:rPr>
          <w:rFonts w:ascii="Times New Roman" w:eastAsia="SimSun" w:hAnsi="Times New Roman"/>
          <w:szCs w:val="24"/>
          <w:lang w:eastAsia="ko-KR"/>
        </w:rPr>
        <w:t xml:space="preserve"> was</w:t>
      </w:r>
      <w:r w:rsidRPr="00024378">
        <w:rPr>
          <w:rFonts w:ascii="Times New Roman" w:eastAsia="SimSun" w:hAnsi="Times New Roman"/>
          <w:szCs w:val="24"/>
          <w:lang w:eastAsia="ko-KR"/>
        </w:rPr>
        <w:t xml:space="preserve"> set up, bringing together relevant Commission services and outside experts and stak</w:t>
      </w:r>
      <w:r>
        <w:rPr>
          <w:rFonts w:ascii="Times New Roman" w:eastAsia="SimSun" w:hAnsi="Times New Roman"/>
          <w:szCs w:val="24"/>
          <w:lang w:eastAsia="ko-KR"/>
        </w:rPr>
        <w:t>eholders. In the course of 2017, the Commission</w:t>
      </w:r>
      <w:r w:rsidRPr="00024378">
        <w:rPr>
          <w:rFonts w:ascii="Times New Roman" w:eastAsia="SimSun" w:hAnsi="Times New Roman"/>
          <w:szCs w:val="24"/>
          <w:lang w:eastAsia="ko-KR"/>
        </w:rPr>
        <w:t xml:space="preserve"> carried out a public consultation</w:t>
      </w:r>
      <w:r>
        <w:rPr>
          <w:rFonts w:ascii="Times New Roman" w:eastAsia="SimSun" w:hAnsi="Times New Roman"/>
          <w:szCs w:val="24"/>
          <w:lang w:eastAsia="ko-KR"/>
        </w:rPr>
        <w:t xml:space="preserve"> and</w:t>
      </w:r>
      <w:r w:rsidRPr="00024378">
        <w:rPr>
          <w:rFonts w:ascii="Times New Roman" w:eastAsia="SimSun" w:hAnsi="Times New Roman"/>
          <w:szCs w:val="24"/>
          <w:lang w:eastAsia="ko-KR"/>
        </w:rPr>
        <w:t xml:space="preserve"> launched the project #Blockchain4EU to explore existing, emerging and potential applications based on </w:t>
      </w:r>
      <w:proofErr w:type="spellStart"/>
      <w:r w:rsidRPr="00024378">
        <w:rPr>
          <w:rFonts w:ascii="Times New Roman" w:eastAsia="SimSun" w:hAnsi="Times New Roman"/>
          <w:szCs w:val="24"/>
          <w:lang w:eastAsia="ko-KR"/>
        </w:rPr>
        <w:t>blockchain</w:t>
      </w:r>
      <w:proofErr w:type="spellEnd"/>
      <w:r w:rsidRPr="00024378">
        <w:rPr>
          <w:rFonts w:ascii="Times New Roman" w:eastAsia="SimSun" w:hAnsi="Times New Roman"/>
          <w:szCs w:val="24"/>
          <w:lang w:eastAsia="ko-KR"/>
        </w:rPr>
        <w:t xml:space="preserve"> for non-finan</w:t>
      </w:r>
      <w:r>
        <w:rPr>
          <w:rFonts w:ascii="Times New Roman" w:eastAsia="SimSun" w:hAnsi="Times New Roman"/>
          <w:szCs w:val="24"/>
          <w:lang w:eastAsia="ko-KR"/>
        </w:rPr>
        <w:t xml:space="preserve">cial sectors. </w:t>
      </w:r>
      <w:r w:rsidR="00981F48">
        <w:rPr>
          <w:rFonts w:ascii="Times New Roman" w:eastAsia="SimSun" w:hAnsi="Times New Roman"/>
          <w:szCs w:val="24"/>
          <w:lang w:eastAsia="ko-KR"/>
        </w:rPr>
        <w:t>Finally,</w:t>
      </w:r>
      <w:r>
        <w:rPr>
          <w:rFonts w:ascii="Times New Roman" w:eastAsia="SimSun" w:hAnsi="Times New Roman"/>
          <w:szCs w:val="24"/>
          <w:lang w:eastAsia="ko-KR"/>
        </w:rPr>
        <w:t xml:space="preserve"> in 2017, the Commission</w:t>
      </w:r>
      <w:r w:rsidRPr="00024378">
        <w:rPr>
          <w:rFonts w:ascii="Times New Roman" w:eastAsia="SimSun" w:hAnsi="Times New Roman"/>
          <w:szCs w:val="24"/>
          <w:lang w:eastAsia="ko-KR"/>
        </w:rPr>
        <w:t xml:space="preserve"> also published a call for tender to set up an EU </w:t>
      </w:r>
      <w:proofErr w:type="spellStart"/>
      <w:r w:rsidRPr="00024378">
        <w:rPr>
          <w:rFonts w:ascii="Times New Roman" w:eastAsia="SimSun" w:hAnsi="Times New Roman"/>
          <w:szCs w:val="24"/>
          <w:lang w:eastAsia="ko-KR"/>
        </w:rPr>
        <w:t>Blockchain</w:t>
      </w:r>
      <w:proofErr w:type="spellEnd"/>
      <w:r w:rsidRPr="00024378">
        <w:rPr>
          <w:rFonts w:ascii="Times New Roman" w:eastAsia="SimSun" w:hAnsi="Times New Roman"/>
          <w:szCs w:val="24"/>
          <w:lang w:eastAsia="ko-KR"/>
        </w:rPr>
        <w:t xml:space="preserve"> Observatory which should become an EU expertise hub to discuss forward-looking topics on </w:t>
      </w:r>
      <w:proofErr w:type="spellStart"/>
      <w:r w:rsidRPr="00024378">
        <w:rPr>
          <w:rFonts w:ascii="Times New Roman" w:eastAsia="SimSun" w:hAnsi="Times New Roman"/>
          <w:szCs w:val="24"/>
          <w:lang w:eastAsia="ko-KR"/>
        </w:rPr>
        <w:t>blockchain</w:t>
      </w:r>
      <w:proofErr w:type="spellEnd"/>
      <w:r w:rsidRPr="00024378">
        <w:rPr>
          <w:rFonts w:ascii="Times New Roman" w:eastAsia="SimSun" w:hAnsi="Times New Roman"/>
          <w:szCs w:val="24"/>
          <w:lang w:eastAsia="ko-KR"/>
        </w:rPr>
        <w:t xml:space="preserve"> technology at EU level</w:t>
      </w:r>
      <w:r w:rsidRPr="00445C76">
        <w:rPr>
          <w:rFonts w:ascii="Times New Roman" w:hAnsi="Times New Roman"/>
        </w:rPr>
        <w:t>.</w:t>
      </w:r>
    </w:p>
    <w:sectPr w:rsidR="007C5886" w:rsidRPr="00607B19" w:rsidSect="006B51BB">
      <w:footerReference w:type="even" r:id="rId9"/>
      <w:footerReference w:type="default" r:id="rId10"/>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14D6" w14:textId="77777777" w:rsidR="00B2476D" w:rsidRDefault="00B2476D">
      <w:r>
        <w:separator/>
      </w:r>
    </w:p>
  </w:endnote>
  <w:endnote w:type="continuationSeparator" w:id="0">
    <w:p w14:paraId="5A848CA9" w14:textId="77777777" w:rsidR="00B2476D" w:rsidRDefault="00B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F034" w14:textId="7777777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F01BF60" w14:textId="77777777" w:rsidR="00B2476D" w:rsidRDefault="00B2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BFDC" w14:textId="57418BAC"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8DB">
      <w:rPr>
        <w:rStyle w:val="PageNumber"/>
        <w:noProof/>
      </w:rPr>
      <w:t>2</w:t>
    </w:r>
    <w:r>
      <w:rPr>
        <w:rStyle w:val="PageNumber"/>
      </w:rPr>
      <w:fldChar w:fldCharType="end"/>
    </w:r>
  </w:p>
  <w:p w14:paraId="1D943177" w14:textId="77777777" w:rsidR="00B2476D" w:rsidRPr="008A6623" w:rsidRDefault="00B2476D"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9972" w14:textId="77777777" w:rsidR="00B2476D" w:rsidRDefault="00B2476D">
      <w:r>
        <w:separator/>
      </w:r>
    </w:p>
  </w:footnote>
  <w:footnote w:type="continuationSeparator" w:id="0">
    <w:p w14:paraId="7C271BA7" w14:textId="77777777" w:rsidR="00B2476D" w:rsidRDefault="00B2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FC7B6C"/>
    <w:multiLevelType w:val="hybridMultilevel"/>
    <w:tmpl w:val="DF0ED71E"/>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4">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08084908"/>
    <w:multiLevelType w:val="hybridMultilevel"/>
    <w:tmpl w:val="DF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91362"/>
    <w:multiLevelType w:val="hybridMultilevel"/>
    <w:tmpl w:val="947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9">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2E414132"/>
    <w:multiLevelType w:val="hybridMultilevel"/>
    <w:tmpl w:val="85F6CA42"/>
    <w:lvl w:ilvl="0" w:tplc="F5FA3DF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5">
    <w:nsid w:val="315B2A44"/>
    <w:multiLevelType w:val="hybridMultilevel"/>
    <w:tmpl w:val="A12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38012B17"/>
    <w:multiLevelType w:val="hybridMultilevel"/>
    <w:tmpl w:val="629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A31AD4"/>
    <w:multiLevelType w:val="hybridMultilevel"/>
    <w:tmpl w:val="D9E6F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46256A"/>
    <w:multiLevelType w:val="hybridMultilevel"/>
    <w:tmpl w:val="92E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7">
    <w:nsid w:val="4B856B29"/>
    <w:multiLevelType w:val="hybridMultilevel"/>
    <w:tmpl w:val="BA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nsid w:val="52E555D2"/>
    <w:multiLevelType w:val="hybridMultilevel"/>
    <w:tmpl w:val="D60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2">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3">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2C2DF4"/>
    <w:multiLevelType w:val="hybridMultilevel"/>
    <w:tmpl w:val="3B189378"/>
    <w:lvl w:ilvl="0" w:tplc="D660C1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B07113"/>
    <w:multiLevelType w:val="hybridMultilevel"/>
    <w:tmpl w:val="101E8BF0"/>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8">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nsid w:val="62E663AD"/>
    <w:multiLevelType w:val="hybridMultilevel"/>
    <w:tmpl w:val="586EC636"/>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nsid w:val="635D452D"/>
    <w:multiLevelType w:val="hybridMultilevel"/>
    <w:tmpl w:val="3F04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9BE7756"/>
    <w:multiLevelType w:val="hybridMultilevel"/>
    <w:tmpl w:val="6282A95C"/>
    <w:lvl w:ilvl="0" w:tplc="0BEC9D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9FA71A9"/>
    <w:multiLevelType w:val="hybridMultilevel"/>
    <w:tmpl w:val="749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9">
    <w:nsid w:val="6D4C3A0C"/>
    <w:multiLevelType w:val="hybridMultilevel"/>
    <w:tmpl w:val="1DC6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4B34532"/>
    <w:multiLevelType w:val="hybridMultilevel"/>
    <w:tmpl w:val="2C029300"/>
    <w:lvl w:ilvl="0" w:tplc="08090017">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62">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64">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5">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6">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7">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7D02020F"/>
    <w:multiLevelType w:val="hybridMultilevel"/>
    <w:tmpl w:val="60866108"/>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3"/>
  </w:num>
  <w:num w:numId="2">
    <w:abstractNumId w:val="3"/>
  </w:num>
  <w:num w:numId="3">
    <w:abstractNumId w:val="65"/>
  </w:num>
  <w:num w:numId="4">
    <w:abstractNumId w:val="21"/>
  </w:num>
  <w:num w:numId="5">
    <w:abstractNumId w:val="58"/>
  </w:num>
  <w:num w:numId="6">
    <w:abstractNumId w:val="18"/>
  </w:num>
  <w:num w:numId="7">
    <w:abstractNumId w:val="12"/>
  </w:num>
  <w:num w:numId="8">
    <w:abstractNumId w:val="29"/>
  </w:num>
  <w:num w:numId="9">
    <w:abstractNumId w:val="64"/>
  </w:num>
  <w:num w:numId="10">
    <w:abstractNumId w:val="42"/>
  </w:num>
  <w:num w:numId="11">
    <w:abstractNumId w:val="54"/>
  </w:num>
  <w:num w:numId="12">
    <w:abstractNumId w:val="19"/>
  </w:num>
  <w:num w:numId="13">
    <w:abstractNumId w:val="33"/>
  </w:num>
  <w:num w:numId="14">
    <w:abstractNumId w:val="62"/>
  </w:num>
  <w:num w:numId="15">
    <w:abstractNumId w:val="28"/>
  </w:num>
  <w:num w:numId="16">
    <w:abstractNumId w:val="69"/>
  </w:num>
  <w:num w:numId="17">
    <w:abstractNumId w:val="63"/>
  </w:num>
  <w:num w:numId="18">
    <w:abstractNumId w:val="38"/>
  </w:num>
  <w:num w:numId="19">
    <w:abstractNumId w:val="40"/>
  </w:num>
  <w:num w:numId="20">
    <w:abstractNumId w:val="57"/>
  </w:num>
  <w:num w:numId="21">
    <w:abstractNumId w:val="7"/>
  </w:num>
  <w:num w:numId="22">
    <w:abstractNumId w:val="8"/>
  </w:num>
  <w:num w:numId="23">
    <w:abstractNumId w:val="27"/>
  </w:num>
  <w:num w:numId="24">
    <w:abstractNumId w:val="67"/>
  </w:num>
  <w:num w:numId="25">
    <w:abstractNumId w:val="31"/>
  </w:num>
  <w:num w:numId="26">
    <w:abstractNumId w:val="26"/>
  </w:num>
  <w:num w:numId="27">
    <w:abstractNumId w:val="60"/>
  </w:num>
  <w:num w:numId="28">
    <w:abstractNumId w:val="16"/>
  </w:num>
  <w:num w:numId="29">
    <w:abstractNumId w:val="0"/>
  </w:num>
  <w:num w:numId="30">
    <w:abstractNumId w:val="11"/>
  </w:num>
  <w:num w:numId="31">
    <w:abstractNumId w:val="47"/>
  </w:num>
  <w:num w:numId="32">
    <w:abstractNumId w:val="10"/>
  </w:num>
  <w:num w:numId="33">
    <w:abstractNumId w:val="24"/>
  </w:num>
  <w:num w:numId="34">
    <w:abstractNumId w:val="41"/>
  </w:num>
  <w:num w:numId="35">
    <w:abstractNumId w:val="36"/>
  </w:num>
  <w:num w:numId="36">
    <w:abstractNumId w:val="14"/>
  </w:num>
  <w:num w:numId="37">
    <w:abstractNumId w:val="32"/>
  </w:num>
  <w:num w:numId="38">
    <w:abstractNumId w:val="49"/>
  </w:num>
  <w:num w:numId="39">
    <w:abstractNumId w:val="9"/>
  </w:num>
  <w:num w:numId="40">
    <w:abstractNumId w:val="51"/>
  </w:num>
  <w:num w:numId="41">
    <w:abstractNumId w:val="66"/>
  </w:num>
  <w:num w:numId="42">
    <w:abstractNumId w:val="48"/>
  </w:num>
  <w:num w:numId="43">
    <w:abstractNumId w:val="44"/>
  </w:num>
  <w:num w:numId="44">
    <w:abstractNumId w:val="43"/>
  </w:num>
  <w:num w:numId="45">
    <w:abstractNumId w:val="21"/>
  </w:num>
  <w:num w:numId="46">
    <w:abstractNumId w:val="21"/>
  </w:num>
  <w:num w:numId="47">
    <w:abstractNumId w:val="21"/>
  </w:num>
  <w:num w:numId="48">
    <w:abstractNumId w:val="4"/>
  </w:num>
  <w:num w:numId="49">
    <w:abstractNumId w:val="20"/>
  </w:num>
  <w:num w:numId="50">
    <w:abstractNumId w:val="17"/>
  </w:num>
  <w:num w:numId="51">
    <w:abstractNumId w:val="53"/>
  </w:num>
  <w:num w:numId="52">
    <w:abstractNumId w:val="23"/>
  </w:num>
  <w:num w:numId="53">
    <w:abstractNumId w:val="37"/>
  </w:num>
  <w:num w:numId="54">
    <w:abstractNumId w:val="59"/>
  </w:num>
  <w:num w:numId="55">
    <w:abstractNumId w:val="52"/>
  </w:num>
  <w:num w:numId="56">
    <w:abstractNumId w:val="56"/>
  </w:num>
  <w:num w:numId="57">
    <w:abstractNumId w:val="22"/>
  </w:num>
  <w:num w:numId="58">
    <w:abstractNumId w:val="45"/>
  </w:num>
  <w:num w:numId="59">
    <w:abstractNumId w:val="61"/>
  </w:num>
  <w:num w:numId="60">
    <w:abstractNumId w:val="25"/>
  </w:num>
  <w:num w:numId="61">
    <w:abstractNumId w:val="39"/>
  </w:num>
  <w:num w:numId="62">
    <w:abstractNumId w:val="30"/>
  </w:num>
  <w:num w:numId="63">
    <w:abstractNumId w:val="35"/>
  </w:num>
  <w:num w:numId="64">
    <w:abstractNumId w:val="5"/>
  </w:num>
  <w:num w:numId="65">
    <w:abstractNumId w:val="34"/>
  </w:num>
  <w:num w:numId="66">
    <w:abstractNumId w:val="6"/>
  </w:num>
  <w:num w:numId="67">
    <w:abstractNumId w:val="55"/>
  </w:num>
  <w:num w:numId="68">
    <w:abstractNumId w:val="46"/>
  </w:num>
  <w:num w:numId="69">
    <w:abstractNumId w:val="50"/>
  </w:num>
  <w:num w:numId="70">
    <w:abstractNumId w:val="2"/>
  </w:num>
  <w:num w:numId="71">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8DB"/>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17"/>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CEF"/>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766"/>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0"/>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779"/>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72"/>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1FD8"/>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5A"/>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50"/>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3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875"/>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2CA"/>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76"/>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1A"/>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8F8"/>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19"/>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607"/>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515"/>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5F4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07A"/>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0C5"/>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CB7"/>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0E6E"/>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41"/>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B07"/>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8FA"/>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7B"/>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E7C67"/>
    <w:rsid w:val="006E7F35"/>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664"/>
    <w:rsid w:val="006F40BA"/>
    <w:rsid w:val="006F42AE"/>
    <w:rsid w:val="006F4507"/>
    <w:rsid w:val="006F502E"/>
    <w:rsid w:val="006F5608"/>
    <w:rsid w:val="006F560B"/>
    <w:rsid w:val="006F604B"/>
    <w:rsid w:val="006F60F3"/>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B5D"/>
    <w:rsid w:val="00762D6F"/>
    <w:rsid w:val="00763433"/>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E90"/>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D7C"/>
    <w:rsid w:val="00797F43"/>
    <w:rsid w:val="007A055C"/>
    <w:rsid w:val="007A0767"/>
    <w:rsid w:val="007A0928"/>
    <w:rsid w:val="007A09A0"/>
    <w:rsid w:val="007A0C8F"/>
    <w:rsid w:val="007A0D76"/>
    <w:rsid w:val="007A111B"/>
    <w:rsid w:val="007A1381"/>
    <w:rsid w:val="007A16F4"/>
    <w:rsid w:val="007A194E"/>
    <w:rsid w:val="007A19B2"/>
    <w:rsid w:val="007A19E0"/>
    <w:rsid w:val="007A1AF9"/>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AD"/>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CC8"/>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04"/>
    <w:rsid w:val="008270CD"/>
    <w:rsid w:val="008273FF"/>
    <w:rsid w:val="0082748B"/>
    <w:rsid w:val="008275F5"/>
    <w:rsid w:val="008276E7"/>
    <w:rsid w:val="00827733"/>
    <w:rsid w:val="00827924"/>
    <w:rsid w:val="00827ACF"/>
    <w:rsid w:val="00827F8D"/>
    <w:rsid w:val="00830030"/>
    <w:rsid w:val="008300C9"/>
    <w:rsid w:val="00830400"/>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7CF"/>
    <w:rsid w:val="0085294E"/>
    <w:rsid w:val="00852A01"/>
    <w:rsid w:val="00852AB5"/>
    <w:rsid w:val="00852BFE"/>
    <w:rsid w:val="00852EC8"/>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02B"/>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1F48"/>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5FBE"/>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68"/>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A0E"/>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54C"/>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79"/>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648"/>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6D"/>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9AB"/>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1D0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744"/>
    <w:rsid w:val="00BD6C37"/>
    <w:rsid w:val="00BD6DFD"/>
    <w:rsid w:val="00BD6FDD"/>
    <w:rsid w:val="00BD7460"/>
    <w:rsid w:val="00BD74BF"/>
    <w:rsid w:val="00BD7CA5"/>
    <w:rsid w:val="00BD7EA1"/>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1F8C"/>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8BA"/>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477"/>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9E"/>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429"/>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034"/>
    <w:rsid w:val="00D361A7"/>
    <w:rsid w:val="00D36A01"/>
    <w:rsid w:val="00D36A0C"/>
    <w:rsid w:val="00D36ADA"/>
    <w:rsid w:val="00D36E44"/>
    <w:rsid w:val="00D36F14"/>
    <w:rsid w:val="00D3736D"/>
    <w:rsid w:val="00D37550"/>
    <w:rsid w:val="00D376ED"/>
    <w:rsid w:val="00D37715"/>
    <w:rsid w:val="00D37B46"/>
    <w:rsid w:val="00D37FA9"/>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21A"/>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833"/>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B6F"/>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513"/>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0F8A"/>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8B"/>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BC7"/>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B0D"/>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BC0"/>
    <w:rsid w:val="00ED1CD0"/>
    <w:rsid w:val="00ED20C8"/>
    <w:rsid w:val="00ED21AB"/>
    <w:rsid w:val="00ED22FA"/>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21"/>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5DF"/>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2C6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08E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759A-E2D1-49E6-8B54-1D14D36D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2</Pages>
  <Words>489</Words>
  <Characters>2793</Characters>
  <Application>Microsoft Office Word</Application>
  <DocSecurity>0</DocSecurity>
  <PresentationFormat>Microsoft Word 8.0b</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3276</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2</cp:revision>
  <cp:lastPrinted>2018-03-07T16:29:00Z</cp:lastPrinted>
  <dcterms:created xsi:type="dcterms:W3CDTF">2018-04-09T07:42:00Z</dcterms:created>
  <dcterms:modified xsi:type="dcterms:W3CDTF">2018-04-09T07:42:00Z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