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2B07" w14:textId="77777777" w:rsidR="00472298" w:rsidRPr="00E95198" w:rsidRDefault="00472298" w:rsidP="00472298">
      <w:pPr>
        <w:spacing w:after="600"/>
        <w:ind w:right="-30"/>
        <w:jc w:val="center"/>
        <w:rPr>
          <w:rFonts w:ascii="Times New Roman" w:hAnsi="Times New Roman"/>
          <w:b/>
          <w:bCs/>
          <w:szCs w:val="24"/>
        </w:rPr>
      </w:pPr>
      <w:r w:rsidRPr="00E95198">
        <w:rPr>
          <w:rFonts w:ascii="Times New Roman" w:hAnsi="Times New Roman"/>
          <w:b/>
          <w:szCs w:val="24"/>
        </w:rPr>
        <w:t xml:space="preserve">Follow-up to the European Parliament non-legislative resolution of 1 March 2018 </w:t>
      </w:r>
      <w:r>
        <w:rPr>
          <w:rFonts w:ascii="Times New Roman" w:hAnsi="Times New Roman"/>
          <w:b/>
          <w:bCs/>
          <w:szCs w:val="24"/>
        </w:rPr>
        <w:t>on</w:t>
      </w:r>
      <w:r>
        <w:rPr>
          <w:rFonts w:ascii="Times New Roman" w:hAnsi="Times New Roman"/>
          <w:b/>
          <w:bCs/>
          <w:szCs w:val="24"/>
        </w:rPr>
        <w:br/>
      </w:r>
      <w:r w:rsidRPr="00E95198">
        <w:rPr>
          <w:rFonts w:ascii="Times New Roman" w:hAnsi="Times New Roman"/>
          <w:b/>
        </w:rPr>
        <w:t>Banking Union – Annual Report 2017</w:t>
      </w:r>
    </w:p>
    <w:p w14:paraId="126267B7" w14:textId="77777777" w:rsidR="00472298" w:rsidRPr="00472298" w:rsidRDefault="00472298" w:rsidP="00472298">
      <w:pPr>
        <w:spacing w:after="600"/>
        <w:jc w:val="center"/>
        <w:rPr>
          <w:rFonts w:ascii="Times New Roman" w:hAnsi="Times New Roman"/>
          <w:bCs/>
          <w:szCs w:val="24"/>
        </w:rPr>
      </w:pPr>
      <w:r w:rsidRPr="00472298">
        <w:rPr>
          <w:rFonts w:ascii="Times New Roman" w:hAnsi="Times New Roman"/>
          <w:b/>
          <w:szCs w:val="24"/>
        </w:rPr>
        <w:t>2017/2072 (INI)</w:t>
      </w:r>
    </w:p>
    <w:p w14:paraId="6431857C" w14:textId="77777777" w:rsidR="00472298" w:rsidRPr="00472298" w:rsidRDefault="00472298" w:rsidP="00472298">
      <w:pPr>
        <w:tabs>
          <w:tab w:val="left" w:pos="567"/>
        </w:tabs>
        <w:ind w:left="567" w:right="-312" w:hanging="567"/>
        <w:rPr>
          <w:rFonts w:ascii="Times New Roman" w:hAnsi="Times New Roman"/>
          <w:szCs w:val="24"/>
        </w:rPr>
      </w:pPr>
      <w:r w:rsidRPr="00472298">
        <w:rPr>
          <w:rFonts w:ascii="Times New Roman" w:hAnsi="Times New Roman"/>
          <w:b/>
          <w:szCs w:val="24"/>
        </w:rPr>
        <w:t>1.</w:t>
      </w:r>
      <w:r w:rsidRPr="00472298">
        <w:rPr>
          <w:rFonts w:ascii="Times New Roman" w:hAnsi="Times New Roman"/>
          <w:b/>
          <w:szCs w:val="24"/>
        </w:rPr>
        <w:tab/>
        <w:t>Rapporteur</w:t>
      </w:r>
      <w:r w:rsidRPr="00472298">
        <w:rPr>
          <w:rFonts w:ascii="Times New Roman" w:hAnsi="Times New Roman"/>
          <w:b/>
          <w:smallCaps/>
          <w:szCs w:val="24"/>
        </w:rPr>
        <w:t>:</w:t>
      </w:r>
      <w:r w:rsidRPr="00472298">
        <w:rPr>
          <w:rFonts w:ascii="Times New Roman" w:hAnsi="Times New Roman"/>
          <w:b/>
          <w:szCs w:val="24"/>
        </w:rPr>
        <w:t xml:space="preserve"> </w:t>
      </w:r>
      <w:r w:rsidRPr="00472298">
        <w:rPr>
          <w:rFonts w:ascii="Times New Roman" w:hAnsi="Times New Roman"/>
          <w:szCs w:val="24"/>
        </w:rPr>
        <w:t>Sander LOONES (ECR/BE)</w:t>
      </w:r>
    </w:p>
    <w:p w14:paraId="5ADAE27C" w14:textId="77777777" w:rsidR="00472298" w:rsidRPr="00E95198" w:rsidRDefault="00472298" w:rsidP="00472298">
      <w:pPr>
        <w:tabs>
          <w:tab w:val="left" w:pos="567"/>
        </w:tabs>
        <w:ind w:left="567" w:right="-312" w:hanging="567"/>
        <w:rPr>
          <w:rFonts w:ascii="inherit" w:hAnsi="inherit" w:cs="Arial"/>
          <w:color w:val="000000"/>
        </w:rPr>
      </w:pPr>
      <w:r w:rsidRPr="00E95198">
        <w:rPr>
          <w:rFonts w:ascii="Times New Roman" w:hAnsi="Times New Roman"/>
          <w:b/>
          <w:szCs w:val="24"/>
        </w:rPr>
        <w:t>2.</w:t>
      </w:r>
      <w:r w:rsidRPr="00E95198">
        <w:rPr>
          <w:rFonts w:ascii="Times New Roman" w:hAnsi="Times New Roman"/>
          <w:b/>
          <w:szCs w:val="24"/>
        </w:rPr>
        <w:tab/>
        <w:t>EP reference number:</w:t>
      </w:r>
      <w:r w:rsidRPr="00E95198">
        <w:rPr>
          <w:rFonts w:ascii="Times New Roman" w:hAnsi="Times New Roman"/>
          <w:szCs w:val="24"/>
        </w:rPr>
        <w:t xml:space="preserve"> </w:t>
      </w:r>
      <w:r w:rsidRPr="00E95198">
        <w:rPr>
          <w:rFonts w:ascii="inherit" w:hAnsi="inherit" w:cs="Arial"/>
          <w:color w:val="000000"/>
        </w:rPr>
        <w:t>A8-0019/2018</w:t>
      </w:r>
      <w:r>
        <w:rPr>
          <w:rFonts w:ascii="inherit" w:hAnsi="inherit" w:cs="Arial"/>
          <w:color w:val="000000"/>
        </w:rPr>
        <w:t xml:space="preserve"> </w:t>
      </w:r>
      <w:r w:rsidRPr="00E95198">
        <w:rPr>
          <w:rFonts w:ascii="inherit" w:hAnsi="inherit" w:cs="Arial"/>
          <w:color w:val="000000"/>
        </w:rPr>
        <w:t xml:space="preserve">/ </w:t>
      </w:r>
      <w:r w:rsidRPr="00E95198">
        <w:rPr>
          <w:rFonts w:ascii="inherit" w:hAnsi="inherit" w:cs="Arial"/>
          <w:bCs/>
          <w:color w:val="000000"/>
        </w:rPr>
        <w:t>P8_TA-PROV(2018)0058</w:t>
      </w:r>
    </w:p>
    <w:p w14:paraId="1A2F8571" w14:textId="77777777" w:rsidR="00472298" w:rsidRPr="00E95198" w:rsidRDefault="00472298" w:rsidP="00472298">
      <w:pPr>
        <w:tabs>
          <w:tab w:val="left" w:pos="567"/>
        </w:tabs>
        <w:ind w:left="567" w:right="-312" w:hanging="567"/>
        <w:rPr>
          <w:rFonts w:ascii="Times New Roman" w:hAnsi="Times New Roman"/>
          <w:szCs w:val="24"/>
        </w:rPr>
      </w:pPr>
      <w:r w:rsidRPr="00E95198">
        <w:rPr>
          <w:rFonts w:ascii="Times New Roman" w:hAnsi="Times New Roman"/>
          <w:b/>
          <w:szCs w:val="24"/>
        </w:rPr>
        <w:t>3.</w:t>
      </w:r>
      <w:r w:rsidRPr="00E95198">
        <w:rPr>
          <w:rFonts w:ascii="Times New Roman" w:hAnsi="Times New Roman"/>
          <w:b/>
          <w:szCs w:val="24"/>
        </w:rPr>
        <w:tab/>
        <w:t xml:space="preserve">Date of adoption of the resolution: </w:t>
      </w:r>
      <w:r w:rsidRPr="00E95198">
        <w:rPr>
          <w:rFonts w:ascii="Times New Roman" w:hAnsi="Times New Roman"/>
          <w:szCs w:val="24"/>
        </w:rPr>
        <w:t>1 March 2018</w:t>
      </w:r>
    </w:p>
    <w:p w14:paraId="2C1F0416" w14:textId="77777777" w:rsidR="00472298" w:rsidRPr="00DF25E4" w:rsidRDefault="00472298" w:rsidP="00472298">
      <w:pPr>
        <w:tabs>
          <w:tab w:val="left" w:pos="567"/>
        </w:tabs>
        <w:spacing w:after="120"/>
        <w:ind w:left="567" w:right="-312" w:hanging="567"/>
        <w:rPr>
          <w:rFonts w:ascii="Times New Roman" w:hAnsi="Times New Roman"/>
        </w:rPr>
      </w:pPr>
      <w:r w:rsidRPr="00E95198">
        <w:rPr>
          <w:rFonts w:ascii="Times New Roman" w:hAnsi="Times New Roman"/>
          <w:b/>
          <w:szCs w:val="24"/>
        </w:rPr>
        <w:t>4.</w:t>
      </w:r>
      <w:r w:rsidRPr="00E95198">
        <w:rPr>
          <w:rFonts w:ascii="Times New Roman" w:hAnsi="Times New Roman"/>
          <w:b/>
          <w:szCs w:val="24"/>
        </w:rPr>
        <w:tab/>
        <w:t>Subject:</w:t>
      </w:r>
      <w:r>
        <w:rPr>
          <w:rFonts w:ascii="Times New Roman" w:hAnsi="Times New Roman"/>
          <w:b/>
          <w:szCs w:val="24"/>
        </w:rPr>
        <w:t xml:space="preserve"> </w:t>
      </w:r>
      <w:r w:rsidRPr="00DF25E4">
        <w:rPr>
          <w:rFonts w:ascii="Times New Roman" w:hAnsi="Times New Roman"/>
        </w:rPr>
        <w:t xml:space="preserve">The resolution concerns the 2017 Annual Report on Banking Union, an own-initiative report </w:t>
      </w:r>
      <w:r>
        <w:rPr>
          <w:rFonts w:ascii="Times New Roman" w:hAnsi="Times New Roman"/>
        </w:rPr>
        <w:t xml:space="preserve">of the European Parliament </w:t>
      </w:r>
      <w:r w:rsidRPr="00DF25E4">
        <w:rPr>
          <w:rFonts w:ascii="Times New Roman" w:hAnsi="Times New Roman"/>
        </w:rPr>
        <w:t xml:space="preserve">which is the third of its kind. As the previous ones, the </w:t>
      </w:r>
      <w:r>
        <w:rPr>
          <w:rFonts w:ascii="Times New Roman" w:hAnsi="Times New Roman"/>
        </w:rPr>
        <w:t xml:space="preserve">resolution </w:t>
      </w:r>
      <w:r w:rsidRPr="00DF25E4">
        <w:rPr>
          <w:rFonts w:ascii="Times New Roman" w:hAnsi="Times New Roman"/>
        </w:rPr>
        <w:t xml:space="preserve">takes stock of the main achievements of the Banking Union and, stating that further efforts are necessary, invites the Commission to act on a number of issues. The main topics addressed in the </w:t>
      </w:r>
      <w:r>
        <w:rPr>
          <w:rFonts w:ascii="Times New Roman" w:hAnsi="Times New Roman"/>
        </w:rPr>
        <w:t xml:space="preserve">resolution </w:t>
      </w:r>
      <w:r w:rsidRPr="00DF25E4">
        <w:rPr>
          <w:rFonts w:ascii="Times New Roman" w:hAnsi="Times New Roman"/>
        </w:rPr>
        <w:t>are: stress test</w:t>
      </w:r>
      <w:r>
        <w:rPr>
          <w:rFonts w:ascii="Times New Roman" w:hAnsi="Times New Roman"/>
        </w:rPr>
        <w:t>s</w:t>
      </w:r>
      <w:r w:rsidRPr="00DF25E4">
        <w:rPr>
          <w:rFonts w:ascii="Times New Roman" w:hAnsi="Times New Roman"/>
        </w:rPr>
        <w:t xml:space="preserve">, non-performing loans (NPLs), </w:t>
      </w:r>
      <w:r>
        <w:rPr>
          <w:rFonts w:ascii="Times New Roman" w:hAnsi="Times New Roman"/>
        </w:rPr>
        <w:t>l</w:t>
      </w:r>
      <w:r w:rsidRPr="00DF25E4">
        <w:rPr>
          <w:rFonts w:ascii="Times New Roman" w:hAnsi="Times New Roman"/>
        </w:rPr>
        <w:t>evel III assets</w:t>
      </w:r>
      <w:r w:rsidRPr="00DF25E4">
        <w:rPr>
          <w:rStyle w:val="FootnoteReference"/>
          <w:rFonts w:ascii="Times New Roman" w:hAnsi="Times New Roman"/>
        </w:rPr>
        <w:footnoteReference w:id="1"/>
      </w:r>
      <w:r w:rsidRPr="00DF25E4">
        <w:rPr>
          <w:rFonts w:ascii="Times New Roman" w:hAnsi="Times New Roman"/>
        </w:rPr>
        <w:t>, banks' exposures to sovereign, Fintech, resolution instruments, backstop to the Single Resolution Fund (SRF) and the creation of a European Deposit Insurance Scheme (EDIS).</w:t>
      </w:r>
    </w:p>
    <w:p w14:paraId="3CEC9722" w14:textId="77777777" w:rsidR="00472298" w:rsidRPr="00E95198" w:rsidRDefault="00472298" w:rsidP="00472298">
      <w:pPr>
        <w:tabs>
          <w:tab w:val="left" w:pos="567"/>
        </w:tabs>
        <w:ind w:left="567" w:right="-312" w:hanging="567"/>
        <w:rPr>
          <w:rFonts w:ascii="Times New Roman" w:hAnsi="Times New Roman"/>
          <w:szCs w:val="24"/>
        </w:rPr>
      </w:pPr>
      <w:r w:rsidRPr="00E95198">
        <w:rPr>
          <w:rFonts w:ascii="Times New Roman" w:hAnsi="Times New Roman"/>
          <w:b/>
          <w:szCs w:val="24"/>
        </w:rPr>
        <w:t>5.</w:t>
      </w:r>
      <w:r w:rsidRPr="00E95198">
        <w:rPr>
          <w:rFonts w:ascii="Times New Roman" w:hAnsi="Times New Roman"/>
          <w:b/>
          <w:szCs w:val="24"/>
        </w:rPr>
        <w:tab/>
        <w:t>Competent Parliamentary Committee:</w:t>
      </w:r>
      <w:r w:rsidRPr="00E95198">
        <w:rPr>
          <w:rFonts w:ascii="Times New Roman" w:hAnsi="Times New Roman"/>
          <w:szCs w:val="24"/>
        </w:rPr>
        <w:t xml:space="preserve"> Committee on Economic and Monetary Affairs (ECON)</w:t>
      </w:r>
    </w:p>
    <w:p w14:paraId="5B6ED6B5" w14:textId="77777777" w:rsidR="00472298" w:rsidRPr="00E95198" w:rsidRDefault="00472298" w:rsidP="00472298">
      <w:pPr>
        <w:tabs>
          <w:tab w:val="left" w:pos="567"/>
        </w:tabs>
        <w:ind w:left="567" w:right="-312" w:hanging="567"/>
        <w:rPr>
          <w:rFonts w:ascii="Times New Roman" w:hAnsi="Times New Roman"/>
          <w:b/>
          <w:szCs w:val="24"/>
        </w:rPr>
      </w:pPr>
      <w:r w:rsidRPr="00E95198">
        <w:rPr>
          <w:rFonts w:ascii="Times New Roman" w:hAnsi="Times New Roman"/>
          <w:b/>
          <w:szCs w:val="24"/>
        </w:rPr>
        <w:t>6.</w:t>
      </w:r>
      <w:r w:rsidRPr="00E95198">
        <w:rPr>
          <w:rFonts w:ascii="Times New Roman" w:hAnsi="Times New Roman"/>
          <w:b/>
          <w:szCs w:val="24"/>
        </w:rPr>
        <w:tab/>
        <w:t>Brief analysis/ assessment of the resolution and requests made in it:</w:t>
      </w:r>
    </w:p>
    <w:p w14:paraId="462FB20C"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resolution </w:t>
      </w:r>
      <w:r w:rsidRPr="00E95198">
        <w:rPr>
          <w:rFonts w:ascii="Times New Roman" w:hAnsi="Times New Roman"/>
          <w:i/>
          <w:szCs w:val="24"/>
        </w:rPr>
        <w:t xml:space="preserve">inter alia </w:t>
      </w:r>
      <w:r w:rsidRPr="00E95198">
        <w:rPr>
          <w:rFonts w:ascii="Times New Roman" w:hAnsi="Times New Roman"/>
          <w:szCs w:val="24"/>
        </w:rPr>
        <w:t>stresses the following points:</w:t>
      </w:r>
    </w:p>
    <w:p w14:paraId="2ECE5D76"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On </w:t>
      </w:r>
      <w:r>
        <w:rPr>
          <w:rFonts w:ascii="Times New Roman" w:hAnsi="Times New Roman"/>
          <w:szCs w:val="24"/>
        </w:rPr>
        <w:t>s</w:t>
      </w:r>
      <w:r w:rsidRPr="00E95198">
        <w:rPr>
          <w:rFonts w:ascii="Times New Roman" w:hAnsi="Times New Roman"/>
          <w:szCs w:val="24"/>
        </w:rPr>
        <w:t>upervision, it</w:t>
      </w:r>
      <w:r>
        <w:rPr>
          <w:rFonts w:ascii="Times New Roman" w:hAnsi="Times New Roman"/>
          <w:szCs w:val="24"/>
        </w:rPr>
        <w:t>:</w:t>
      </w:r>
    </w:p>
    <w:p w14:paraId="3DE44F4F"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calls on the responsible public bodies to use consistent methodologies for the 2018 stress tests</w:t>
      </w:r>
      <w:r>
        <w:rPr>
          <w:rFonts w:ascii="Times New Roman" w:hAnsi="Times New Roman"/>
          <w:szCs w:val="24"/>
        </w:rPr>
        <w:t>;</w:t>
      </w:r>
    </w:p>
    <w:p w14:paraId="7AC36290"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recommends that cooperation between the European Banking Authority (EBA) and the Single Supervisory Mechanism (SSM) improves, while acknowledging the SSM's leading role for issues or regulatory gaps in the Banking Union;</w:t>
      </w:r>
    </w:p>
    <w:p w14:paraId="34A9187D"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 xml:space="preserve">calls for improved cooperation between the </w:t>
      </w:r>
      <w:r>
        <w:rPr>
          <w:rFonts w:ascii="Times New Roman" w:hAnsi="Times New Roman"/>
          <w:szCs w:val="24"/>
        </w:rPr>
        <w:t>European Central Bank (</w:t>
      </w:r>
      <w:r w:rsidRPr="00E95198">
        <w:rPr>
          <w:rFonts w:ascii="Times New Roman" w:hAnsi="Times New Roman"/>
          <w:szCs w:val="24"/>
        </w:rPr>
        <w:t>ECB</w:t>
      </w:r>
      <w:r>
        <w:rPr>
          <w:rFonts w:ascii="Times New Roman" w:hAnsi="Times New Roman"/>
          <w:szCs w:val="24"/>
        </w:rPr>
        <w:t>)</w:t>
      </w:r>
      <w:r w:rsidRPr="00E95198">
        <w:rPr>
          <w:rFonts w:ascii="Times New Roman" w:hAnsi="Times New Roman"/>
          <w:szCs w:val="24"/>
        </w:rPr>
        <w:t xml:space="preserve"> and the Single Resolution Board (SRB); and for clarification of procedures identifying a bank as "failing or likely to fail";</w:t>
      </w:r>
    </w:p>
    <w:p w14:paraId="561D35B8"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 xml:space="preserve">calls for an inter-institutional agreement between </w:t>
      </w:r>
      <w:r>
        <w:rPr>
          <w:rFonts w:ascii="Times New Roman" w:hAnsi="Times New Roman"/>
          <w:szCs w:val="24"/>
        </w:rPr>
        <w:t xml:space="preserve">the </w:t>
      </w:r>
      <w:r w:rsidRPr="00E95198">
        <w:rPr>
          <w:rFonts w:ascii="Times New Roman" w:hAnsi="Times New Roman"/>
          <w:szCs w:val="24"/>
        </w:rPr>
        <w:t xml:space="preserve">ECB and </w:t>
      </w:r>
      <w:r>
        <w:rPr>
          <w:rFonts w:ascii="Times New Roman" w:hAnsi="Times New Roman"/>
          <w:szCs w:val="24"/>
        </w:rPr>
        <w:t xml:space="preserve">the </w:t>
      </w:r>
      <w:r w:rsidRPr="00E95198">
        <w:rPr>
          <w:rFonts w:ascii="Times New Roman" w:hAnsi="Times New Roman"/>
          <w:szCs w:val="24"/>
        </w:rPr>
        <w:t>European Court of Auditors (ECA) to specify exchange of information;</w:t>
      </w:r>
    </w:p>
    <w:p w14:paraId="39A2CA88"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 xml:space="preserve">reiterates its concerns regarding the high level </w:t>
      </w:r>
      <w:r>
        <w:rPr>
          <w:rFonts w:ascii="Times New Roman" w:hAnsi="Times New Roman"/>
          <w:szCs w:val="24"/>
        </w:rPr>
        <w:t xml:space="preserve">of non-performing loans (NPLs) </w:t>
      </w:r>
      <w:r w:rsidRPr="00E95198">
        <w:rPr>
          <w:rFonts w:ascii="Times New Roman" w:hAnsi="Times New Roman"/>
          <w:szCs w:val="24"/>
        </w:rPr>
        <w:t xml:space="preserve">and calls for a swift implementation of the July 2017 Council action plan, supports </w:t>
      </w:r>
      <w:r>
        <w:rPr>
          <w:rFonts w:ascii="Times New Roman" w:hAnsi="Times New Roman"/>
          <w:szCs w:val="24"/>
        </w:rPr>
        <w:t xml:space="preserve">Commission </w:t>
      </w:r>
      <w:r w:rsidRPr="00E95198">
        <w:rPr>
          <w:rFonts w:ascii="Times New Roman" w:hAnsi="Times New Roman"/>
          <w:szCs w:val="24"/>
        </w:rPr>
        <w:t>action on prudential treatment of NPLs and recalls that any ECB actions on NPLs should not interfere with legislators' prerogatives;</w:t>
      </w:r>
    </w:p>
    <w:p w14:paraId="35409275"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 xml:space="preserve">reiterates concerns on risks related to </w:t>
      </w:r>
      <w:r>
        <w:rPr>
          <w:rFonts w:ascii="Times New Roman" w:hAnsi="Times New Roman"/>
          <w:szCs w:val="24"/>
        </w:rPr>
        <w:t>l</w:t>
      </w:r>
      <w:r w:rsidRPr="00E95198">
        <w:rPr>
          <w:rFonts w:ascii="Times New Roman" w:hAnsi="Times New Roman"/>
          <w:szCs w:val="24"/>
        </w:rPr>
        <w:t>evel III assets and calls for the SSM to make the issue a priority for 2018;</w:t>
      </w:r>
    </w:p>
    <w:p w14:paraId="093F5E2F"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considers that the EU regulatory framework on prudential treatment of sovereign debt should be consistent with the international standard; takes note of the Commission’s ongoing work on Sovereign Bonds Backed Securities (SBBSs)</w:t>
      </w:r>
      <w:r>
        <w:rPr>
          <w:rFonts w:ascii="Times New Roman" w:hAnsi="Times New Roman"/>
          <w:szCs w:val="24"/>
        </w:rPr>
        <w:t>;</w:t>
      </w:r>
    </w:p>
    <w:p w14:paraId="5F0CF615"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stresses the importance of addressing flaws in internal models and notes the finalisation of Basel III, recalling that its implementation should not result in a significant increase in capital requirements at Union level or harm banks' ability to finance the real economy and should take due account of the European specificities;</w:t>
      </w:r>
    </w:p>
    <w:p w14:paraId="0F4968A3"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considers that separation between monetary and supervisory policy has worked well, but additional safeguards might be warranted where shared services deal with critical policy-making; supports delegation of decision-making within the ECB to make supervision more effective</w:t>
      </w:r>
      <w:r>
        <w:rPr>
          <w:rFonts w:ascii="Times New Roman" w:hAnsi="Times New Roman"/>
          <w:szCs w:val="24"/>
        </w:rPr>
        <w:t>;</w:t>
      </w:r>
    </w:p>
    <w:p w14:paraId="0E3FE300"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calls for a uniform reporting system to avoid duplication and alleviate administrative burden on banks and supervisors;</w:t>
      </w:r>
    </w:p>
    <w:p w14:paraId="43F429CD"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 xml:space="preserve">stresses the urgent need for more proportionality in the supervision of small low-risk institutions and welcomes </w:t>
      </w:r>
      <w:r>
        <w:rPr>
          <w:rFonts w:ascii="Times New Roman" w:hAnsi="Times New Roman"/>
          <w:szCs w:val="24"/>
        </w:rPr>
        <w:t xml:space="preserve">the Commission's </w:t>
      </w:r>
      <w:r w:rsidRPr="00E95198">
        <w:rPr>
          <w:rFonts w:ascii="Times New Roman" w:hAnsi="Times New Roman"/>
          <w:szCs w:val="24"/>
        </w:rPr>
        <w:t>efforts on this;</w:t>
      </w:r>
    </w:p>
    <w:p w14:paraId="08F47D29"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recalls the need to harmonise options and discretions;</w:t>
      </w:r>
    </w:p>
    <w:p w14:paraId="26723FA6"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calls in relation to FinTech for the right balance between protecting consumers and financial stability and encouraging innovation; calls on authorities to closely monitor and assess cybersecurity risks and on the SSM to make it a high-level priority;</w:t>
      </w:r>
    </w:p>
    <w:p w14:paraId="08008E29"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recalls the importance of preparedness and adequate contingency planning in the context of Brexit;</w:t>
      </w:r>
    </w:p>
    <w:p w14:paraId="185A7FFB"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E95198">
        <w:rPr>
          <w:rFonts w:ascii="Times New Roman" w:hAnsi="Times New Roman"/>
          <w:szCs w:val="24"/>
        </w:rPr>
        <w:t>calls for coordinated action to address vulnerabilities related to shadow banking;</w:t>
      </w:r>
    </w:p>
    <w:p w14:paraId="62EC85CA"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Pr>
          <w:rFonts w:ascii="Times New Roman" w:hAnsi="Times New Roman"/>
          <w:szCs w:val="24"/>
        </w:rPr>
        <w:t xml:space="preserve">and </w:t>
      </w:r>
      <w:r w:rsidRPr="00E95198">
        <w:rPr>
          <w:rFonts w:ascii="Times New Roman" w:hAnsi="Times New Roman"/>
          <w:szCs w:val="24"/>
        </w:rPr>
        <w:t>overall assesses the Banking Union (BU) as a positive change for Member States having the euro and encourages non-euro area Member States to join.</w:t>
      </w:r>
    </w:p>
    <w:p w14:paraId="26D58CC5"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On </w:t>
      </w:r>
      <w:r>
        <w:rPr>
          <w:rFonts w:ascii="Times New Roman" w:hAnsi="Times New Roman"/>
          <w:szCs w:val="24"/>
        </w:rPr>
        <w:t>r</w:t>
      </w:r>
      <w:r w:rsidRPr="00E95198">
        <w:rPr>
          <w:rFonts w:ascii="Times New Roman" w:hAnsi="Times New Roman"/>
          <w:szCs w:val="24"/>
        </w:rPr>
        <w:t>esolution</w:t>
      </w:r>
      <w:r>
        <w:rPr>
          <w:rFonts w:ascii="Times New Roman" w:hAnsi="Times New Roman"/>
          <w:szCs w:val="24"/>
        </w:rPr>
        <w:t>, it:</w:t>
      </w:r>
    </w:p>
    <w:p w14:paraId="69863B1A" w14:textId="77777777" w:rsidR="00472298" w:rsidRPr="00351E3F" w:rsidRDefault="00472298" w:rsidP="00472298">
      <w:pPr>
        <w:pStyle w:val="ListParagraph"/>
        <w:numPr>
          <w:ilvl w:val="0"/>
          <w:numId w:val="32"/>
        </w:numPr>
        <w:tabs>
          <w:tab w:val="left" w:pos="567"/>
        </w:tabs>
        <w:spacing w:after="120"/>
        <w:ind w:left="567" w:hanging="567"/>
        <w:contextualSpacing w:val="0"/>
        <w:jc w:val="both"/>
        <w:rPr>
          <w:rFonts w:ascii="Times New Roman" w:hAnsi="Times New Roman"/>
          <w:sz w:val="24"/>
          <w:szCs w:val="24"/>
          <w:lang w:val="en-GB" w:eastAsia="it-IT"/>
        </w:rPr>
      </w:pPr>
      <w:r w:rsidRPr="00351E3F">
        <w:rPr>
          <w:rFonts w:ascii="Times New Roman" w:hAnsi="Times New Roman"/>
          <w:sz w:val="24"/>
          <w:szCs w:val="24"/>
          <w:shd w:val="clear" w:color="auto" w:fill="FFFFFF"/>
          <w:lang w:val="en-GB" w:eastAsia="it-IT"/>
        </w:rPr>
        <w:t>welcomes the first application of the new resolution regime in 2017; takes note of the high number of legal applications lodged before the General Court of the EU in relation to this case; asks the Commission to assess whether and how this could endanger the effectiveness of the new resolution regime and render the resolution framework in effect inapplicable</w:t>
      </w:r>
      <w:r>
        <w:rPr>
          <w:rFonts w:ascii="Times New Roman" w:hAnsi="Times New Roman"/>
          <w:sz w:val="24"/>
          <w:szCs w:val="24"/>
          <w:shd w:val="clear" w:color="auto" w:fill="FFFFFF"/>
          <w:lang w:val="en-GB" w:eastAsia="it-IT"/>
        </w:rPr>
        <w:t>;</w:t>
      </w:r>
    </w:p>
    <w:p w14:paraId="5D9656F8" w14:textId="77777777" w:rsidR="00472298" w:rsidRPr="00714390" w:rsidRDefault="00472298" w:rsidP="00472298">
      <w:pPr>
        <w:pStyle w:val="ListParagraph"/>
        <w:numPr>
          <w:ilvl w:val="0"/>
          <w:numId w:val="32"/>
        </w:numPr>
        <w:tabs>
          <w:tab w:val="left" w:pos="567"/>
        </w:tabs>
        <w:spacing w:after="120"/>
        <w:ind w:left="567" w:hanging="567"/>
        <w:contextualSpacing w:val="0"/>
        <w:jc w:val="both"/>
        <w:rPr>
          <w:rFonts w:ascii="Times New Roman" w:hAnsi="Times New Roman"/>
          <w:szCs w:val="24"/>
        </w:rPr>
      </w:pPr>
      <w:r w:rsidRPr="00351E3F">
        <w:rPr>
          <w:rFonts w:ascii="Times New Roman" w:hAnsi="Times New Roman"/>
          <w:sz w:val="24"/>
          <w:szCs w:val="24"/>
          <w:shd w:val="clear" w:color="auto" w:fill="FFFFFF"/>
          <w:lang w:val="en-GB" w:eastAsia="it-IT"/>
        </w:rPr>
        <w:t>calls on the SRB and the Commission to jointly publish a summary of the issues most criticised by the legal applications; considers that the 2017 banking cases raise questions in terms of transparency and communication</w:t>
      </w:r>
      <w:r>
        <w:rPr>
          <w:rFonts w:ascii="Times New Roman" w:hAnsi="Times New Roman"/>
          <w:sz w:val="24"/>
          <w:szCs w:val="24"/>
          <w:shd w:val="clear" w:color="auto" w:fill="FFFFFF"/>
          <w:lang w:val="en-GB" w:eastAsia="it-IT"/>
        </w:rPr>
        <w:t>;</w:t>
      </w:r>
    </w:p>
    <w:p w14:paraId="6B9351F7" w14:textId="77777777" w:rsidR="00472298" w:rsidRPr="00714390"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714390">
        <w:rPr>
          <w:rFonts w:ascii="Times New Roman" w:hAnsi="Times New Roman"/>
          <w:szCs w:val="24"/>
        </w:rPr>
        <w:t xml:space="preserve">calls on the co-legislators to take the 2017 banking resolution cases into account as lessons learnt when co-deciding on the Commission proposals on </w:t>
      </w:r>
      <w:r>
        <w:rPr>
          <w:rFonts w:ascii="Times New Roman" w:hAnsi="Times New Roman"/>
          <w:szCs w:val="24"/>
        </w:rPr>
        <w:t>the total loss-absorbing capacity (</w:t>
      </w:r>
      <w:r w:rsidRPr="00714390">
        <w:rPr>
          <w:rFonts w:ascii="Times New Roman" w:hAnsi="Times New Roman"/>
          <w:szCs w:val="24"/>
        </w:rPr>
        <w:t>TL</w:t>
      </w:r>
      <w:r>
        <w:rPr>
          <w:rFonts w:ascii="Times New Roman" w:hAnsi="Times New Roman"/>
          <w:szCs w:val="24"/>
        </w:rPr>
        <w:t>AC), the minimum requirement for own funds and eligible liabilities (MREL) and the moratorium tool;</w:t>
      </w:r>
    </w:p>
    <w:p w14:paraId="0DBC63D3" w14:textId="77777777" w:rsidR="00472298" w:rsidRPr="00714390" w:rsidRDefault="00472298" w:rsidP="00472298">
      <w:pPr>
        <w:numPr>
          <w:ilvl w:val="0"/>
          <w:numId w:val="32"/>
        </w:numPr>
        <w:tabs>
          <w:tab w:val="left" w:pos="0"/>
          <w:tab w:val="left" w:pos="567"/>
        </w:tabs>
        <w:spacing w:after="120"/>
        <w:ind w:left="567" w:right="-312" w:hanging="567"/>
        <w:rPr>
          <w:rFonts w:ascii="Times New Roman" w:hAnsi="Times New Roman"/>
          <w:szCs w:val="24"/>
        </w:rPr>
      </w:pPr>
      <w:r w:rsidRPr="00714390">
        <w:rPr>
          <w:rFonts w:ascii="Times New Roman" w:hAnsi="Times New Roman"/>
          <w:szCs w:val="24"/>
        </w:rPr>
        <w:t>calls on the Commission to reconsider its interpretation of the State aid rules</w:t>
      </w:r>
      <w:r>
        <w:rPr>
          <w:rFonts w:ascii="Times New Roman" w:hAnsi="Times New Roman"/>
          <w:szCs w:val="24"/>
        </w:rPr>
        <w:t>;</w:t>
      </w:r>
    </w:p>
    <w:p w14:paraId="0F4E4922" w14:textId="77777777" w:rsidR="00472298" w:rsidRPr="00351E3F" w:rsidRDefault="00472298" w:rsidP="00472298">
      <w:pPr>
        <w:pStyle w:val="ListParagraph"/>
        <w:numPr>
          <w:ilvl w:val="0"/>
          <w:numId w:val="32"/>
        </w:numPr>
        <w:tabs>
          <w:tab w:val="left" w:pos="567"/>
        </w:tabs>
        <w:spacing w:after="120"/>
        <w:ind w:left="567" w:hanging="567"/>
        <w:contextualSpacing w:val="0"/>
        <w:jc w:val="both"/>
        <w:rPr>
          <w:rFonts w:ascii="Times New Roman" w:hAnsi="Times New Roman"/>
          <w:sz w:val="24"/>
          <w:szCs w:val="24"/>
          <w:lang w:val="en-GB" w:eastAsia="it-IT"/>
        </w:rPr>
      </w:pPr>
      <w:r w:rsidRPr="00351E3F">
        <w:rPr>
          <w:rFonts w:ascii="Times New Roman" w:hAnsi="Times New Roman"/>
          <w:sz w:val="24"/>
          <w:szCs w:val="24"/>
          <w:shd w:val="clear" w:color="auto" w:fill="FFFFFF"/>
          <w:lang w:val="en-GB" w:eastAsia="it-IT"/>
        </w:rPr>
        <w:t>reiterates its position that bail-inable instruments should be sold to appropriate investors who can absorb potential losses without threatening their own financial standing</w:t>
      </w:r>
      <w:r>
        <w:rPr>
          <w:rFonts w:ascii="Times New Roman" w:hAnsi="Times New Roman"/>
          <w:sz w:val="24"/>
          <w:szCs w:val="24"/>
          <w:shd w:val="clear" w:color="auto" w:fill="FFFFFF"/>
          <w:lang w:val="en-GB" w:eastAsia="it-IT"/>
        </w:rPr>
        <w:t>;</w:t>
      </w:r>
    </w:p>
    <w:p w14:paraId="495848A9" w14:textId="77777777" w:rsidR="00472298" w:rsidRPr="00E95198" w:rsidRDefault="00472298" w:rsidP="00472298">
      <w:pPr>
        <w:numPr>
          <w:ilvl w:val="0"/>
          <w:numId w:val="32"/>
        </w:numPr>
        <w:tabs>
          <w:tab w:val="left" w:pos="0"/>
          <w:tab w:val="left" w:pos="567"/>
        </w:tabs>
        <w:spacing w:after="120"/>
        <w:ind w:left="567" w:right="-312" w:hanging="567"/>
        <w:rPr>
          <w:rFonts w:ascii="Times New Roman" w:hAnsi="Times New Roman"/>
          <w:szCs w:val="24"/>
        </w:rPr>
      </w:pPr>
      <w:r>
        <w:rPr>
          <w:rFonts w:ascii="Times New Roman" w:hAnsi="Times New Roman"/>
          <w:szCs w:val="24"/>
        </w:rPr>
        <w:t xml:space="preserve">and </w:t>
      </w:r>
      <w:r w:rsidRPr="00E95198">
        <w:rPr>
          <w:rFonts w:ascii="Times New Roman" w:hAnsi="Times New Roman"/>
          <w:szCs w:val="24"/>
        </w:rPr>
        <w:t>recalls that a fiscal backstop is key to ensuring a credible and</w:t>
      </w:r>
      <w:r>
        <w:rPr>
          <w:rFonts w:ascii="Times New Roman" w:hAnsi="Times New Roman"/>
          <w:szCs w:val="24"/>
        </w:rPr>
        <w:t xml:space="preserve"> efficient resolution framework.</w:t>
      </w:r>
    </w:p>
    <w:p w14:paraId="5AE854C8" w14:textId="77777777" w:rsidR="00472298" w:rsidRPr="00E95198" w:rsidRDefault="00472298" w:rsidP="00472298">
      <w:pPr>
        <w:keepNext/>
        <w:keepLines/>
        <w:tabs>
          <w:tab w:val="left" w:pos="0"/>
        </w:tabs>
        <w:spacing w:after="120"/>
        <w:ind w:right="-312"/>
        <w:rPr>
          <w:rFonts w:ascii="Times New Roman" w:hAnsi="Times New Roman"/>
          <w:szCs w:val="24"/>
        </w:rPr>
      </w:pPr>
      <w:r w:rsidRPr="00E95198">
        <w:rPr>
          <w:rFonts w:ascii="Times New Roman" w:hAnsi="Times New Roman"/>
          <w:szCs w:val="24"/>
        </w:rPr>
        <w:t>On the deposit guarantee schem</w:t>
      </w:r>
      <w:r>
        <w:rPr>
          <w:rFonts w:ascii="Times New Roman" w:hAnsi="Times New Roman"/>
          <w:szCs w:val="24"/>
        </w:rPr>
        <w:t>e, it:</w:t>
      </w:r>
    </w:p>
    <w:p w14:paraId="1E09713F" w14:textId="77777777" w:rsidR="00472298" w:rsidRPr="00E95198" w:rsidRDefault="00472298" w:rsidP="00472298">
      <w:pPr>
        <w:numPr>
          <w:ilvl w:val="0"/>
          <w:numId w:val="32"/>
        </w:numPr>
        <w:tabs>
          <w:tab w:val="left" w:pos="567"/>
        </w:tabs>
        <w:spacing w:after="120"/>
        <w:ind w:left="567" w:right="-312" w:hanging="567"/>
        <w:rPr>
          <w:rFonts w:ascii="Times New Roman" w:hAnsi="Times New Roman"/>
          <w:szCs w:val="24"/>
        </w:rPr>
      </w:pPr>
      <w:r w:rsidRPr="00E95198">
        <w:rPr>
          <w:rFonts w:ascii="Times New Roman" w:hAnsi="Times New Roman"/>
          <w:szCs w:val="24"/>
        </w:rPr>
        <w:t>recalls that the Banking Union remains incomplete without a third pillar</w:t>
      </w:r>
      <w:r>
        <w:rPr>
          <w:rFonts w:ascii="Times New Roman" w:hAnsi="Times New Roman"/>
          <w:szCs w:val="24"/>
        </w:rPr>
        <w:t>;</w:t>
      </w:r>
    </w:p>
    <w:p w14:paraId="6B4A49A3" w14:textId="77777777" w:rsidR="00472298" w:rsidRPr="00E95198" w:rsidRDefault="00472298" w:rsidP="00472298">
      <w:pPr>
        <w:numPr>
          <w:ilvl w:val="0"/>
          <w:numId w:val="32"/>
        </w:numPr>
        <w:tabs>
          <w:tab w:val="left" w:pos="567"/>
        </w:tabs>
        <w:spacing w:after="120"/>
        <w:ind w:left="567" w:right="-312" w:hanging="567"/>
        <w:rPr>
          <w:rFonts w:ascii="Times New Roman" w:hAnsi="Times New Roman"/>
          <w:szCs w:val="24"/>
        </w:rPr>
      </w:pPr>
      <w:r>
        <w:rPr>
          <w:rFonts w:ascii="Times New Roman" w:hAnsi="Times New Roman"/>
          <w:szCs w:val="24"/>
        </w:rPr>
        <w:t xml:space="preserve">and </w:t>
      </w:r>
      <w:r w:rsidRPr="00E95198">
        <w:rPr>
          <w:rFonts w:ascii="Times New Roman" w:hAnsi="Times New Roman"/>
          <w:szCs w:val="24"/>
        </w:rPr>
        <w:t>takes the view that further harmonisation of the rules applying to deposit guarantee schemes is necessary in order to achieve a level playing field within the Banking Union.</w:t>
      </w:r>
    </w:p>
    <w:p w14:paraId="1BF7E48F" w14:textId="77777777" w:rsidR="00472298" w:rsidRPr="00E95198" w:rsidRDefault="00472298" w:rsidP="00472298">
      <w:pPr>
        <w:tabs>
          <w:tab w:val="left" w:pos="567"/>
        </w:tabs>
        <w:spacing w:before="240"/>
        <w:ind w:left="567" w:right="-312" w:hanging="567"/>
        <w:rPr>
          <w:rFonts w:ascii="Times New Roman" w:hAnsi="Times New Roman"/>
          <w:b/>
          <w:szCs w:val="24"/>
        </w:rPr>
      </w:pPr>
      <w:r w:rsidRPr="00E95198">
        <w:rPr>
          <w:rFonts w:ascii="Times New Roman" w:hAnsi="Times New Roman"/>
          <w:b/>
          <w:szCs w:val="24"/>
        </w:rPr>
        <w:t>7.</w:t>
      </w:r>
      <w:r w:rsidRPr="00E95198">
        <w:rPr>
          <w:rFonts w:ascii="Times New Roman" w:hAnsi="Times New Roman"/>
          <w:b/>
          <w:szCs w:val="24"/>
        </w:rPr>
        <w:tab/>
        <w:t>Response to requests and overview of action taken, or intended to be taken, by the Commission:</w:t>
      </w:r>
    </w:p>
    <w:p w14:paraId="1007FC9F"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resolution acknowledges the major steps taken in several critical areas of the Banking Union and </w:t>
      </w:r>
      <w:r>
        <w:rPr>
          <w:rFonts w:ascii="Times New Roman" w:hAnsi="Times New Roman"/>
          <w:szCs w:val="24"/>
        </w:rPr>
        <w:t xml:space="preserve">the </w:t>
      </w:r>
      <w:r w:rsidRPr="00E95198">
        <w:rPr>
          <w:rFonts w:ascii="Times New Roman" w:hAnsi="Times New Roman"/>
          <w:szCs w:val="24"/>
        </w:rPr>
        <w:t>European banking sector, whilst calling for the completion of the Banking Union and highlighting some improvements that should be made on the supervision and resolution framework.</w:t>
      </w:r>
    </w:p>
    <w:p w14:paraId="1D731BDB"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With regard to the need to use consistent methodologies for the </w:t>
      </w:r>
      <w:r w:rsidRPr="00E95198">
        <w:rPr>
          <w:rFonts w:ascii="Times New Roman" w:hAnsi="Times New Roman"/>
          <w:b/>
          <w:szCs w:val="24"/>
        </w:rPr>
        <w:t>2018 stress test</w:t>
      </w:r>
      <w:r w:rsidRPr="00E95198">
        <w:rPr>
          <w:rFonts w:ascii="Times New Roman" w:hAnsi="Times New Roman"/>
          <w:szCs w:val="24"/>
        </w:rPr>
        <w:t xml:space="preserve">, the Commission supports the common methodology developed by the EBA in agreement with competent authorities, the European Systemic Risk Board (ESRB) and the ECB for the upcoming EBA stress tests. The commonly agreed macroeconomic scenarios provided by the ECB and the ESRB in cooperation with the EBA, competent authorities, and national central banks are important to enable competent authorities to undertake a rigorous assessment of banks’ resilience under stress in a consistent and comparable way. The Commission will take note of the results expected to be published by 2 November 2018, which are designed to serve as an input to the Supervisory Review </w:t>
      </w:r>
      <w:r>
        <w:rPr>
          <w:rFonts w:ascii="Times New Roman" w:hAnsi="Times New Roman"/>
          <w:szCs w:val="24"/>
        </w:rPr>
        <w:t>and Evaluation Process (SREP).</w:t>
      </w:r>
    </w:p>
    <w:p w14:paraId="64006DF5"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As reflected in the Commission </w:t>
      </w:r>
      <w:r>
        <w:rPr>
          <w:rFonts w:ascii="Times New Roman" w:hAnsi="Times New Roman"/>
          <w:szCs w:val="24"/>
        </w:rPr>
        <w:t>r</w:t>
      </w:r>
      <w:r w:rsidRPr="00E95198">
        <w:rPr>
          <w:rFonts w:ascii="Times New Roman" w:hAnsi="Times New Roman"/>
          <w:szCs w:val="24"/>
        </w:rPr>
        <w:t>eport on the ECB/</w:t>
      </w:r>
      <w:r>
        <w:rPr>
          <w:rFonts w:ascii="Times New Roman" w:hAnsi="Times New Roman"/>
          <w:szCs w:val="24"/>
        </w:rPr>
        <w:t xml:space="preserve"> </w:t>
      </w:r>
      <w:r w:rsidRPr="00E95198">
        <w:rPr>
          <w:rFonts w:ascii="Times New Roman" w:hAnsi="Times New Roman"/>
          <w:szCs w:val="24"/>
        </w:rPr>
        <w:t>SSM</w:t>
      </w:r>
      <w:r w:rsidRPr="00E95198">
        <w:rPr>
          <w:rFonts w:ascii="Times New Roman" w:hAnsi="Times New Roman"/>
          <w:szCs w:val="24"/>
          <w:vertAlign w:val="superscript"/>
        </w:rPr>
        <w:footnoteReference w:id="2"/>
      </w:r>
      <w:r w:rsidRPr="00E95198">
        <w:rPr>
          <w:rFonts w:ascii="Times New Roman" w:hAnsi="Times New Roman"/>
          <w:szCs w:val="24"/>
        </w:rPr>
        <w:t xml:space="preserve">, the actions in 2017 concerning several failing banks showed that </w:t>
      </w:r>
      <w:r w:rsidRPr="00E95198">
        <w:rPr>
          <w:rFonts w:ascii="Times New Roman" w:hAnsi="Times New Roman"/>
          <w:b/>
          <w:szCs w:val="24"/>
        </w:rPr>
        <w:t xml:space="preserve">the cooperation between the ECB and the </w:t>
      </w:r>
      <w:r w:rsidRPr="00DF25E4">
        <w:rPr>
          <w:rFonts w:ascii="Times New Roman" w:hAnsi="Times New Roman"/>
          <w:b/>
          <w:szCs w:val="24"/>
        </w:rPr>
        <w:t>Single Resolution Board (</w:t>
      </w:r>
      <w:r w:rsidRPr="00E95198">
        <w:rPr>
          <w:rFonts w:ascii="Times New Roman" w:hAnsi="Times New Roman"/>
          <w:b/>
          <w:szCs w:val="24"/>
        </w:rPr>
        <w:t>SRB</w:t>
      </w:r>
      <w:r>
        <w:rPr>
          <w:rFonts w:ascii="Times New Roman" w:hAnsi="Times New Roman"/>
          <w:b/>
          <w:szCs w:val="24"/>
        </w:rPr>
        <w:t>)</w:t>
      </w:r>
      <w:r w:rsidRPr="00E95198">
        <w:rPr>
          <w:rFonts w:ascii="Times New Roman" w:hAnsi="Times New Roman"/>
          <w:szCs w:val="24"/>
        </w:rPr>
        <w:t xml:space="preserve"> worked well. </w:t>
      </w:r>
      <w:r w:rsidRPr="00E95198">
        <w:rPr>
          <w:rFonts w:ascii="Times New Roman" w:hAnsi="Times New Roman"/>
          <w:iCs/>
          <w:szCs w:val="24"/>
        </w:rPr>
        <w:t>Negotiations on the memorandum of understanding between the ECB and the SRB in order to close existing</w:t>
      </w:r>
      <w:r w:rsidRPr="00E95198">
        <w:rPr>
          <w:rFonts w:ascii="Times New Roman" w:hAnsi="Times New Roman"/>
          <w:szCs w:val="24"/>
        </w:rPr>
        <w:t xml:space="preserve"> </w:t>
      </w:r>
      <w:r w:rsidRPr="00E95198">
        <w:rPr>
          <w:rFonts w:ascii="Times New Roman" w:hAnsi="Times New Roman"/>
          <w:iCs/>
          <w:szCs w:val="24"/>
        </w:rPr>
        <w:t>gaps and improve the effectiveness of resolution actions are well advanced. The revised version of the memorandum of understanding should ensure quicker exchange of information, including more automatism in the provision of information, especially regarding banks the business model and strategy of which pose a medium or a high level of risk to their viability</w:t>
      </w:r>
      <w:r w:rsidRPr="00E95198">
        <w:rPr>
          <w:rFonts w:ascii="Times New Roman" w:hAnsi="Times New Roman"/>
          <w:szCs w:val="24"/>
        </w:rPr>
        <w:t>. The Commission believes that having a representative of the SRB as a permanent observer in the ECB/</w:t>
      </w:r>
      <w:r>
        <w:rPr>
          <w:rFonts w:ascii="Times New Roman" w:hAnsi="Times New Roman"/>
          <w:szCs w:val="24"/>
        </w:rPr>
        <w:t xml:space="preserve"> </w:t>
      </w:r>
      <w:r w:rsidRPr="00E95198">
        <w:rPr>
          <w:rFonts w:ascii="Times New Roman" w:hAnsi="Times New Roman"/>
          <w:szCs w:val="24"/>
        </w:rPr>
        <w:t xml:space="preserve">SSM should be carefully weighed against the importance of </w:t>
      </w:r>
      <w:r>
        <w:rPr>
          <w:rFonts w:ascii="Times New Roman" w:hAnsi="Times New Roman"/>
          <w:szCs w:val="24"/>
        </w:rPr>
        <w:t xml:space="preserve">the </w:t>
      </w:r>
      <w:r w:rsidRPr="00E95198">
        <w:rPr>
          <w:rFonts w:ascii="Times New Roman" w:hAnsi="Times New Roman"/>
          <w:szCs w:val="24"/>
        </w:rPr>
        <w:t>ECB's independence. Adequate cooperation arrangements have so far been sufficient to ensure the necessary coordination between the ECB and the SRB.</w:t>
      </w:r>
    </w:p>
    <w:p w14:paraId="7F874231"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As stated in its report on the ECB/</w:t>
      </w:r>
      <w:r>
        <w:rPr>
          <w:rFonts w:ascii="Times New Roman" w:hAnsi="Times New Roman"/>
          <w:szCs w:val="24"/>
        </w:rPr>
        <w:t xml:space="preserve"> </w:t>
      </w:r>
      <w:r w:rsidRPr="00E95198">
        <w:rPr>
          <w:rFonts w:ascii="Times New Roman" w:hAnsi="Times New Roman"/>
          <w:szCs w:val="24"/>
        </w:rPr>
        <w:t xml:space="preserve">SSM, the Commission supports the Parliament’s call for an interinstitutional </w:t>
      </w:r>
      <w:r w:rsidRPr="00E95198">
        <w:rPr>
          <w:rFonts w:ascii="Times New Roman" w:hAnsi="Times New Roman"/>
          <w:b/>
          <w:szCs w:val="24"/>
        </w:rPr>
        <w:t>agreement between the ECB and the ECA</w:t>
      </w:r>
      <w:r w:rsidRPr="00E95198">
        <w:rPr>
          <w:rFonts w:ascii="Times New Roman" w:hAnsi="Times New Roman"/>
          <w:szCs w:val="24"/>
        </w:rPr>
        <w:t xml:space="preserve"> to specify the modalities of information exchange in view of permitting the ECA access to all information necessary for performing its audit mandate. The Commission's SSM report highlights that there is an overall positive </w:t>
      </w:r>
      <w:r w:rsidRPr="00E95198">
        <w:rPr>
          <w:rFonts w:ascii="Times New Roman" w:hAnsi="Times New Roman"/>
          <w:b/>
          <w:szCs w:val="24"/>
        </w:rPr>
        <w:t>interaction between the ECB and the EBA</w:t>
      </w:r>
      <w:r w:rsidRPr="00E95198">
        <w:rPr>
          <w:rFonts w:ascii="Times New Roman" w:hAnsi="Times New Roman"/>
          <w:szCs w:val="24"/>
        </w:rPr>
        <w:t>, and would welcome even stronger cooperation in certain areas.</w:t>
      </w:r>
    </w:p>
    <w:p w14:paraId="03034B1D"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Regarding </w:t>
      </w:r>
      <w:r w:rsidRPr="00E95198">
        <w:rPr>
          <w:rFonts w:ascii="Times New Roman" w:hAnsi="Times New Roman"/>
          <w:b/>
          <w:szCs w:val="24"/>
        </w:rPr>
        <w:t>NPLs</w:t>
      </w:r>
      <w:r w:rsidRPr="00E95198">
        <w:rPr>
          <w:rFonts w:ascii="Times New Roman" w:hAnsi="Times New Roman"/>
          <w:szCs w:val="24"/>
        </w:rPr>
        <w:t>, a comprehensive package was adopted on 14</w:t>
      </w:r>
      <w:r>
        <w:rPr>
          <w:rFonts w:ascii="Times New Roman" w:hAnsi="Times New Roman"/>
          <w:szCs w:val="24"/>
        </w:rPr>
        <w:t> </w:t>
      </w:r>
      <w:r w:rsidRPr="00E95198">
        <w:rPr>
          <w:rFonts w:ascii="Times New Roman" w:hAnsi="Times New Roman"/>
          <w:szCs w:val="24"/>
        </w:rPr>
        <w:t>March</w:t>
      </w:r>
      <w:r>
        <w:rPr>
          <w:rFonts w:ascii="Times New Roman" w:hAnsi="Times New Roman"/>
          <w:szCs w:val="24"/>
        </w:rPr>
        <w:t xml:space="preserve"> 2018</w:t>
      </w:r>
      <w:r w:rsidRPr="00E95198">
        <w:rPr>
          <w:rFonts w:ascii="Times New Roman" w:hAnsi="Times New Roman"/>
          <w:szCs w:val="24"/>
        </w:rPr>
        <w:t xml:space="preserve">. It includes a staff working document providing non-binding technical guidance (a so-called blueprint) for how national asset management companies can be set up in compliance with existing EU banking and State aid rules. </w:t>
      </w:r>
      <w:r w:rsidRPr="001E74F6">
        <w:rPr>
          <w:rFonts w:ascii="Times New Roman" w:hAnsi="Times New Roman"/>
          <w:szCs w:val="24"/>
        </w:rPr>
        <w:t xml:space="preserve">It contains also a proposal for a Directive, which aims to </w:t>
      </w:r>
      <w:r w:rsidRPr="001E74F6">
        <w:rPr>
          <w:rFonts w:ascii="Times New Roman" w:hAnsi="Times New Roman"/>
          <w:iCs/>
          <w:szCs w:val="24"/>
        </w:rPr>
        <w:t xml:space="preserve">further develop secondary markets for </w:t>
      </w:r>
      <w:r w:rsidRPr="001E74F6">
        <w:rPr>
          <w:rFonts w:ascii="Times New Roman" w:hAnsi="Times New Roman"/>
        </w:rPr>
        <w:t xml:space="preserve">non-performing loans </w:t>
      </w:r>
      <w:r>
        <w:rPr>
          <w:rFonts w:ascii="Times New Roman" w:hAnsi="Times New Roman"/>
        </w:rPr>
        <w:t>(</w:t>
      </w:r>
      <w:r w:rsidRPr="001E74F6">
        <w:rPr>
          <w:rFonts w:ascii="Times New Roman" w:hAnsi="Times New Roman"/>
          <w:szCs w:val="24"/>
        </w:rPr>
        <w:t>NPLs</w:t>
      </w:r>
      <w:r>
        <w:rPr>
          <w:rFonts w:ascii="Times New Roman" w:hAnsi="Times New Roman"/>
          <w:szCs w:val="24"/>
        </w:rPr>
        <w:t>)</w:t>
      </w:r>
      <w:r w:rsidRPr="001E74F6">
        <w:rPr>
          <w:rFonts w:ascii="Times New Roman" w:hAnsi="Times New Roman"/>
          <w:szCs w:val="24"/>
        </w:rPr>
        <w:t xml:space="preserve"> and </w:t>
      </w:r>
      <w:r w:rsidRPr="001E74F6">
        <w:rPr>
          <w:rFonts w:ascii="Times New Roman" w:hAnsi="Times New Roman"/>
          <w:iCs/>
          <w:szCs w:val="24"/>
        </w:rPr>
        <w:t xml:space="preserve">to enhance the protection of secured creditors </w:t>
      </w:r>
      <w:r w:rsidRPr="001E74F6">
        <w:rPr>
          <w:rFonts w:ascii="Times New Roman" w:hAnsi="Times New Roman"/>
          <w:szCs w:val="24"/>
        </w:rPr>
        <w:t>by providing</w:t>
      </w:r>
      <w:r w:rsidRPr="00E95198">
        <w:rPr>
          <w:rFonts w:ascii="Times New Roman" w:hAnsi="Times New Roman"/>
          <w:szCs w:val="24"/>
        </w:rPr>
        <w:t xml:space="preserve"> them with an efficient method of value recovery from secured loans through an accelerated extrajudicial collateral enforcement. The same package enhances the prudential tools needed to effectively address NPLs, by amending the Capital Requirement Regulation, with regard to the introduction of minimum levels of provisioning which banks must make for future NPLs arising from newly originated loans.</w:t>
      </w:r>
    </w:p>
    <w:p w14:paraId="30654E02"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The Commission takes note of Parliament’s concerns as regards the draft addendum to the ECB/</w:t>
      </w:r>
      <w:r>
        <w:rPr>
          <w:rFonts w:ascii="Times New Roman" w:hAnsi="Times New Roman"/>
          <w:szCs w:val="24"/>
        </w:rPr>
        <w:t xml:space="preserve"> </w:t>
      </w:r>
      <w:r w:rsidRPr="00E95198">
        <w:rPr>
          <w:rFonts w:ascii="Times New Roman" w:hAnsi="Times New Roman"/>
          <w:szCs w:val="24"/>
        </w:rPr>
        <w:t>SSM guidance on NPLs. The ECB/</w:t>
      </w:r>
      <w:r>
        <w:rPr>
          <w:rFonts w:ascii="Times New Roman" w:hAnsi="Times New Roman"/>
          <w:szCs w:val="24"/>
        </w:rPr>
        <w:t xml:space="preserve"> </w:t>
      </w:r>
      <w:r w:rsidRPr="00E95198">
        <w:rPr>
          <w:rFonts w:ascii="Times New Roman" w:hAnsi="Times New Roman"/>
          <w:szCs w:val="24"/>
        </w:rPr>
        <w:t>SSM, as a supervisory authority, should assess the specific risks of each institution under its supervision, including their level of NPLs. An ECB/</w:t>
      </w:r>
      <w:r>
        <w:rPr>
          <w:rFonts w:ascii="Times New Roman" w:hAnsi="Times New Roman"/>
          <w:szCs w:val="24"/>
        </w:rPr>
        <w:t xml:space="preserve"> </w:t>
      </w:r>
      <w:r w:rsidRPr="00E95198">
        <w:rPr>
          <w:rFonts w:ascii="Times New Roman" w:hAnsi="Times New Roman"/>
          <w:szCs w:val="24"/>
        </w:rPr>
        <w:t>SSM addendum should have the role of providing transparency on how the ECB/</w:t>
      </w:r>
      <w:r>
        <w:rPr>
          <w:rFonts w:ascii="Times New Roman" w:hAnsi="Times New Roman"/>
          <w:szCs w:val="24"/>
        </w:rPr>
        <w:t xml:space="preserve"> </w:t>
      </w:r>
      <w:r w:rsidRPr="00E95198">
        <w:rPr>
          <w:rFonts w:ascii="Times New Roman" w:hAnsi="Times New Roman"/>
          <w:szCs w:val="24"/>
        </w:rPr>
        <w:t>SSM would carry out such case-by case assessment and cannot substitute legislation by imposing general requirements horizontally applicable to all credit institutions.</w:t>
      </w:r>
    </w:p>
    <w:p w14:paraId="396E7E97"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On risks related to </w:t>
      </w:r>
      <w:r w:rsidRPr="00E95198">
        <w:rPr>
          <w:rFonts w:ascii="Times New Roman" w:hAnsi="Times New Roman"/>
          <w:b/>
          <w:szCs w:val="24"/>
        </w:rPr>
        <w:t>level III assets</w:t>
      </w:r>
      <w:r w:rsidRPr="00F865B2">
        <w:rPr>
          <w:rStyle w:val="FootnoteReference"/>
          <w:rFonts w:ascii="Times New Roman" w:hAnsi="Times New Roman"/>
          <w:szCs w:val="24"/>
        </w:rPr>
        <w:footnoteReference w:id="3"/>
      </w:r>
      <w:r w:rsidRPr="00E95198">
        <w:rPr>
          <w:rFonts w:ascii="Times New Roman" w:hAnsi="Times New Roman"/>
          <w:szCs w:val="24"/>
        </w:rPr>
        <w:t>, the Commission understands that the SSM has already been taking supervisory actions at least in relation to those significant banks under ECB supervision that have the highest amount of level III assets relative to the size of their total assets. The Commission notes that the prudential framework for the treatment of such assets will be reinforced through the proposed implementation of the Fundamental Review of the Trading Book that is currently discussed by the European Parliament and the Council.</w:t>
      </w:r>
    </w:p>
    <w:p w14:paraId="5EFB4BDB"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bCs/>
          <w:szCs w:val="24"/>
        </w:rPr>
        <w:t xml:space="preserve">On </w:t>
      </w:r>
      <w:r w:rsidRPr="00E95198">
        <w:rPr>
          <w:rFonts w:ascii="Times New Roman" w:hAnsi="Times New Roman"/>
          <w:b/>
          <w:bCs/>
          <w:szCs w:val="24"/>
        </w:rPr>
        <w:t>exposures to sovereigns</w:t>
      </w:r>
      <w:r w:rsidRPr="00E95198">
        <w:rPr>
          <w:rFonts w:ascii="Times New Roman" w:hAnsi="Times New Roman"/>
          <w:szCs w:val="24"/>
        </w:rPr>
        <w:t xml:space="preserve"> the Commission shares the Parliament’s view on the multiple and international facets of the problem, requiring coordination at the global level. Discussions in Basel have shown that there is no consensus to reform the regulatory treatment of sovereign exposures (RTSE) at present</w:t>
      </w:r>
      <w:r>
        <w:rPr>
          <w:rFonts w:ascii="Times New Roman" w:hAnsi="Times New Roman"/>
          <w:szCs w:val="24"/>
        </w:rPr>
        <w:t>;</w:t>
      </w:r>
      <w:r w:rsidRPr="00E95198">
        <w:rPr>
          <w:rFonts w:ascii="Times New Roman" w:hAnsi="Times New Roman"/>
          <w:szCs w:val="24"/>
        </w:rPr>
        <w:t xml:space="preserve"> thus it would be inappropriate to make progress on risk sharing dependent on such a reform. Moreover, as presented in the </w:t>
      </w:r>
      <w:r w:rsidRPr="00DF25E4">
        <w:rPr>
          <w:rFonts w:ascii="Times New Roman" w:hAnsi="Times New Roman"/>
          <w:iCs/>
          <w:szCs w:val="24"/>
        </w:rPr>
        <w:t>Reflection Paper</w:t>
      </w:r>
      <w:r w:rsidRPr="00E95198">
        <w:rPr>
          <w:rFonts w:ascii="Times New Roman" w:hAnsi="Times New Roman"/>
          <w:i/>
          <w:iCs/>
          <w:szCs w:val="24"/>
        </w:rPr>
        <w:t xml:space="preserve"> </w:t>
      </w:r>
      <w:r w:rsidRPr="00DF25E4">
        <w:rPr>
          <w:rFonts w:ascii="Times New Roman" w:hAnsi="Times New Roman"/>
          <w:iCs/>
          <w:szCs w:val="24"/>
        </w:rPr>
        <w:t>on</w:t>
      </w:r>
      <w:r>
        <w:rPr>
          <w:rFonts w:ascii="Times New Roman" w:hAnsi="Times New Roman"/>
          <w:i/>
          <w:iCs/>
          <w:szCs w:val="24"/>
        </w:rPr>
        <w:t xml:space="preserve"> </w:t>
      </w:r>
      <w:r>
        <w:rPr>
          <w:rFonts w:ascii="Times New Roman" w:hAnsi="Times New Roman"/>
          <w:szCs w:val="24"/>
        </w:rPr>
        <w:t xml:space="preserve">the deepening of the </w:t>
      </w:r>
      <w:r w:rsidRPr="00E95198">
        <w:rPr>
          <w:rFonts w:ascii="Times New Roman" w:hAnsi="Times New Roman"/>
          <w:szCs w:val="24"/>
          <w:lang w:val="en-US"/>
        </w:rPr>
        <w:t>Economic and Monetary Union (</w:t>
      </w:r>
      <w:r>
        <w:rPr>
          <w:rFonts w:ascii="Times New Roman" w:hAnsi="Times New Roman"/>
          <w:szCs w:val="24"/>
          <w:lang w:val="en-US"/>
        </w:rPr>
        <w:t xml:space="preserve">EMU) </w:t>
      </w:r>
      <w:r w:rsidRPr="00E95198">
        <w:rPr>
          <w:rFonts w:ascii="Times New Roman" w:hAnsi="Times New Roman"/>
          <w:szCs w:val="24"/>
        </w:rPr>
        <w:t>of May 2017</w:t>
      </w:r>
      <w:r w:rsidRPr="00E95198">
        <w:rPr>
          <w:rFonts w:ascii="Times New Roman" w:hAnsi="Times New Roman"/>
          <w:i/>
          <w:iCs/>
          <w:szCs w:val="24"/>
        </w:rPr>
        <w:t>,</w:t>
      </w:r>
      <w:r w:rsidRPr="00E95198">
        <w:rPr>
          <w:rFonts w:ascii="Times New Roman" w:hAnsi="Times New Roman"/>
          <w:szCs w:val="24"/>
        </w:rPr>
        <w:t xml:space="preserve"> the Commission is of the view that, to avoid any potential risk to financial stability, changes to the RTSE should only be considered after the completion of the Banking Union (with a functioning backstop to the Single Resolution Fund and a common deposit insurance), </w:t>
      </w:r>
      <w:r>
        <w:rPr>
          <w:rFonts w:ascii="Times New Roman" w:hAnsi="Times New Roman"/>
          <w:szCs w:val="24"/>
        </w:rPr>
        <w:t xml:space="preserve">and </w:t>
      </w:r>
      <w:r w:rsidRPr="00E95198">
        <w:rPr>
          <w:rFonts w:ascii="Times New Roman" w:hAnsi="Times New Roman"/>
          <w:szCs w:val="24"/>
        </w:rPr>
        <w:t xml:space="preserve">sufficient progress of the Capital Markets Union. Any political decision would </w:t>
      </w:r>
      <w:r>
        <w:rPr>
          <w:rFonts w:ascii="Times New Roman" w:hAnsi="Times New Roman"/>
          <w:szCs w:val="24"/>
        </w:rPr>
        <w:t xml:space="preserve">also </w:t>
      </w:r>
      <w:r w:rsidRPr="00E95198">
        <w:rPr>
          <w:rFonts w:ascii="Times New Roman" w:hAnsi="Times New Roman"/>
          <w:szCs w:val="24"/>
        </w:rPr>
        <w:t>have to go hand in hand with a decision on the introduction of a European safe asset.</w:t>
      </w:r>
    </w:p>
    <w:p w14:paraId="699A0B10" w14:textId="77777777" w:rsidR="00472298" w:rsidRPr="00E95198" w:rsidRDefault="00472298" w:rsidP="00472298">
      <w:pPr>
        <w:tabs>
          <w:tab w:val="left" w:pos="0"/>
        </w:tabs>
        <w:spacing w:after="120"/>
        <w:ind w:right="-312"/>
        <w:rPr>
          <w:rFonts w:ascii="Times New Roman" w:hAnsi="Times New Roman"/>
          <w:szCs w:val="24"/>
          <w:lang w:val="en-US"/>
        </w:rPr>
      </w:pPr>
      <w:r w:rsidRPr="00E95198">
        <w:rPr>
          <w:rFonts w:ascii="Times New Roman" w:hAnsi="Times New Roman"/>
          <w:szCs w:val="24"/>
          <w:lang w:val="en-US"/>
        </w:rPr>
        <w:t xml:space="preserve">Without entailing debt mutualisation between Member States, </w:t>
      </w:r>
      <w:r w:rsidRPr="00E95198">
        <w:rPr>
          <w:rFonts w:ascii="Times New Roman" w:hAnsi="Times New Roman"/>
          <w:b/>
          <w:bCs/>
          <w:szCs w:val="24"/>
          <w:lang w:val="en-US"/>
        </w:rPr>
        <w:t>Sovereign Bond-Backed Securities (SBBS)</w:t>
      </w:r>
      <w:r w:rsidRPr="00E95198">
        <w:rPr>
          <w:rFonts w:ascii="Times New Roman" w:hAnsi="Times New Roman"/>
          <w:szCs w:val="24"/>
          <w:lang w:val="en-US"/>
        </w:rPr>
        <w:t xml:space="preserve"> could help enhance cross-border risk sharing in the EMU. By pooling and possibly tranching sovereign bonds from different Member States, SBBS could support further diversification of sovereign bond portfolios in the banking sector and further weaken the link between banks and their respective sovereigns. As announced in the President's Letter of Intent, the Commission will present an enabling regulatory fra</w:t>
      </w:r>
      <w:r>
        <w:rPr>
          <w:rFonts w:ascii="Times New Roman" w:hAnsi="Times New Roman"/>
          <w:szCs w:val="24"/>
          <w:lang w:val="en-US"/>
        </w:rPr>
        <w:t>mework for SBBS in spring 2018.</w:t>
      </w:r>
    </w:p>
    <w:p w14:paraId="55A76457"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iCs/>
          <w:szCs w:val="24"/>
        </w:rPr>
        <w:t xml:space="preserve">Regarding </w:t>
      </w:r>
      <w:r w:rsidRPr="00E95198">
        <w:rPr>
          <w:rFonts w:ascii="Times New Roman" w:hAnsi="Times New Roman"/>
          <w:b/>
          <w:iCs/>
          <w:szCs w:val="24"/>
        </w:rPr>
        <w:t>FinTech</w:t>
      </w:r>
      <w:r w:rsidRPr="00E95198">
        <w:rPr>
          <w:rFonts w:ascii="Times New Roman" w:hAnsi="Times New Roman"/>
          <w:iCs/>
          <w:szCs w:val="24"/>
        </w:rPr>
        <w:t xml:space="preserve">, the Commission fully agrees with the need to ensure a level playing field between all market participants, based on the "same activity, same rule" principle. In line with </w:t>
      </w:r>
      <w:r>
        <w:rPr>
          <w:rFonts w:ascii="Times New Roman" w:hAnsi="Times New Roman"/>
          <w:iCs/>
          <w:szCs w:val="24"/>
        </w:rPr>
        <w:t xml:space="preserve">the </w:t>
      </w:r>
      <w:r w:rsidRPr="00E95198">
        <w:rPr>
          <w:rFonts w:ascii="Times New Roman" w:hAnsi="Times New Roman"/>
          <w:iCs/>
          <w:szCs w:val="24"/>
        </w:rPr>
        <w:t>E</w:t>
      </w:r>
      <w:r>
        <w:rPr>
          <w:rFonts w:ascii="Times New Roman" w:hAnsi="Times New Roman"/>
          <w:iCs/>
          <w:szCs w:val="24"/>
        </w:rPr>
        <w:t xml:space="preserve">uropean </w:t>
      </w:r>
      <w:r w:rsidRPr="00E95198">
        <w:rPr>
          <w:rFonts w:ascii="Times New Roman" w:hAnsi="Times New Roman"/>
          <w:iCs/>
          <w:szCs w:val="24"/>
        </w:rPr>
        <w:t>P</w:t>
      </w:r>
      <w:r>
        <w:rPr>
          <w:rFonts w:ascii="Times New Roman" w:hAnsi="Times New Roman"/>
          <w:iCs/>
          <w:szCs w:val="24"/>
        </w:rPr>
        <w:t>arliament</w:t>
      </w:r>
      <w:r w:rsidRPr="00E95198">
        <w:rPr>
          <w:rFonts w:ascii="Times New Roman" w:hAnsi="Times New Roman"/>
          <w:iCs/>
          <w:szCs w:val="24"/>
        </w:rPr>
        <w:t xml:space="preserve">'s call, the Commission adopted on 8 March </w:t>
      </w:r>
      <w:r w:rsidRPr="00792843">
        <w:rPr>
          <w:rFonts w:ascii="Times New Roman" w:hAnsi="Times New Roman"/>
          <w:iCs/>
          <w:szCs w:val="24"/>
        </w:rPr>
        <w:t xml:space="preserve">2018 </w:t>
      </w:r>
      <w:r w:rsidRPr="00E95198">
        <w:rPr>
          <w:rFonts w:ascii="Times New Roman" w:hAnsi="Times New Roman"/>
          <w:iCs/>
          <w:szCs w:val="24"/>
        </w:rPr>
        <w:t>a Communication</w:t>
      </w:r>
      <w:r w:rsidRPr="00E95198">
        <w:rPr>
          <w:rStyle w:val="FootnoteReference"/>
          <w:rFonts w:ascii="Times New Roman" w:hAnsi="Times New Roman"/>
          <w:iCs/>
          <w:szCs w:val="24"/>
        </w:rPr>
        <w:footnoteReference w:id="4"/>
      </w:r>
      <w:r w:rsidRPr="00E95198">
        <w:rPr>
          <w:rFonts w:ascii="Times New Roman" w:hAnsi="Times New Roman"/>
          <w:iCs/>
          <w:szCs w:val="24"/>
        </w:rPr>
        <w:t xml:space="preserve"> on FinTech in the form of an Action Plan. This Action Plan aims to support the uptake of innovative solutions and services in the financial sector across the EU while maintaining financial stability and ensuring a high level of consumer protection. In this respect, this Communication includes a number of initiatives to strengthen the cyber resilience of the EU financial sector as requested by the E</w:t>
      </w:r>
      <w:r>
        <w:rPr>
          <w:rFonts w:ascii="Times New Roman" w:hAnsi="Times New Roman"/>
          <w:iCs/>
          <w:szCs w:val="24"/>
        </w:rPr>
        <w:t xml:space="preserve">uropean </w:t>
      </w:r>
      <w:r w:rsidRPr="00E95198">
        <w:rPr>
          <w:rFonts w:ascii="Times New Roman" w:hAnsi="Times New Roman"/>
          <w:iCs/>
          <w:szCs w:val="24"/>
        </w:rPr>
        <w:t>P</w:t>
      </w:r>
      <w:r>
        <w:rPr>
          <w:rFonts w:ascii="Times New Roman" w:hAnsi="Times New Roman"/>
          <w:iCs/>
          <w:szCs w:val="24"/>
        </w:rPr>
        <w:t>arliament</w:t>
      </w:r>
      <w:r w:rsidRPr="00E95198">
        <w:rPr>
          <w:rFonts w:ascii="Times New Roman" w:hAnsi="Times New Roman"/>
          <w:iCs/>
          <w:szCs w:val="24"/>
        </w:rPr>
        <w:t xml:space="preserve"> in its</w:t>
      </w:r>
      <w:r>
        <w:rPr>
          <w:rFonts w:ascii="Times New Roman" w:hAnsi="Times New Roman"/>
          <w:iCs/>
          <w:szCs w:val="24"/>
        </w:rPr>
        <w:t xml:space="preserve"> resolution</w:t>
      </w:r>
      <w:r w:rsidRPr="00E95198">
        <w:rPr>
          <w:rFonts w:ascii="Times New Roman" w:hAnsi="Times New Roman"/>
          <w:iCs/>
          <w:szCs w:val="24"/>
        </w:rPr>
        <w:t>.</w:t>
      </w:r>
    </w:p>
    <w:p w14:paraId="11C13D4B"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As regards the principle of </w:t>
      </w:r>
      <w:r w:rsidRPr="00E95198">
        <w:rPr>
          <w:rFonts w:ascii="Times New Roman" w:hAnsi="Times New Roman"/>
          <w:b/>
          <w:szCs w:val="24"/>
        </w:rPr>
        <w:t>separation between the monetary policy function and the supervisory function of the ECB</w:t>
      </w:r>
      <w:r w:rsidRPr="00E95198">
        <w:rPr>
          <w:rFonts w:ascii="Times New Roman" w:hAnsi="Times New Roman"/>
          <w:szCs w:val="24"/>
        </w:rPr>
        <w:t xml:space="preserve">, the Commission shares Parliament’s views that additional safeguards could be warranted where shared services provide advice that is key for the ECB's policy decision-making. The Commission also agrees with the Parliament in its call for more involvement of ECB staff in in on-site inspections. Both issues were flagged by the Commission in its </w:t>
      </w:r>
      <w:r>
        <w:rPr>
          <w:rFonts w:ascii="Times New Roman" w:hAnsi="Times New Roman"/>
          <w:szCs w:val="24"/>
        </w:rPr>
        <w:t>r</w:t>
      </w:r>
      <w:r w:rsidRPr="00E95198">
        <w:rPr>
          <w:rFonts w:ascii="Times New Roman" w:hAnsi="Times New Roman"/>
          <w:szCs w:val="24"/>
        </w:rPr>
        <w:t>eport on the ECB/</w:t>
      </w:r>
      <w:r>
        <w:rPr>
          <w:rFonts w:ascii="Times New Roman" w:hAnsi="Times New Roman"/>
          <w:szCs w:val="24"/>
        </w:rPr>
        <w:t xml:space="preserve"> </w:t>
      </w:r>
      <w:r w:rsidRPr="00E95198">
        <w:rPr>
          <w:rFonts w:ascii="Times New Roman" w:hAnsi="Times New Roman"/>
          <w:szCs w:val="24"/>
        </w:rPr>
        <w:t>SSM.</w:t>
      </w:r>
    </w:p>
    <w:p w14:paraId="3D591800"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Commission supports the call to reduce </w:t>
      </w:r>
      <w:r w:rsidRPr="00E95198">
        <w:rPr>
          <w:rFonts w:ascii="Times New Roman" w:hAnsi="Times New Roman"/>
          <w:b/>
          <w:szCs w:val="24"/>
        </w:rPr>
        <w:t>national options and discretions</w:t>
      </w:r>
      <w:r w:rsidRPr="00E95198">
        <w:rPr>
          <w:rFonts w:ascii="Times New Roman" w:hAnsi="Times New Roman"/>
          <w:szCs w:val="24"/>
        </w:rPr>
        <w:t xml:space="preserve"> and reflected this as much as possible in the proposals amending the Capital Requirements Regulation and Directive (CRR/</w:t>
      </w:r>
      <w:r>
        <w:rPr>
          <w:rFonts w:ascii="Times New Roman" w:hAnsi="Times New Roman"/>
          <w:szCs w:val="24"/>
        </w:rPr>
        <w:t xml:space="preserve"> </w:t>
      </w:r>
      <w:r w:rsidRPr="00E95198">
        <w:rPr>
          <w:rFonts w:ascii="Times New Roman" w:hAnsi="Times New Roman"/>
          <w:szCs w:val="24"/>
        </w:rPr>
        <w:t>CRD) ("banking package proposals"). Moreover, the ECB has dedicated remarkable efforts to harmonising the exercise of options and discr</w:t>
      </w:r>
      <w:r>
        <w:rPr>
          <w:rFonts w:ascii="Times New Roman" w:hAnsi="Times New Roman"/>
          <w:szCs w:val="24"/>
        </w:rPr>
        <w:t>etions, which is to be praised.</w:t>
      </w:r>
    </w:p>
    <w:p w14:paraId="1DFA82DB"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As stated in the </w:t>
      </w:r>
      <w:r>
        <w:rPr>
          <w:rFonts w:ascii="Times New Roman" w:hAnsi="Times New Roman"/>
          <w:szCs w:val="24"/>
        </w:rPr>
        <w:t>r</w:t>
      </w:r>
      <w:r w:rsidRPr="00E95198">
        <w:rPr>
          <w:rFonts w:ascii="Times New Roman" w:hAnsi="Times New Roman"/>
          <w:szCs w:val="24"/>
        </w:rPr>
        <w:t>eport on the ECB/</w:t>
      </w:r>
      <w:r>
        <w:rPr>
          <w:rFonts w:ascii="Times New Roman" w:hAnsi="Times New Roman"/>
          <w:szCs w:val="24"/>
        </w:rPr>
        <w:t xml:space="preserve"> </w:t>
      </w:r>
      <w:r w:rsidRPr="00E95198">
        <w:rPr>
          <w:rFonts w:ascii="Times New Roman" w:hAnsi="Times New Roman"/>
          <w:szCs w:val="24"/>
        </w:rPr>
        <w:t xml:space="preserve">SSM, the Commission also welcomes the progress made by the ECB in the area of </w:t>
      </w:r>
      <w:r w:rsidRPr="00E95198">
        <w:rPr>
          <w:rFonts w:ascii="Times New Roman" w:hAnsi="Times New Roman"/>
          <w:b/>
          <w:szCs w:val="24"/>
        </w:rPr>
        <w:t>delegation of decision-making</w:t>
      </w:r>
      <w:r w:rsidRPr="00E95198">
        <w:rPr>
          <w:rFonts w:ascii="Times New Roman" w:hAnsi="Times New Roman"/>
          <w:szCs w:val="24"/>
        </w:rPr>
        <w:t>. This new framework should accelerate the decision-making and reduce backlogs in certain areas such as fit and proper assessments.</w:t>
      </w:r>
    </w:p>
    <w:p w14:paraId="2E7AD0A5"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Commission agrees that </w:t>
      </w:r>
      <w:r w:rsidRPr="00E95198">
        <w:rPr>
          <w:rFonts w:ascii="Times New Roman" w:hAnsi="Times New Roman"/>
          <w:b/>
          <w:szCs w:val="24"/>
        </w:rPr>
        <w:t>reporting requirements</w:t>
      </w:r>
      <w:r w:rsidRPr="00E95198">
        <w:rPr>
          <w:rFonts w:ascii="Times New Roman" w:hAnsi="Times New Roman"/>
          <w:szCs w:val="24"/>
        </w:rPr>
        <w:t xml:space="preserve"> need to be streamlined to avoid duplication and unnecessary regulatory burden for market participants and supervisory authorities, whilst ensuring that there is sufficient information available for authorities to identify and address emerging risks. Furthermore, the Commission has consistently promoted and applied </w:t>
      </w:r>
      <w:r w:rsidRPr="00E95198">
        <w:rPr>
          <w:rFonts w:ascii="Times New Roman" w:hAnsi="Times New Roman"/>
          <w:b/>
          <w:szCs w:val="24"/>
        </w:rPr>
        <w:t>proportionality</w:t>
      </w:r>
      <w:r w:rsidRPr="00E95198">
        <w:rPr>
          <w:rFonts w:ascii="Times New Roman" w:hAnsi="Times New Roman"/>
          <w:szCs w:val="24"/>
        </w:rPr>
        <w:t xml:space="preserve"> in its legislative proposals.</w:t>
      </w:r>
    </w:p>
    <w:p w14:paraId="38A30F8D"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Commission has initiated preparatory work on the </w:t>
      </w:r>
      <w:r w:rsidRPr="00E95198">
        <w:rPr>
          <w:rFonts w:ascii="Times New Roman" w:hAnsi="Times New Roman"/>
          <w:b/>
          <w:szCs w:val="24"/>
        </w:rPr>
        <w:t>implementation of the agreement on the finalisation of the Basel III</w:t>
      </w:r>
      <w:r w:rsidRPr="00E95198">
        <w:rPr>
          <w:rFonts w:ascii="Times New Roman" w:hAnsi="Times New Roman"/>
          <w:szCs w:val="24"/>
        </w:rPr>
        <w:t xml:space="preserve"> </w:t>
      </w:r>
      <w:r w:rsidRPr="00E95198">
        <w:rPr>
          <w:rFonts w:ascii="Times New Roman" w:hAnsi="Times New Roman"/>
          <w:b/>
          <w:szCs w:val="24"/>
        </w:rPr>
        <w:t>framework</w:t>
      </w:r>
      <w:r w:rsidRPr="00E95198">
        <w:rPr>
          <w:rFonts w:ascii="Times New Roman" w:hAnsi="Times New Roman"/>
          <w:szCs w:val="24"/>
        </w:rPr>
        <w:t>. As a first step, it is reaching out to stakeholders in order to identify the possible impact of implementing the revised international standards in the EU. The Commission will carry out a thorough impact assessment and take due account of all specificities of the European banking sector before making any legislative proposal.</w:t>
      </w:r>
    </w:p>
    <w:p w14:paraId="6298643F"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In relation to </w:t>
      </w:r>
      <w:r w:rsidRPr="00E95198">
        <w:rPr>
          <w:rFonts w:ascii="Times New Roman" w:hAnsi="Times New Roman"/>
          <w:b/>
          <w:szCs w:val="24"/>
        </w:rPr>
        <w:t>shadow banking</w:t>
      </w:r>
      <w:r w:rsidRPr="00E95198">
        <w:rPr>
          <w:rFonts w:ascii="Times New Roman" w:hAnsi="Times New Roman"/>
          <w:szCs w:val="24"/>
        </w:rPr>
        <w:t>, EU legislation adopted since the financial crisis has expanded to cover extensive areas of the financial sector. Remaining gaps in regulation should be clearly identified and their impact o</w:t>
      </w:r>
      <w:r>
        <w:rPr>
          <w:rFonts w:ascii="Times New Roman" w:hAnsi="Times New Roman"/>
          <w:szCs w:val="24"/>
        </w:rPr>
        <w:t>n financial stability assessed.</w:t>
      </w:r>
    </w:p>
    <w:p w14:paraId="0B4A9E6E" w14:textId="77777777" w:rsidR="00472298" w:rsidRPr="00E95198" w:rsidRDefault="00472298" w:rsidP="00472298">
      <w:pPr>
        <w:tabs>
          <w:tab w:val="left" w:pos="0"/>
        </w:tabs>
        <w:spacing w:after="120"/>
        <w:ind w:right="-312"/>
        <w:rPr>
          <w:rFonts w:ascii="Times New Roman" w:hAnsi="Times New Roman"/>
          <w:iCs/>
          <w:szCs w:val="24"/>
        </w:rPr>
      </w:pPr>
      <w:r w:rsidRPr="00E95198">
        <w:rPr>
          <w:rFonts w:ascii="Times New Roman" w:hAnsi="Times New Roman"/>
          <w:iCs/>
          <w:szCs w:val="24"/>
        </w:rPr>
        <w:t xml:space="preserve">The Commission agrees that the current </w:t>
      </w:r>
      <w:r w:rsidRPr="00E95198">
        <w:rPr>
          <w:rFonts w:ascii="Times New Roman" w:hAnsi="Times New Roman"/>
          <w:b/>
          <w:iCs/>
          <w:szCs w:val="24"/>
        </w:rPr>
        <w:t>moratorium tool</w:t>
      </w:r>
      <w:r w:rsidRPr="00E95198">
        <w:rPr>
          <w:rFonts w:ascii="Times New Roman" w:hAnsi="Times New Roman"/>
          <w:iCs/>
          <w:szCs w:val="24"/>
        </w:rPr>
        <w:t xml:space="preserve"> that can be applied during the resolution phase provided for in the currently applicable </w:t>
      </w:r>
      <w:r w:rsidRPr="00E95198">
        <w:rPr>
          <w:rFonts w:ascii="Times New Roman" w:hAnsi="Times New Roman"/>
          <w:szCs w:val="24"/>
        </w:rPr>
        <w:t>Bank Recovery and Resolution Directive (</w:t>
      </w:r>
      <w:r w:rsidRPr="00E95198">
        <w:rPr>
          <w:rFonts w:ascii="Times New Roman" w:hAnsi="Times New Roman"/>
          <w:iCs/>
          <w:szCs w:val="24"/>
        </w:rPr>
        <w:t>BRRD) (Article 69) could be insufficient in some specific circumstances to enable the relevant authority to perform its duties effectively. Also for this reason the Commission put forward a proposal on 23 November 2017 which introduces a pre-resolution moratorium that could be used with respect to institutions which meet early intervention conditions to avoid a further deterioration of their financial situation or for the purposes of declaring the bank failing or likely to fail, as well as an additional resolution moratorium to be used in specific circumstances</w:t>
      </w:r>
      <w:r w:rsidRPr="00E95198">
        <w:rPr>
          <w:rFonts w:ascii="Times New Roman" w:hAnsi="Times New Roman"/>
          <w:i/>
          <w:iCs/>
          <w:szCs w:val="24"/>
        </w:rPr>
        <w:t>.</w:t>
      </w:r>
      <w:r w:rsidRPr="00DF25E4">
        <w:rPr>
          <w:rFonts w:ascii="Times New Roman" w:hAnsi="Times New Roman"/>
          <w:iCs/>
          <w:szCs w:val="24"/>
        </w:rPr>
        <w:t xml:space="preserve"> </w:t>
      </w:r>
      <w:r w:rsidRPr="00E95198">
        <w:rPr>
          <w:rFonts w:ascii="Times New Roman" w:hAnsi="Times New Roman"/>
          <w:iCs/>
          <w:szCs w:val="24"/>
        </w:rPr>
        <w:t>It should not interfere with the deadlines set for Deposit Guarantee Schemes to repay depositors.</w:t>
      </w:r>
    </w:p>
    <w:p w14:paraId="48AC97C2" w14:textId="77777777" w:rsidR="00472298" w:rsidRPr="00E95198" w:rsidRDefault="00472298" w:rsidP="00472298">
      <w:pPr>
        <w:tabs>
          <w:tab w:val="left" w:pos="0"/>
        </w:tabs>
        <w:spacing w:after="120"/>
        <w:ind w:right="-312"/>
        <w:rPr>
          <w:rFonts w:ascii="Times New Roman" w:hAnsi="Times New Roman"/>
          <w:iCs/>
          <w:szCs w:val="24"/>
        </w:rPr>
      </w:pPr>
      <w:r w:rsidRPr="00E95198">
        <w:rPr>
          <w:rFonts w:ascii="Times New Roman" w:hAnsi="Times New Roman"/>
          <w:iCs/>
          <w:szCs w:val="24"/>
        </w:rPr>
        <w:t xml:space="preserve">The Commission agrees that it is important to ensure full clarity on the conditions for application of the provision on </w:t>
      </w:r>
      <w:r w:rsidRPr="00E95198">
        <w:rPr>
          <w:rFonts w:ascii="Times New Roman" w:hAnsi="Times New Roman"/>
          <w:b/>
          <w:iCs/>
          <w:szCs w:val="24"/>
        </w:rPr>
        <w:t>precautionary recapitalisation</w:t>
      </w:r>
      <w:r w:rsidRPr="00DF25E4">
        <w:rPr>
          <w:rFonts w:ascii="Times New Roman" w:hAnsi="Times New Roman"/>
          <w:iCs/>
          <w:szCs w:val="24"/>
        </w:rPr>
        <w:t>,</w:t>
      </w:r>
      <w:r w:rsidRPr="00E95198">
        <w:rPr>
          <w:rFonts w:ascii="Times New Roman" w:hAnsi="Times New Roman"/>
          <w:iCs/>
          <w:szCs w:val="24"/>
        </w:rPr>
        <w:t xml:space="preserve"> and is taking stock of the lesson learnt from recent application of the measure to ensure that it</w:t>
      </w:r>
      <w:r>
        <w:rPr>
          <w:rFonts w:ascii="Times New Roman" w:hAnsi="Times New Roman"/>
          <w:iCs/>
          <w:szCs w:val="24"/>
        </w:rPr>
        <w:t>s</w:t>
      </w:r>
      <w:r w:rsidRPr="00E95198">
        <w:rPr>
          <w:rFonts w:ascii="Times New Roman" w:hAnsi="Times New Roman"/>
          <w:iCs/>
          <w:szCs w:val="24"/>
        </w:rPr>
        <w:t xml:space="preserve"> implementation in practice, including the use of asset quality review and the determination of the institution's solvency, is clear and consistent with the role of this tool within the overall resolution framework.</w:t>
      </w:r>
    </w:p>
    <w:p w14:paraId="2046D75A" w14:textId="77777777" w:rsidR="00472298" w:rsidRPr="00E95198" w:rsidRDefault="00472298" w:rsidP="00472298">
      <w:pPr>
        <w:tabs>
          <w:tab w:val="left" w:pos="0"/>
        </w:tabs>
        <w:spacing w:after="120"/>
        <w:ind w:right="-312"/>
        <w:rPr>
          <w:rFonts w:ascii="Times New Roman" w:hAnsi="Times New Roman"/>
          <w:iCs/>
          <w:szCs w:val="24"/>
        </w:rPr>
      </w:pPr>
      <w:r w:rsidRPr="00E95198">
        <w:rPr>
          <w:rFonts w:ascii="Times New Roman" w:hAnsi="Times New Roman"/>
          <w:szCs w:val="24"/>
        </w:rPr>
        <w:t xml:space="preserve">Regarding the first application of the new resolution regime in 2017 and the related </w:t>
      </w:r>
      <w:r w:rsidRPr="00E95198">
        <w:rPr>
          <w:rFonts w:ascii="Times New Roman" w:hAnsi="Times New Roman"/>
          <w:b/>
          <w:bCs/>
          <w:szCs w:val="24"/>
        </w:rPr>
        <w:t>legal actions pending in the General Court</w:t>
      </w:r>
      <w:r w:rsidRPr="00E95198">
        <w:rPr>
          <w:rFonts w:ascii="Times New Roman" w:hAnsi="Times New Roman"/>
          <w:szCs w:val="24"/>
        </w:rPr>
        <w:t>, the Commission notes that this does not impair the effectiveness of the resolution framework, which is designed to enable swift action for the maintenance of financial stability, while at the same time allowing for ex-post judicial review and the protection of the rights of investors and creditors. Summaries of the applications are published in the Official Journal and no further publicity can be given to the pleadings as</w:t>
      </w:r>
      <w:r>
        <w:rPr>
          <w:rFonts w:ascii="Times New Roman" w:hAnsi="Times New Roman"/>
          <w:szCs w:val="24"/>
        </w:rPr>
        <w:t xml:space="preserve"> long as the cases are pending.</w:t>
      </w:r>
    </w:p>
    <w:p w14:paraId="58C0646C" w14:textId="77777777" w:rsidR="00472298" w:rsidRPr="00E95198" w:rsidRDefault="00472298" w:rsidP="00472298">
      <w:pPr>
        <w:tabs>
          <w:tab w:val="left" w:pos="0"/>
        </w:tabs>
        <w:spacing w:after="120"/>
        <w:ind w:right="-312"/>
        <w:rPr>
          <w:rFonts w:ascii="Times New Roman" w:hAnsi="Times New Roman"/>
          <w:iCs/>
          <w:szCs w:val="24"/>
        </w:rPr>
      </w:pPr>
      <w:r w:rsidRPr="00E95198">
        <w:rPr>
          <w:rFonts w:ascii="Times New Roman" w:hAnsi="Times New Roman"/>
          <w:szCs w:val="24"/>
        </w:rPr>
        <w:t>The Commission will explore jointly with the SRB lessons to be learnt from these experiences and the related litigation. The Commission will also assess how to best use this insight when preparing legislative proposals in the future.</w:t>
      </w:r>
    </w:p>
    <w:p w14:paraId="67D95D12" w14:textId="77777777" w:rsidR="00472298" w:rsidRPr="00E95198" w:rsidRDefault="00472298" w:rsidP="00472298">
      <w:pPr>
        <w:tabs>
          <w:tab w:val="left" w:pos="0"/>
        </w:tabs>
        <w:spacing w:after="120"/>
        <w:ind w:right="-312"/>
        <w:rPr>
          <w:rFonts w:ascii="Times New Roman" w:hAnsi="Times New Roman"/>
          <w:i/>
          <w:iCs/>
          <w:szCs w:val="24"/>
        </w:rPr>
      </w:pPr>
      <w:r w:rsidRPr="00E95198">
        <w:rPr>
          <w:rFonts w:ascii="Times New Roman" w:hAnsi="Times New Roman"/>
          <w:szCs w:val="24"/>
        </w:rPr>
        <w:t xml:space="preserve">On </w:t>
      </w:r>
      <w:r w:rsidRPr="00E95198">
        <w:rPr>
          <w:rFonts w:ascii="Times New Roman" w:hAnsi="Times New Roman"/>
          <w:b/>
          <w:bCs/>
          <w:szCs w:val="24"/>
        </w:rPr>
        <w:t>transparency and communication</w:t>
      </w:r>
      <w:r w:rsidRPr="00E95198">
        <w:rPr>
          <w:rFonts w:ascii="Times New Roman" w:hAnsi="Times New Roman"/>
          <w:szCs w:val="24"/>
        </w:rPr>
        <w:t>, the Commission recalls that any citizen of the Union has a right to request access to documents under Regulation (UE) No 1049/2001. Similarly, Annex II of the Framework Agreement on relations between the European Parliament and the Commission governs the forwarding to the European Parliament of confidential information from the Commission in connection with the exercise of the European Parliament’s prerogatives and competences. Yet, the provisions in force oblige the Commission to refuse access to documents where disclosure would undermine the protection of the public interest as regards the financial, monetary or economic policy of the Union or a Member States and where disclosure would undermine the protection of commercial interests of a natural or legal person, or the protection of court proceedings and legal advice, unless there is an overriding public interest</w:t>
      </w:r>
      <w:r>
        <w:rPr>
          <w:rFonts w:ascii="Times New Roman" w:hAnsi="Times New Roman"/>
          <w:szCs w:val="24"/>
        </w:rPr>
        <w:t>.</w:t>
      </w:r>
    </w:p>
    <w:p w14:paraId="18D47394"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iCs/>
          <w:szCs w:val="24"/>
        </w:rPr>
        <w:t xml:space="preserve">Concerning alleged differences with respect to certain rules applying in </w:t>
      </w:r>
      <w:r w:rsidRPr="00E95198">
        <w:rPr>
          <w:rFonts w:ascii="Times New Roman" w:hAnsi="Times New Roman"/>
          <w:b/>
          <w:iCs/>
          <w:szCs w:val="24"/>
        </w:rPr>
        <w:t>insolvency and in resolution</w:t>
      </w:r>
      <w:r w:rsidRPr="00E95198">
        <w:rPr>
          <w:rFonts w:ascii="Times New Roman" w:hAnsi="Times New Roman"/>
          <w:iCs/>
          <w:szCs w:val="24"/>
        </w:rPr>
        <w:t>, such as the amount of bail-in or burden sharing, the Commission notes that the public interest test allows a distinction between credit institutions that should be subject to insolvency and those subject to resolution.</w:t>
      </w:r>
    </w:p>
    <w:p w14:paraId="2962A7CB" w14:textId="77777777" w:rsidR="00472298" w:rsidRPr="00E95198" w:rsidRDefault="00472298" w:rsidP="00472298">
      <w:pPr>
        <w:tabs>
          <w:tab w:val="left" w:pos="0"/>
        </w:tabs>
        <w:spacing w:after="120"/>
        <w:ind w:right="-312"/>
        <w:rPr>
          <w:rFonts w:ascii="Times New Roman" w:hAnsi="Times New Roman"/>
          <w:bCs/>
        </w:rPr>
      </w:pPr>
      <w:r w:rsidRPr="00D7011E">
        <w:rPr>
          <w:rFonts w:ascii="Times New Roman" w:hAnsi="Times New Roman"/>
        </w:rPr>
        <w:t xml:space="preserve">The Commission recalls that preventive and alternative measures can be implemented under </w:t>
      </w:r>
      <w:r w:rsidRPr="00E95198">
        <w:rPr>
          <w:rFonts w:ascii="Times New Roman" w:hAnsi="Times New Roman"/>
        </w:rPr>
        <w:t>the Deposit Guarantee Scheme Directive in order to prevent the failure of a credit institution</w:t>
      </w:r>
      <w:r>
        <w:rPr>
          <w:rFonts w:ascii="Times New Roman" w:hAnsi="Times New Roman"/>
        </w:rPr>
        <w:t xml:space="preserve">, </w:t>
      </w:r>
      <w:r w:rsidRPr="00D7011E">
        <w:rPr>
          <w:rFonts w:ascii="Times New Roman" w:hAnsi="Times New Roman"/>
        </w:rPr>
        <w:t xml:space="preserve">such as national measures which do not fall under the </w:t>
      </w:r>
      <w:r w:rsidRPr="00E95198">
        <w:rPr>
          <w:rFonts w:ascii="Times New Roman" w:hAnsi="Times New Roman"/>
          <w:bCs/>
        </w:rPr>
        <w:t xml:space="preserve">State aid </w:t>
      </w:r>
      <w:r w:rsidRPr="00D7011E">
        <w:rPr>
          <w:rFonts w:ascii="Times New Roman" w:hAnsi="Times New Roman"/>
          <w:bCs/>
        </w:rPr>
        <w:t xml:space="preserve">rules of </w:t>
      </w:r>
      <w:r w:rsidRPr="00E95198">
        <w:rPr>
          <w:rFonts w:ascii="Times New Roman" w:hAnsi="Times New Roman"/>
          <w:bCs/>
        </w:rPr>
        <w:t xml:space="preserve">the Treaty </w:t>
      </w:r>
      <w:r w:rsidRPr="00D7011E">
        <w:rPr>
          <w:rFonts w:ascii="Times New Roman" w:hAnsi="Times New Roman"/>
          <w:bCs/>
        </w:rPr>
        <w:t>(</w:t>
      </w:r>
      <w:r w:rsidRPr="00E95198">
        <w:rPr>
          <w:rFonts w:ascii="Times New Roman" w:hAnsi="Times New Roman"/>
          <w:bCs/>
        </w:rPr>
        <w:t xml:space="preserve">e.g. if </w:t>
      </w:r>
      <w:r w:rsidRPr="00D7011E">
        <w:rPr>
          <w:rFonts w:ascii="Times New Roman" w:hAnsi="Times New Roman"/>
          <w:bCs/>
        </w:rPr>
        <w:t xml:space="preserve">the national measure is implemented </w:t>
      </w:r>
      <w:r w:rsidRPr="00E95198">
        <w:rPr>
          <w:rFonts w:ascii="Times New Roman" w:hAnsi="Times New Roman"/>
          <w:bCs/>
        </w:rPr>
        <w:t>on market terms</w:t>
      </w:r>
      <w:r w:rsidRPr="00D7011E">
        <w:rPr>
          <w:rFonts w:ascii="Times New Roman" w:hAnsi="Times New Roman"/>
          <w:bCs/>
        </w:rPr>
        <w:t>)</w:t>
      </w:r>
      <w:r>
        <w:rPr>
          <w:rFonts w:ascii="Times New Roman" w:hAnsi="Times New Roman"/>
          <w:bCs/>
        </w:rPr>
        <w:t xml:space="preserve"> or which constitute precautionary recapitalisation within the meaning of Article 32(4)(d)(iii) of the BRRD</w:t>
      </w:r>
      <w:r w:rsidRPr="00D7011E">
        <w:rPr>
          <w:rFonts w:ascii="Times New Roman" w:hAnsi="Times New Roman"/>
          <w:bCs/>
        </w:rPr>
        <w:t xml:space="preserve">. </w:t>
      </w:r>
      <w:r w:rsidRPr="00E95198">
        <w:rPr>
          <w:rFonts w:ascii="Times New Roman" w:hAnsi="Times New Roman"/>
          <w:bCs/>
        </w:rPr>
        <w:t>Also</w:t>
      </w:r>
      <w:r w:rsidRPr="00E95198">
        <w:rPr>
          <w:rFonts w:ascii="Times New Roman" w:hAnsi="Times New Roman"/>
        </w:rPr>
        <w:t xml:space="preserve">, the </w:t>
      </w:r>
      <w:r w:rsidRPr="00D7011E">
        <w:rPr>
          <w:rFonts w:ascii="Times New Roman" w:hAnsi="Times New Roman"/>
        </w:rPr>
        <w:t xml:space="preserve">Member State may decide that the deposit guarantee scheme </w:t>
      </w:r>
      <w:r w:rsidRPr="00E95198">
        <w:rPr>
          <w:rFonts w:ascii="Times New Roman" w:hAnsi="Times New Roman"/>
        </w:rPr>
        <w:t xml:space="preserve">can </w:t>
      </w:r>
      <w:r w:rsidRPr="00D7011E">
        <w:rPr>
          <w:rFonts w:ascii="Times New Roman" w:hAnsi="Times New Roman"/>
        </w:rPr>
        <w:t xml:space="preserve">be used to </w:t>
      </w:r>
      <w:r w:rsidRPr="00E95198">
        <w:rPr>
          <w:rFonts w:ascii="Times New Roman" w:hAnsi="Times New Roman"/>
        </w:rPr>
        <w:t xml:space="preserve">provide State Aid in resolution and in liquidation if the relevant conditions in the BRRD and the </w:t>
      </w:r>
      <w:r>
        <w:rPr>
          <w:rFonts w:ascii="Times New Roman" w:hAnsi="Times New Roman"/>
        </w:rPr>
        <w:t>Deposit Guarantee Schemes Directive (</w:t>
      </w:r>
      <w:r w:rsidRPr="00E95198">
        <w:rPr>
          <w:rFonts w:ascii="Times New Roman" w:hAnsi="Times New Roman"/>
        </w:rPr>
        <w:t>DGSD</w:t>
      </w:r>
      <w:r>
        <w:rPr>
          <w:rFonts w:ascii="Times New Roman" w:hAnsi="Times New Roman"/>
        </w:rPr>
        <w:t>)</w:t>
      </w:r>
      <w:r w:rsidRPr="00E95198">
        <w:rPr>
          <w:rFonts w:ascii="Times New Roman" w:hAnsi="Times New Roman"/>
        </w:rPr>
        <w:t>, as well as those in the State Aid framework, are met. Where State Aid is granted in the context of national insolvency proceedings, the bank must exit the market. In this context, the deposit guarantee scheme may provide State aid to facilitate such market exit (i.e. liquidation</w:t>
      </w:r>
      <w:r>
        <w:rPr>
          <w:rFonts w:ascii="Times New Roman" w:hAnsi="Times New Roman"/>
        </w:rPr>
        <w:t xml:space="preserve"> aid to close a bank), provided </w:t>
      </w:r>
      <w:r w:rsidRPr="00E95198">
        <w:rPr>
          <w:rFonts w:ascii="Times New Roman" w:hAnsi="Times New Roman"/>
        </w:rPr>
        <w:t>that the conditions under State aid rules as well as those in the DGSD are met.</w:t>
      </w:r>
    </w:p>
    <w:p w14:paraId="48CBE4F9" w14:textId="77777777" w:rsidR="00472298" w:rsidRPr="00E95198" w:rsidRDefault="00472298" w:rsidP="00472298">
      <w:pPr>
        <w:tabs>
          <w:tab w:val="left" w:pos="0"/>
        </w:tabs>
        <w:spacing w:after="120"/>
        <w:ind w:right="-312"/>
        <w:rPr>
          <w:rFonts w:ascii="Times New Roman" w:hAnsi="Times New Roman"/>
          <w:szCs w:val="24"/>
        </w:rPr>
      </w:pPr>
      <w:r w:rsidRPr="00792843">
        <w:rPr>
          <w:rFonts w:ascii="Times New Roman" w:hAnsi="Times New Roman"/>
          <w:szCs w:val="24"/>
        </w:rPr>
        <w:t>Given that the financial sector is still fragile</w:t>
      </w:r>
      <w:r>
        <w:rPr>
          <w:rFonts w:ascii="Times New Roman" w:hAnsi="Times New Roman"/>
          <w:szCs w:val="24"/>
        </w:rPr>
        <w:t>,</w:t>
      </w:r>
      <w:r w:rsidRPr="00792843">
        <w:rPr>
          <w:rFonts w:ascii="Times New Roman" w:hAnsi="Times New Roman"/>
          <w:szCs w:val="24"/>
        </w:rPr>
        <w:t xml:space="preserve"> t</w:t>
      </w:r>
      <w:r w:rsidRPr="00E95198">
        <w:rPr>
          <w:rFonts w:ascii="Times New Roman" w:hAnsi="Times New Roman"/>
          <w:szCs w:val="24"/>
        </w:rPr>
        <w:t xml:space="preserve">he </w:t>
      </w:r>
      <w:r w:rsidRPr="00E95198">
        <w:rPr>
          <w:rFonts w:ascii="Times New Roman" w:hAnsi="Times New Roman"/>
          <w:b/>
          <w:szCs w:val="24"/>
        </w:rPr>
        <w:t>2013 Banking Communication</w:t>
      </w:r>
      <w:r w:rsidRPr="00E95198">
        <w:rPr>
          <w:rFonts w:ascii="Times New Roman" w:hAnsi="Times New Roman"/>
          <w:szCs w:val="24"/>
        </w:rPr>
        <w:t xml:space="preserve"> continues to provide for the possibility </w:t>
      </w:r>
      <w:r w:rsidRPr="00792843">
        <w:rPr>
          <w:rFonts w:ascii="Times New Roman" w:hAnsi="Times New Roman"/>
          <w:szCs w:val="24"/>
        </w:rPr>
        <w:t xml:space="preserve">to </w:t>
      </w:r>
      <w:r w:rsidRPr="00E95198">
        <w:rPr>
          <w:rFonts w:ascii="Times New Roman" w:hAnsi="Times New Roman"/>
          <w:szCs w:val="24"/>
        </w:rPr>
        <w:t>us</w:t>
      </w:r>
      <w:r w:rsidRPr="00792843">
        <w:rPr>
          <w:rFonts w:ascii="Times New Roman" w:hAnsi="Times New Roman"/>
          <w:szCs w:val="24"/>
        </w:rPr>
        <w:t>e</w:t>
      </w:r>
      <w:r w:rsidRPr="00E95198">
        <w:rPr>
          <w:rFonts w:ascii="Times New Roman" w:hAnsi="Times New Roman"/>
          <w:szCs w:val="24"/>
        </w:rPr>
        <w:t xml:space="preserve"> </w:t>
      </w:r>
      <w:r w:rsidRPr="00792843">
        <w:rPr>
          <w:rFonts w:ascii="Times New Roman" w:hAnsi="Times New Roman"/>
          <w:szCs w:val="24"/>
        </w:rPr>
        <w:t xml:space="preserve">State </w:t>
      </w:r>
      <w:r w:rsidRPr="00E95198">
        <w:rPr>
          <w:rFonts w:ascii="Times New Roman" w:hAnsi="Times New Roman"/>
          <w:szCs w:val="24"/>
        </w:rPr>
        <w:t>aid to restructure or organise the orderly market exit of large and small banks but with tightened authorisation conditions (notably requiring contributions from shareholders and subordinated debt holders) to reduce the amount of State aid. The Commission continuously monitors, based on sector developments and experience gained in State aid cases, whether it needs to update the relevant State aid rules.</w:t>
      </w:r>
    </w:p>
    <w:p w14:paraId="511BF035"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iCs/>
          <w:szCs w:val="24"/>
        </w:rPr>
        <w:t>The Commission agrees on the importance of allocating liabilities to the appropriate categories of investors</w:t>
      </w:r>
      <w:r>
        <w:rPr>
          <w:rFonts w:ascii="Times New Roman" w:hAnsi="Times New Roman"/>
          <w:iCs/>
          <w:szCs w:val="24"/>
        </w:rPr>
        <w:t>,</w:t>
      </w:r>
      <w:r w:rsidRPr="00E95198">
        <w:rPr>
          <w:rFonts w:ascii="Times New Roman" w:hAnsi="Times New Roman"/>
          <w:iCs/>
          <w:szCs w:val="24"/>
        </w:rPr>
        <w:t xml:space="preserve"> and highlights in this respect the crucial role of the rules on transparency of information on financial products, particularly those contained in the </w:t>
      </w:r>
      <w:r w:rsidRPr="00DF25E4">
        <w:rPr>
          <w:rStyle w:val="st"/>
          <w:rFonts w:ascii="Times New Roman" w:hAnsi="Times New Roman"/>
        </w:rPr>
        <w:t xml:space="preserve">Markets in </w:t>
      </w:r>
      <w:r>
        <w:rPr>
          <w:rStyle w:val="st"/>
          <w:rFonts w:ascii="Times New Roman" w:hAnsi="Times New Roman"/>
        </w:rPr>
        <w:t>F</w:t>
      </w:r>
      <w:r w:rsidRPr="00DF25E4">
        <w:rPr>
          <w:rStyle w:val="st"/>
          <w:rFonts w:ascii="Times New Roman" w:hAnsi="Times New Roman"/>
        </w:rPr>
        <w:t xml:space="preserve">inancial </w:t>
      </w:r>
      <w:r>
        <w:rPr>
          <w:rStyle w:val="st"/>
          <w:rFonts w:ascii="Times New Roman" w:hAnsi="Times New Roman"/>
        </w:rPr>
        <w:t>I</w:t>
      </w:r>
      <w:r w:rsidRPr="00DF25E4">
        <w:rPr>
          <w:rStyle w:val="st"/>
          <w:rFonts w:ascii="Times New Roman" w:hAnsi="Times New Roman"/>
        </w:rPr>
        <w:t xml:space="preserve">nstruments </w:t>
      </w:r>
      <w:r>
        <w:rPr>
          <w:rStyle w:val="st"/>
          <w:rFonts w:ascii="Times New Roman" w:hAnsi="Times New Roman"/>
        </w:rPr>
        <w:t>D</w:t>
      </w:r>
      <w:r w:rsidRPr="00DF25E4">
        <w:rPr>
          <w:rStyle w:val="st"/>
          <w:rFonts w:ascii="Times New Roman" w:hAnsi="Times New Roman"/>
        </w:rPr>
        <w:t>irective (</w:t>
      </w:r>
      <w:r w:rsidRPr="00E95198">
        <w:rPr>
          <w:rFonts w:ascii="Times New Roman" w:hAnsi="Times New Roman"/>
          <w:iCs/>
          <w:szCs w:val="24"/>
        </w:rPr>
        <w:t>MiFID.</w:t>
      </w:r>
    </w:p>
    <w:p w14:paraId="37DB1398"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Commission takes note of the call to </w:t>
      </w:r>
      <w:r w:rsidRPr="00E95198">
        <w:rPr>
          <w:rFonts w:ascii="Times New Roman" w:hAnsi="Times New Roman"/>
          <w:b/>
          <w:szCs w:val="24"/>
        </w:rPr>
        <w:t>reduce national options and discretions</w:t>
      </w:r>
      <w:r w:rsidRPr="00E95198">
        <w:rPr>
          <w:rFonts w:ascii="Times New Roman" w:hAnsi="Times New Roman"/>
          <w:szCs w:val="24"/>
        </w:rPr>
        <w:t xml:space="preserve"> in the DGSD to promote consistency across Member States</w:t>
      </w:r>
      <w:r>
        <w:rPr>
          <w:rFonts w:ascii="Times New Roman" w:hAnsi="Times New Roman"/>
          <w:szCs w:val="24"/>
        </w:rPr>
        <w:t>,</w:t>
      </w:r>
      <w:r w:rsidRPr="00E95198">
        <w:rPr>
          <w:rFonts w:ascii="Times New Roman" w:hAnsi="Times New Roman"/>
          <w:szCs w:val="24"/>
        </w:rPr>
        <w:t xml:space="preserve"> and will take this into account for the report on the DGSD that is due by July 2019.</w:t>
      </w:r>
    </w:p>
    <w:p w14:paraId="6A8B8F19" w14:textId="77777777" w:rsidR="00472298" w:rsidRPr="00E95198" w:rsidRDefault="00472298" w:rsidP="00472298">
      <w:pPr>
        <w:tabs>
          <w:tab w:val="left" w:pos="0"/>
        </w:tabs>
        <w:spacing w:after="120"/>
        <w:ind w:right="-312"/>
        <w:rPr>
          <w:rFonts w:ascii="Times New Roman" w:hAnsi="Times New Roman"/>
          <w:szCs w:val="24"/>
        </w:rPr>
      </w:pPr>
      <w:r w:rsidRPr="00E95198">
        <w:rPr>
          <w:rFonts w:ascii="Times New Roman" w:hAnsi="Times New Roman"/>
          <w:szCs w:val="24"/>
        </w:rPr>
        <w:t xml:space="preserve">The establishment of a </w:t>
      </w:r>
      <w:r w:rsidRPr="00E95198">
        <w:rPr>
          <w:rFonts w:ascii="Times New Roman" w:hAnsi="Times New Roman"/>
          <w:b/>
          <w:szCs w:val="24"/>
        </w:rPr>
        <w:t>European Deposit Insurance Scheme</w:t>
      </w:r>
      <w:r w:rsidRPr="00E95198">
        <w:rPr>
          <w:rFonts w:ascii="Times New Roman" w:hAnsi="Times New Roman"/>
          <w:szCs w:val="24"/>
        </w:rPr>
        <w:t xml:space="preserve"> (EDIS), proposed in 2015, is essential to ensure that the Banking Union functions at its best. The Commission adopted in October 2017 a Communication</w:t>
      </w:r>
      <w:r w:rsidRPr="00E95198">
        <w:rPr>
          <w:rStyle w:val="FootnoteReference"/>
          <w:rFonts w:ascii="Times New Roman" w:hAnsi="Times New Roman"/>
          <w:szCs w:val="24"/>
        </w:rPr>
        <w:footnoteReference w:id="5"/>
      </w:r>
      <w:r w:rsidRPr="00E95198">
        <w:rPr>
          <w:rFonts w:ascii="Times New Roman" w:hAnsi="Times New Roman"/>
          <w:szCs w:val="24"/>
        </w:rPr>
        <w:t xml:space="preserve"> putting forward some ideas to facilitate the debate</w:t>
      </w:r>
      <w:r>
        <w:rPr>
          <w:rFonts w:ascii="Times New Roman" w:hAnsi="Times New Roman"/>
          <w:szCs w:val="24"/>
        </w:rPr>
        <w:t>,</w:t>
      </w:r>
      <w:r w:rsidRPr="00E95198">
        <w:rPr>
          <w:rFonts w:ascii="Times New Roman" w:hAnsi="Times New Roman"/>
          <w:szCs w:val="24"/>
        </w:rPr>
        <w:t xml:space="preserve"> and encourages the European Parliament and the Council to accelerate the negotiation process in order</w:t>
      </w:r>
      <w:r>
        <w:rPr>
          <w:rFonts w:ascii="Times New Roman" w:hAnsi="Times New Roman"/>
          <w:szCs w:val="24"/>
        </w:rPr>
        <w:t xml:space="preserve"> to adopt the proposal by 2018.</w:t>
      </w:r>
    </w:p>
    <w:p w14:paraId="06FDACF8" w14:textId="77777777" w:rsidR="00472298" w:rsidRPr="0078771B" w:rsidRDefault="00472298" w:rsidP="00472298">
      <w:pPr>
        <w:spacing w:after="120"/>
        <w:rPr>
          <w:rFonts w:ascii="Times New Roman" w:hAnsi="Times New Roman"/>
          <w:bCs/>
        </w:rPr>
      </w:pPr>
      <w:r w:rsidRPr="00E95198">
        <w:rPr>
          <w:rFonts w:ascii="Times New Roman" w:hAnsi="Times New Roman"/>
          <w:szCs w:val="24"/>
        </w:rPr>
        <w:t xml:space="preserve">The Commission agrees that a </w:t>
      </w:r>
      <w:r w:rsidRPr="00E95198">
        <w:rPr>
          <w:rFonts w:ascii="Times New Roman" w:hAnsi="Times New Roman"/>
          <w:b/>
          <w:szCs w:val="24"/>
        </w:rPr>
        <w:t>common fiscal backstop</w:t>
      </w:r>
      <w:r w:rsidRPr="00E95198">
        <w:rPr>
          <w:rFonts w:ascii="Times New Roman" w:hAnsi="Times New Roman"/>
          <w:szCs w:val="24"/>
        </w:rPr>
        <w:t xml:space="preserve"> is needed to reinforce the overall credibility of the bank resolution framework within the Banking Union. The Commission has for this reason put forward a proposal on 6 December 2017 for the incorporation of the </w:t>
      </w:r>
      <w:r>
        <w:rPr>
          <w:rFonts w:ascii="Times New Roman" w:hAnsi="Times New Roman"/>
          <w:szCs w:val="24"/>
        </w:rPr>
        <w:t>European Stability Mechanism (</w:t>
      </w:r>
      <w:r w:rsidRPr="00E95198">
        <w:rPr>
          <w:rFonts w:ascii="Times New Roman" w:hAnsi="Times New Roman"/>
          <w:szCs w:val="24"/>
        </w:rPr>
        <w:t>ESM</w:t>
      </w:r>
      <w:r>
        <w:rPr>
          <w:rFonts w:ascii="Times New Roman" w:hAnsi="Times New Roman"/>
          <w:szCs w:val="24"/>
        </w:rPr>
        <w:t>)</w:t>
      </w:r>
      <w:r w:rsidRPr="00E95198">
        <w:rPr>
          <w:rFonts w:ascii="Times New Roman" w:hAnsi="Times New Roman"/>
          <w:szCs w:val="24"/>
        </w:rPr>
        <w:t xml:space="preserve"> into the Union framework as the </w:t>
      </w:r>
      <w:r w:rsidRPr="00DF25E4">
        <w:rPr>
          <w:rFonts w:ascii="Times New Roman" w:hAnsi="Times New Roman"/>
        </w:rPr>
        <w:t>European Monetary Fund (</w:t>
      </w:r>
      <w:r w:rsidRPr="00E95198">
        <w:rPr>
          <w:rFonts w:ascii="Times New Roman" w:hAnsi="Times New Roman"/>
          <w:szCs w:val="24"/>
        </w:rPr>
        <w:t>EMF</w:t>
      </w:r>
      <w:r>
        <w:rPr>
          <w:rFonts w:ascii="Times New Roman" w:hAnsi="Times New Roman"/>
          <w:szCs w:val="24"/>
        </w:rPr>
        <w:t>)</w:t>
      </w:r>
      <w:r w:rsidRPr="00E95198">
        <w:rPr>
          <w:rFonts w:ascii="Times New Roman" w:hAnsi="Times New Roman"/>
          <w:szCs w:val="24"/>
        </w:rPr>
        <w:t>, with a backstop function. In the past the Commission had already identified a credit line from the ESM as the most effective way of providing for a backstop. The integration of the ESM into the Union framework as the EMF provides the appropriate environment for creation of a common backstop.</w:t>
      </w:r>
    </w:p>
    <w:p w14:paraId="62BB02CC" w14:textId="70599DA3" w:rsidR="007C5886" w:rsidRPr="00B559EE" w:rsidRDefault="007C5886" w:rsidP="00B559EE">
      <w:bookmarkStart w:id="0" w:name="_GoBack"/>
      <w:bookmarkEnd w:id="0"/>
    </w:p>
    <w:sectPr w:rsidR="007C5886" w:rsidRPr="00B559EE" w:rsidSect="0044154D">
      <w:footerReference w:type="even" r:id="rId8"/>
      <w:footerReference w:type="default" r:id="rId9"/>
      <w:footnotePr>
        <w:numRestart w:val="eachSect"/>
      </w:footnotePr>
      <w:pgSz w:w="11906" w:h="16838" w:code="9"/>
      <w:pgMar w:top="1021" w:right="141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14D6" w14:textId="77777777" w:rsidR="00B2476D" w:rsidRDefault="00B2476D">
      <w:r>
        <w:separator/>
      </w:r>
    </w:p>
  </w:endnote>
  <w:endnote w:type="continuationSeparator" w:id="0">
    <w:p w14:paraId="5A848CA9" w14:textId="77777777" w:rsidR="00B2476D" w:rsidRDefault="00B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F034" w14:textId="7777777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F01BF60" w14:textId="77777777" w:rsidR="00B2476D" w:rsidRDefault="00B2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FDC" w14:textId="30393F43"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298">
      <w:rPr>
        <w:rStyle w:val="PageNumber"/>
        <w:noProof/>
      </w:rPr>
      <w:t>2</w:t>
    </w:r>
    <w:r>
      <w:rPr>
        <w:rStyle w:val="PageNumber"/>
      </w:rPr>
      <w:fldChar w:fldCharType="end"/>
    </w:r>
  </w:p>
  <w:p w14:paraId="1D943177" w14:textId="77777777" w:rsidR="00B2476D" w:rsidRPr="008A6623" w:rsidRDefault="00B2476D" w:rsidP="008A662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9972" w14:textId="77777777" w:rsidR="00B2476D" w:rsidRDefault="00B2476D">
      <w:r>
        <w:separator/>
      </w:r>
    </w:p>
  </w:footnote>
  <w:footnote w:type="continuationSeparator" w:id="0">
    <w:p w14:paraId="7C271BA7" w14:textId="77777777" w:rsidR="00B2476D" w:rsidRDefault="00B2476D">
      <w:r>
        <w:continuationSeparator/>
      </w:r>
    </w:p>
  </w:footnote>
  <w:footnote w:id="1">
    <w:p w14:paraId="4CE1555F" w14:textId="77777777" w:rsidR="00472298" w:rsidRPr="00351E3F" w:rsidRDefault="00472298" w:rsidP="00472298">
      <w:pPr>
        <w:spacing w:after="120"/>
        <w:ind w:left="425" w:hanging="425"/>
        <w:rPr>
          <w:rFonts w:ascii="Times New Roman" w:hAnsi="Times New Roman"/>
        </w:rPr>
      </w:pPr>
      <w:r w:rsidRPr="00403905">
        <w:rPr>
          <w:rStyle w:val="FootnoteReference"/>
          <w:rFonts w:ascii="Times New Roman" w:hAnsi="Times New Roman"/>
          <w:sz w:val="20"/>
        </w:rPr>
        <w:footnoteRef/>
      </w:r>
      <w:r w:rsidRPr="00403905">
        <w:rPr>
          <w:rFonts w:ascii="Times New Roman" w:hAnsi="Times New Roman"/>
          <w:sz w:val="20"/>
        </w:rPr>
        <w:t xml:space="preserve"> </w:t>
      </w:r>
      <w:r>
        <w:rPr>
          <w:rFonts w:ascii="Times New Roman" w:hAnsi="Times New Roman"/>
          <w:sz w:val="20"/>
        </w:rPr>
        <w:tab/>
      </w:r>
      <w:r>
        <w:rPr>
          <w:rFonts w:ascii="Times New Roman" w:hAnsi="Times New Roman"/>
          <w:sz w:val="20"/>
          <w:lang w:eastAsia="it-IT"/>
        </w:rPr>
        <w:t>a</w:t>
      </w:r>
      <w:r w:rsidRPr="00351E3F">
        <w:rPr>
          <w:rFonts w:ascii="Times New Roman" w:hAnsi="Times New Roman"/>
          <w:sz w:val="20"/>
          <w:lang w:eastAsia="it-IT"/>
        </w:rPr>
        <w:t xml:space="preserve">ssets which are typically very illiquid and </w:t>
      </w:r>
      <w:r>
        <w:rPr>
          <w:rFonts w:ascii="Times New Roman" w:hAnsi="Times New Roman"/>
          <w:sz w:val="20"/>
          <w:lang w:eastAsia="it-IT"/>
        </w:rPr>
        <w:t xml:space="preserve">whose </w:t>
      </w:r>
      <w:r w:rsidRPr="00351E3F">
        <w:rPr>
          <w:rFonts w:ascii="Times New Roman" w:hAnsi="Times New Roman"/>
          <w:sz w:val="20"/>
          <w:lang w:eastAsia="it-IT"/>
        </w:rPr>
        <w:t>valuation cannot be determined by using observable measures such as market prices or models</w:t>
      </w:r>
    </w:p>
  </w:footnote>
  <w:footnote w:id="2">
    <w:p w14:paraId="7B950EF3" w14:textId="77777777" w:rsidR="00472298" w:rsidRPr="00124BD2" w:rsidRDefault="00472298" w:rsidP="00472298">
      <w:pPr>
        <w:pStyle w:val="FootnoteText"/>
        <w:spacing w:after="120"/>
        <w:ind w:left="284" w:hanging="284"/>
        <w:rPr>
          <w:rFonts w:ascii="Times New Roman" w:hAnsi="Times New Roman"/>
        </w:rPr>
      </w:pPr>
      <w:r w:rsidRPr="00124BD2">
        <w:rPr>
          <w:rStyle w:val="FootnoteReference"/>
          <w:rFonts w:ascii="Times New Roman" w:hAnsi="Times New Roman"/>
        </w:rPr>
        <w:footnoteRef/>
      </w:r>
      <w:r>
        <w:rPr>
          <w:rFonts w:ascii="Times New Roman" w:hAnsi="Times New Roman"/>
        </w:rPr>
        <w:tab/>
      </w:r>
      <w:r w:rsidRPr="00124BD2">
        <w:rPr>
          <w:rFonts w:ascii="Times New Roman" w:hAnsi="Times New Roman"/>
        </w:rPr>
        <w:t>Report from the Commission to the European Parliament and the Council on the Single Supervisory Mechanism established pursuant to Regulation (EU) No 1024/2013, COM(2017) 591 final</w:t>
      </w:r>
    </w:p>
  </w:footnote>
  <w:footnote w:id="3">
    <w:p w14:paraId="206B80A2" w14:textId="77777777" w:rsidR="00472298" w:rsidRPr="00351E3F" w:rsidRDefault="00472298" w:rsidP="00472298">
      <w:pPr>
        <w:pStyle w:val="FootnoteText"/>
        <w:spacing w:after="120"/>
        <w:ind w:left="284" w:hanging="284"/>
        <w:rPr>
          <w:rFonts w:ascii="Times New Roman" w:hAnsi="Times New Roman"/>
        </w:rPr>
      </w:pPr>
      <w:r w:rsidRPr="00403905">
        <w:rPr>
          <w:rStyle w:val="FootnoteReference"/>
          <w:rFonts w:ascii="Times New Roman" w:hAnsi="Times New Roman"/>
        </w:rPr>
        <w:footnoteRef/>
      </w:r>
      <w:r>
        <w:rPr>
          <w:rFonts w:ascii="Times New Roman" w:hAnsi="Times New Roman"/>
        </w:rPr>
        <w:tab/>
      </w:r>
      <w:r w:rsidRPr="00351E3F">
        <w:rPr>
          <w:rFonts w:ascii="Times New Roman" w:hAnsi="Times New Roman"/>
        </w:rPr>
        <w:t>See fo</w:t>
      </w:r>
      <w:r>
        <w:rPr>
          <w:rFonts w:ascii="Times New Roman" w:hAnsi="Times New Roman"/>
        </w:rPr>
        <w:t>o</w:t>
      </w:r>
      <w:r w:rsidRPr="00351E3F">
        <w:rPr>
          <w:rFonts w:ascii="Times New Roman" w:hAnsi="Times New Roman"/>
        </w:rPr>
        <w:t>tnote 1.</w:t>
      </w:r>
    </w:p>
  </w:footnote>
  <w:footnote w:id="4">
    <w:p w14:paraId="5732802C" w14:textId="77777777" w:rsidR="00472298" w:rsidRPr="00403905" w:rsidRDefault="00472298" w:rsidP="00472298">
      <w:pPr>
        <w:pStyle w:val="FootnoteText"/>
        <w:spacing w:after="120"/>
        <w:ind w:left="284" w:hanging="284"/>
        <w:rPr>
          <w:rFonts w:ascii="Times New Roman" w:hAnsi="Times New Roman"/>
        </w:rPr>
      </w:pPr>
      <w:r w:rsidRPr="00124BD2">
        <w:rPr>
          <w:rStyle w:val="FootnoteReference"/>
          <w:rFonts w:ascii="Times New Roman" w:hAnsi="Times New Roman"/>
        </w:rPr>
        <w:footnoteRef/>
      </w:r>
      <w:r>
        <w:rPr>
          <w:rFonts w:ascii="Times New Roman" w:hAnsi="Times New Roman"/>
        </w:rPr>
        <w:tab/>
      </w:r>
      <w:r w:rsidRPr="00124BD2">
        <w:rPr>
          <w:rFonts w:ascii="Times New Roman" w:hAnsi="Times New Roman"/>
        </w:rPr>
        <w:t>COM(2018)</w:t>
      </w:r>
      <w:r>
        <w:rPr>
          <w:rFonts w:ascii="Times New Roman" w:hAnsi="Times New Roman"/>
        </w:rPr>
        <w:t> </w:t>
      </w:r>
      <w:r w:rsidRPr="00124BD2">
        <w:rPr>
          <w:rFonts w:ascii="Times New Roman" w:hAnsi="Times New Roman"/>
        </w:rPr>
        <w:t>109 final – FinTech Action plan: for a more competitive and innovative European financial sector</w:t>
      </w:r>
    </w:p>
  </w:footnote>
  <w:footnote w:id="5">
    <w:p w14:paraId="476BF01A" w14:textId="77777777" w:rsidR="00472298" w:rsidRPr="00124BD2" w:rsidRDefault="00472298" w:rsidP="00472298">
      <w:pPr>
        <w:pStyle w:val="FootnoteText"/>
        <w:spacing w:after="120"/>
        <w:ind w:left="284" w:hanging="284"/>
        <w:rPr>
          <w:rFonts w:ascii="Times New Roman" w:hAnsi="Times New Roman"/>
        </w:rPr>
      </w:pPr>
      <w:r w:rsidRPr="00124BD2">
        <w:rPr>
          <w:rStyle w:val="FootnoteReference"/>
          <w:rFonts w:ascii="Times New Roman" w:hAnsi="Times New Roman"/>
        </w:rPr>
        <w:footnoteRef/>
      </w:r>
      <w:r w:rsidRPr="00124BD2">
        <w:rPr>
          <w:rFonts w:ascii="Times New Roman" w:hAnsi="Times New Roman"/>
        </w:rPr>
        <w:t xml:space="preserve"> </w:t>
      </w:r>
      <w:r>
        <w:rPr>
          <w:rFonts w:ascii="Times New Roman" w:hAnsi="Times New Roman"/>
        </w:rPr>
        <w:tab/>
      </w:r>
      <w:r w:rsidRPr="00124BD2">
        <w:rPr>
          <w:rFonts w:ascii="Times New Roman" w:hAnsi="Times New Roman"/>
        </w:rPr>
        <w:t xml:space="preserve">Communication to the European </w:t>
      </w:r>
      <w:r>
        <w:rPr>
          <w:rFonts w:ascii="Times New Roman" w:hAnsi="Times New Roman"/>
        </w:rPr>
        <w:t>P</w:t>
      </w:r>
      <w:r w:rsidRPr="00124BD2">
        <w:rPr>
          <w:rFonts w:ascii="Times New Roman" w:hAnsi="Times New Roman"/>
        </w:rPr>
        <w:t xml:space="preserve">arliament, the Council, the European </w:t>
      </w:r>
      <w:r>
        <w:rPr>
          <w:rFonts w:ascii="Times New Roman" w:hAnsi="Times New Roman"/>
        </w:rPr>
        <w:t>C</w:t>
      </w:r>
      <w:r w:rsidRPr="00124BD2">
        <w:rPr>
          <w:rFonts w:ascii="Times New Roman" w:hAnsi="Times New Roman"/>
        </w:rPr>
        <w:t xml:space="preserve">entral </w:t>
      </w:r>
      <w:r>
        <w:rPr>
          <w:rFonts w:ascii="Times New Roman" w:hAnsi="Times New Roman"/>
        </w:rPr>
        <w:t>B</w:t>
      </w:r>
      <w:r w:rsidRPr="00124BD2">
        <w:rPr>
          <w:rFonts w:ascii="Times New Roman" w:hAnsi="Times New Roman"/>
        </w:rPr>
        <w:t xml:space="preserve">ank, the European </w:t>
      </w:r>
      <w:r>
        <w:rPr>
          <w:rFonts w:ascii="Times New Roman" w:hAnsi="Times New Roman"/>
        </w:rPr>
        <w:t>E</w:t>
      </w:r>
      <w:r w:rsidRPr="00124BD2">
        <w:rPr>
          <w:rFonts w:ascii="Times New Roman" w:hAnsi="Times New Roman"/>
        </w:rPr>
        <w:t xml:space="preserve">conomic and </w:t>
      </w:r>
      <w:r>
        <w:rPr>
          <w:rFonts w:ascii="Times New Roman" w:hAnsi="Times New Roman"/>
        </w:rPr>
        <w:t>S</w:t>
      </w:r>
      <w:r w:rsidRPr="00124BD2">
        <w:rPr>
          <w:rFonts w:ascii="Times New Roman" w:hAnsi="Times New Roman"/>
        </w:rPr>
        <w:t xml:space="preserve">ocial </w:t>
      </w:r>
      <w:r>
        <w:rPr>
          <w:rFonts w:ascii="Times New Roman" w:hAnsi="Times New Roman"/>
        </w:rPr>
        <w:t>C</w:t>
      </w:r>
      <w:r w:rsidRPr="00124BD2">
        <w:rPr>
          <w:rFonts w:ascii="Times New Roman" w:hAnsi="Times New Roman"/>
        </w:rPr>
        <w:t xml:space="preserve">ommittee and the Committee of the </w:t>
      </w:r>
      <w:r>
        <w:rPr>
          <w:rFonts w:ascii="Times New Roman" w:hAnsi="Times New Roman"/>
        </w:rPr>
        <w:t>R</w:t>
      </w:r>
      <w:r w:rsidRPr="00124BD2">
        <w:rPr>
          <w:rFonts w:ascii="Times New Roman" w:hAnsi="Times New Roman"/>
        </w:rPr>
        <w:t xml:space="preserve">egions on completing the </w:t>
      </w:r>
      <w:r>
        <w:rPr>
          <w:rFonts w:ascii="Times New Roman" w:hAnsi="Times New Roman"/>
        </w:rPr>
        <w:t>B</w:t>
      </w:r>
      <w:r w:rsidRPr="00124BD2">
        <w:rPr>
          <w:rFonts w:ascii="Times New Roman" w:hAnsi="Times New Roman"/>
        </w:rPr>
        <w:t xml:space="preserve">anking </w:t>
      </w:r>
      <w:r>
        <w:rPr>
          <w:rFonts w:ascii="Times New Roman" w:hAnsi="Times New Roman"/>
        </w:rPr>
        <w:t>U</w:t>
      </w:r>
      <w:r w:rsidRPr="00124BD2">
        <w:rPr>
          <w:rFonts w:ascii="Times New Roman" w:hAnsi="Times New Roman"/>
        </w:rPr>
        <w:t>nion, COM(2017) 592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5"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6"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80F19"/>
    <w:multiLevelType w:val="hybridMultilevel"/>
    <w:tmpl w:val="CC30F9EE"/>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CF3EEF"/>
    <w:multiLevelType w:val="hybridMultilevel"/>
    <w:tmpl w:val="20585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28E1EC9"/>
    <w:multiLevelType w:val="hybridMultilevel"/>
    <w:tmpl w:val="7B340AE6"/>
    <w:lvl w:ilvl="0" w:tplc="FD6CBBE6">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9454611"/>
    <w:multiLevelType w:val="hybridMultilevel"/>
    <w:tmpl w:val="ED3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1573693"/>
    <w:multiLevelType w:val="hybridMultilevel"/>
    <w:tmpl w:val="EAFA2696"/>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464B6"/>
    <w:multiLevelType w:val="hybridMultilevel"/>
    <w:tmpl w:val="C4F8F7FC"/>
    <w:lvl w:ilvl="0" w:tplc="010A331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0B0CB0"/>
    <w:multiLevelType w:val="hybridMultilevel"/>
    <w:tmpl w:val="D8B41F02"/>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28"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5"/>
  </w:num>
  <w:num w:numId="2">
    <w:abstractNumId w:val="1"/>
  </w:num>
  <w:num w:numId="3">
    <w:abstractNumId w:val="31"/>
  </w:num>
  <w:num w:numId="4">
    <w:abstractNumId w:val="11"/>
  </w:num>
  <w:num w:numId="5">
    <w:abstractNumId w:val="27"/>
  </w:num>
  <w:num w:numId="6">
    <w:abstractNumId w:val="8"/>
  </w:num>
  <w:num w:numId="7">
    <w:abstractNumId w:val="4"/>
  </w:num>
  <w:num w:numId="8">
    <w:abstractNumId w:val="15"/>
  </w:num>
  <w:num w:numId="9">
    <w:abstractNumId w:val="30"/>
  </w:num>
  <w:num w:numId="10">
    <w:abstractNumId w:val="24"/>
  </w:num>
  <w:num w:numId="11">
    <w:abstractNumId w:val="25"/>
  </w:num>
  <w:num w:numId="12">
    <w:abstractNumId w:val="9"/>
  </w:num>
  <w:num w:numId="13">
    <w:abstractNumId w:val="18"/>
  </w:num>
  <w:num w:numId="14">
    <w:abstractNumId w:val="28"/>
  </w:num>
  <w:num w:numId="15">
    <w:abstractNumId w:val="14"/>
  </w:num>
  <w:num w:numId="16">
    <w:abstractNumId w:val="33"/>
  </w:num>
  <w:num w:numId="17">
    <w:abstractNumId w:val="29"/>
  </w:num>
  <w:num w:numId="18">
    <w:abstractNumId w:val="19"/>
  </w:num>
  <w:num w:numId="19">
    <w:abstractNumId w:val="23"/>
  </w:num>
  <w:num w:numId="20">
    <w:abstractNumId w:val="26"/>
  </w:num>
  <w:num w:numId="21">
    <w:abstractNumId w:val="2"/>
  </w:num>
  <w:num w:numId="22">
    <w:abstractNumId w:val="3"/>
  </w:num>
  <w:num w:numId="23">
    <w:abstractNumId w:val="13"/>
  </w:num>
  <w:num w:numId="24">
    <w:abstractNumId w:val="32"/>
  </w:num>
  <w:num w:numId="25">
    <w:abstractNumId w:val="16"/>
  </w:num>
  <w:num w:numId="26">
    <w:abstractNumId w:val="17"/>
  </w:num>
  <w:num w:numId="27">
    <w:abstractNumId w:val="10"/>
  </w:num>
  <w:num w:numId="28">
    <w:abstractNumId w:val="12"/>
  </w:num>
  <w:num w:numId="29">
    <w:abstractNumId w:val="22"/>
  </w:num>
  <w:num w:numId="30">
    <w:abstractNumId w:val="20"/>
  </w:num>
  <w:num w:numId="31">
    <w:abstractNumId w:val="7"/>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32"/>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17"/>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6E95"/>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CEF"/>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766"/>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0"/>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2E"/>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779"/>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72"/>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631"/>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1FD8"/>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5A"/>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50"/>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9D2"/>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878"/>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3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875"/>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2CA"/>
    <w:rsid w:val="00437330"/>
    <w:rsid w:val="004378EC"/>
    <w:rsid w:val="004379D0"/>
    <w:rsid w:val="00440018"/>
    <w:rsid w:val="0044040B"/>
    <w:rsid w:val="00440604"/>
    <w:rsid w:val="00440DFC"/>
    <w:rsid w:val="00440E5B"/>
    <w:rsid w:val="00440FD7"/>
    <w:rsid w:val="0044129B"/>
    <w:rsid w:val="004412D1"/>
    <w:rsid w:val="0044130F"/>
    <w:rsid w:val="0044154D"/>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76"/>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1A"/>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8F8"/>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298"/>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19"/>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607"/>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515"/>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5F4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07A"/>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0C5"/>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0B0"/>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CB7"/>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0E6E"/>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41"/>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B51"/>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7F7"/>
    <w:rsid w:val="00664883"/>
    <w:rsid w:val="00664975"/>
    <w:rsid w:val="00664ADF"/>
    <w:rsid w:val="00664CFD"/>
    <w:rsid w:val="00665A2E"/>
    <w:rsid w:val="00665AD4"/>
    <w:rsid w:val="00665B07"/>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8FA"/>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7B"/>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E7C67"/>
    <w:rsid w:val="006E7F35"/>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664"/>
    <w:rsid w:val="006F40BA"/>
    <w:rsid w:val="006F42AE"/>
    <w:rsid w:val="006F4507"/>
    <w:rsid w:val="006F502E"/>
    <w:rsid w:val="006F5608"/>
    <w:rsid w:val="006F560B"/>
    <w:rsid w:val="006F604B"/>
    <w:rsid w:val="006F60F3"/>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B5D"/>
    <w:rsid w:val="00762D6F"/>
    <w:rsid w:val="00763433"/>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E90"/>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8E7"/>
    <w:rsid w:val="00797CF0"/>
    <w:rsid w:val="00797D7C"/>
    <w:rsid w:val="00797F43"/>
    <w:rsid w:val="007A055C"/>
    <w:rsid w:val="007A0767"/>
    <w:rsid w:val="007A0928"/>
    <w:rsid w:val="007A09A0"/>
    <w:rsid w:val="007A0C8F"/>
    <w:rsid w:val="007A0D76"/>
    <w:rsid w:val="007A111B"/>
    <w:rsid w:val="007A1381"/>
    <w:rsid w:val="007A16F4"/>
    <w:rsid w:val="007A194E"/>
    <w:rsid w:val="007A19B2"/>
    <w:rsid w:val="007A19E0"/>
    <w:rsid w:val="007A1AF9"/>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AD"/>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01"/>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CC8"/>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04"/>
    <w:rsid w:val="008270CD"/>
    <w:rsid w:val="008273FF"/>
    <w:rsid w:val="0082748B"/>
    <w:rsid w:val="008275F5"/>
    <w:rsid w:val="008276E7"/>
    <w:rsid w:val="00827733"/>
    <w:rsid w:val="00827924"/>
    <w:rsid w:val="00827ACF"/>
    <w:rsid w:val="00827F8D"/>
    <w:rsid w:val="00830030"/>
    <w:rsid w:val="008300C9"/>
    <w:rsid w:val="00830400"/>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7CF"/>
    <w:rsid w:val="0085294E"/>
    <w:rsid w:val="00852A01"/>
    <w:rsid w:val="00852AB5"/>
    <w:rsid w:val="00852BFE"/>
    <w:rsid w:val="00852EC8"/>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02B"/>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1F48"/>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5FBE"/>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68"/>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A0E"/>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54C"/>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79"/>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648"/>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011"/>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6D"/>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9AB"/>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9E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DBE"/>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1D0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744"/>
    <w:rsid w:val="00BD6C37"/>
    <w:rsid w:val="00BD6DFD"/>
    <w:rsid w:val="00BD6FDD"/>
    <w:rsid w:val="00BD7460"/>
    <w:rsid w:val="00BD74BF"/>
    <w:rsid w:val="00BD7CA5"/>
    <w:rsid w:val="00BD7EA1"/>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1F8C"/>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8BA"/>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477"/>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9E"/>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429"/>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034"/>
    <w:rsid w:val="00D361A7"/>
    <w:rsid w:val="00D36A01"/>
    <w:rsid w:val="00D36A0C"/>
    <w:rsid w:val="00D36ADA"/>
    <w:rsid w:val="00D36E44"/>
    <w:rsid w:val="00D36F14"/>
    <w:rsid w:val="00D3736D"/>
    <w:rsid w:val="00D37550"/>
    <w:rsid w:val="00D376ED"/>
    <w:rsid w:val="00D37715"/>
    <w:rsid w:val="00D37B46"/>
    <w:rsid w:val="00D37FA9"/>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21A"/>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833"/>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B6F"/>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513"/>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0F8A"/>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8B"/>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35"/>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BC7"/>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354"/>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B0D"/>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54"/>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BC0"/>
    <w:rsid w:val="00ED1CD0"/>
    <w:rsid w:val="00ED20C8"/>
    <w:rsid w:val="00ED21AB"/>
    <w:rsid w:val="00ED22FA"/>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21"/>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5DF"/>
    <w:rsid w:val="00F027C0"/>
    <w:rsid w:val="00F02862"/>
    <w:rsid w:val="00F02901"/>
    <w:rsid w:val="00F037F9"/>
    <w:rsid w:val="00F03837"/>
    <w:rsid w:val="00F03934"/>
    <w:rsid w:val="00F03A90"/>
    <w:rsid w:val="00F03B2B"/>
    <w:rsid w:val="00F03B5F"/>
    <w:rsid w:val="00F03D42"/>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2C6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6BC"/>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08E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 w:val="00FF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AB5C"/>
  <w15:docId w15:val="{50737A01-B508-4778-99DF-C41DA73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26"/>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59D0-9EC3-48D1-88E5-838EE02B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7</Pages>
  <Words>3147</Words>
  <Characters>17942</Characters>
  <Application>Microsoft Office Word</Application>
  <DocSecurity>0</DocSecurity>
  <PresentationFormat>Microsoft Word 8.0b</PresentationFormat>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21047</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WERKER</dc:creator>
  <cp:keywords>EL4</cp:keywords>
  <cp:lastModifiedBy>MERVILLE Nicolas (SG)</cp:lastModifiedBy>
  <cp:revision>3</cp:revision>
  <cp:lastPrinted>2018-03-07T16:29:00Z</cp:lastPrinted>
  <dcterms:created xsi:type="dcterms:W3CDTF">2018-05-23T10:07:00Z</dcterms:created>
  <dcterms:modified xsi:type="dcterms:W3CDTF">2018-05-23T12:20:00Z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