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CB" w:rsidRDefault="00E424CB" w:rsidP="00E424CB">
      <w:pPr>
        <w:widowControl w:val="0"/>
        <w:spacing w:after="600"/>
        <w:ind w:right="-28"/>
        <w:jc w:val="center"/>
        <w:rPr>
          <w:rFonts w:ascii="Times New Roman" w:hAnsi="Times New Roman"/>
          <w:b/>
          <w:bCs/>
        </w:rPr>
      </w:pPr>
      <w:r w:rsidRPr="007224E5">
        <w:rPr>
          <w:rFonts w:ascii="Times New Roman" w:hAnsi="Times New Roman"/>
          <w:b/>
          <w:bCs/>
        </w:rPr>
        <w:t>Follow up to the</w:t>
      </w:r>
      <w:r w:rsidRPr="00303C05">
        <w:rPr>
          <w:rFonts w:ascii="Times New Roman" w:hAnsi="Times New Roman"/>
          <w:b/>
          <w:bCs/>
        </w:rPr>
        <w:t xml:space="preserve"> </w:t>
      </w:r>
      <w:r>
        <w:rPr>
          <w:rFonts w:ascii="Times New Roman" w:hAnsi="Times New Roman"/>
          <w:b/>
          <w:bCs/>
        </w:rPr>
        <w:t xml:space="preserve">European Parliament </w:t>
      </w:r>
      <w:r w:rsidRPr="00C33439">
        <w:rPr>
          <w:rFonts w:ascii="Times New Roman" w:hAnsi="Times New Roman"/>
          <w:b/>
          <w:szCs w:val="24"/>
        </w:rPr>
        <w:t xml:space="preserve">non-legislative </w:t>
      </w:r>
      <w:r>
        <w:rPr>
          <w:rFonts w:ascii="Times New Roman" w:hAnsi="Times New Roman"/>
          <w:b/>
          <w:bCs/>
        </w:rPr>
        <w:t>r</w:t>
      </w:r>
      <w:r w:rsidRPr="00303C05">
        <w:rPr>
          <w:rFonts w:ascii="Times New Roman" w:hAnsi="Times New Roman"/>
          <w:b/>
          <w:bCs/>
        </w:rPr>
        <w:t xml:space="preserve">esolution of </w:t>
      </w:r>
      <w:r>
        <w:rPr>
          <w:rFonts w:ascii="Times New Roman" w:hAnsi="Times New Roman"/>
          <w:b/>
          <w:bCs/>
        </w:rPr>
        <w:t>13</w:t>
      </w:r>
      <w:r w:rsidRPr="00303C05">
        <w:rPr>
          <w:rFonts w:ascii="Times New Roman" w:hAnsi="Times New Roman"/>
          <w:b/>
          <w:bCs/>
        </w:rPr>
        <w:t xml:space="preserve"> </w:t>
      </w:r>
      <w:r>
        <w:rPr>
          <w:rFonts w:ascii="Times New Roman" w:hAnsi="Times New Roman"/>
          <w:b/>
          <w:bCs/>
        </w:rPr>
        <w:t xml:space="preserve">March </w:t>
      </w:r>
      <w:r w:rsidRPr="00303C05">
        <w:rPr>
          <w:rFonts w:ascii="Times New Roman" w:hAnsi="Times New Roman"/>
          <w:b/>
          <w:bCs/>
        </w:rPr>
        <w:t>201</w:t>
      </w:r>
      <w:r>
        <w:rPr>
          <w:rFonts w:ascii="Times New Roman" w:hAnsi="Times New Roman"/>
          <w:b/>
          <w:bCs/>
        </w:rPr>
        <w:t>8</w:t>
      </w:r>
      <w:r w:rsidRPr="00303C05">
        <w:rPr>
          <w:rFonts w:ascii="Times New Roman" w:hAnsi="Times New Roman"/>
          <w:b/>
          <w:bCs/>
        </w:rPr>
        <w:t xml:space="preserve"> </w:t>
      </w:r>
      <w:r>
        <w:rPr>
          <w:rFonts w:ascii="Times New Roman" w:hAnsi="Times New Roman"/>
          <w:b/>
          <w:bCs/>
        </w:rPr>
        <w:br/>
        <w:t>on g</w:t>
      </w:r>
      <w:r w:rsidRPr="00EC7980">
        <w:rPr>
          <w:rFonts w:ascii="Times New Roman" w:hAnsi="Times New Roman"/>
          <w:b/>
          <w:bCs/>
        </w:rPr>
        <w:t>ender equality in EU trade agreements</w:t>
      </w:r>
    </w:p>
    <w:p w:rsidR="00E424CB" w:rsidRPr="001342A6" w:rsidRDefault="00E424CB" w:rsidP="00E424CB">
      <w:pPr>
        <w:spacing w:after="600"/>
        <w:ind w:right="-312"/>
        <w:jc w:val="center"/>
        <w:rPr>
          <w:rFonts w:ascii="Times New Roman" w:hAnsi="Times New Roman"/>
          <w:b/>
          <w:lang w:val="it-IT"/>
        </w:rPr>
      </w:pPr>
      <w:r w:rsidRPr="001342A6">
        <w:rPr>
          <w:rFonts w:ascii="Times New Roman" w:hAnsi="Times New Roman"/>
          <w:b/>
          <w:lang w:val="it-IT"/>
        </w:rPr>
        <w:t>2017/2015</w:t>
      </w:r>
      <w:r>
        <w:rPr>
          <w:rFonts w:ascii="Times New Roman" w:hAnsi="Times New Roman"/>
          <w:b/>
          <w:lang w:val="it-IT"/>
        </w:rPr>
        <w:t> </w:t>
      </w:r>
      <w:r w:rsidRPr="001342A6">
        <w:rPr>
          <w:rFonts w:ascii="Times New Roman" w:hAnsi="Times New Roman"/>
          <w:b/>
          <w:lang w:val="it-IT"/>
        </w:rPr>
        <w:t>(INI)</w:t>
      </w:r>
    </w:p>
    <w:p w:rsidR="00E424CB" w:rsidRPr="00360223" w:rsidRDefault="00E424CB" w:rsidP="00E424CB">
      <w:pPr>
        <w:ind w:left="567" w:right="-312" w:hanging="567"/>
        <w:rPr>
          <w:rFonts w:ascii="Times New Roman" w:hAnsi="Times New Roman"/>
          <w:b/>
          <w:lang w:val="it-IT"/>
        </w:rPr>
      </w:pPr>
      <w:r w:rsidRPr="00360223">
        <w:rPr>
          <w:rFonts w:ascii="Times New Roman" w:hAnsi="Times New Roman"/>
          <w:b/>
          <w:lang w:val="it-IT"/>
        </w:rPr>
        <w:t>1.</w:t>
      </w:r>
      <w:r w:rsidRPr="00360223">
        <w:rPr>
          <w:rFonts w:ascii="Times New Roman" w:hAnsi="Times New Roman"/>
          <w:b/>
          <w:lang w:val="it-IT"/>
        </w:rPr>
        <w:tab/>
        <w:t>Rapporteur</w:t>
      </w:r>
      <w:r>
        <w:rPr>
          <w:rFonts w:ascii="Times New Roman" w:hAnsi="Times New Roman"/>
          <w:b/>
          <w:lang w:val="it-IT"/>
        </w:rPr>
        <w:t>s</w:t>
      </w:r>
      <w:r w:rsidRPr="00360223">
        <w:rPr>
          <w:rFonts w:ascii="Times New Roman" w:hAnsi="Times New Roman"/>
          <w:b/>
          <w:lang w:val="it-IT"/>
        </w:rPr>
        <w:t>:</w:t>
      </w:r>
      <w:r w:rsidRPr="00360223">
        <w:rPr>
          <w:rFonts w:ascii="Times New Roman" w:hAnsi="Times New Roman"/>
          <w:lang w:val="it-IT"/>
        </w:rPr>
        <w:t xml:space="preserve"> Malin BJÖRK (GUE/</w:t>
      </w:r>
      <w:r>
        <w:rPr>
          <w:rFonts w:ascii="Times New Roman" w:hAnsi="Times New Roman"/>
          <w:lang w:val="it-IT"/>
        </w:rPr>
        <w:t>SE), Eleonora FORENZA (</w:t>
      </w:r>
      <w:r w:rsidRPr="00360223">
        <w:rPr>
          <w:rFonts w:ascii="Times New Roman" w:hAnsi="Times New Roman"/>
          <w:lang w:val="it-IT"/>
        </w:rPr>
        <w:t>GUE/IT)</w:t>
      </w:r>
    </w:p>
    <w:p w:rsidR="00E424CB" w:rsidRPr="000C17BD" w:rsidRDefault="00E424CB" w:rsidP="00E424CB">
      <w:pPr>
        <w:ind w:left="567" w:right="-312" w:hanging="567"/>
        <w:rPr>
          <w:rFonts w:ascii="Times New Roman" w:hAnsi="Times New Roman"/>
        </w:rPr>
      </w:pPr>
      <w:r w:rsidRPr="0065157C">
        <w:rPr>
          <w:rFonts w:ascii="Times New Roman" w:hAnsi="Times New Roman"/>
          <w:b/>
        </w:rPr>
        <w:t>2.</w:t>
      </w:r>
      <w:r w:rsidRPr="0065157C">
        <w:rPr>
          <w:rFonts w:ascii="Times New Roman" w:hAnsi="Times New Roman"/>
          <w:b/>
        </w:rPr>
        <w:tab/>
      </w:r>
      <w:r w:rsidRPr="00881B8A">
        <w:rPr>
          <w:rFonts w:ascii="Times New Roman" w:hAnsi="Times New Roman"/>
          <w:b/>
          <w:szCs w:val="24"/>
        </w:rPr>
        <w:t>EP reference number</w:t>
      </w:r>
      <w:r w:rsidRPr="00303C05">
        <w:rPr>
          <w:rStyle w:val="ringrefselectedheader"/>
        </w:rPr>
        <w:t xml:space="preserve">: </w:t>
      </w:r>
      <w:r w:rsidRPr="00C06334">
        <w:rPr>
          <w:rStyle w:val="ringrefselectedheader"/>
          <w:rFonts w:ascii="Times New Roman" w:hAnsi="Times New Roman"/>
        </w:rPr>
        <w:t>A8-0023/2018</w:t>
      </w:r>
      <w:r>
        <w:rPr>
          <w:rStyle w:val="ringrefselectedheader"/>
          <w:rFonts w:ascii="Times New Roman" w:hAnsi="Times New Roman"/>
        </w:rPr>
        <w:t xml:space="preserve"> /</w:t>
      </w:r>
      <w:r w:rsidRPr="000C17BD">
        <w:rPr>
          <w:rStyle w:val="ringrefselectedheader"/>
          <w:rFonts w:ascii="Times New Roman" w:hAnsi="Times New Roman"/>
        </w:rPr>
        <w:t xml:space="preserve"> </w:t>
      </w:r>
      <w:r w:rsidRPr="00EC7980">
        <w:rPr>
          <w:rStyle w:val="ringrefselectedheader"/>
          <w:rFonts w:ascii="Times New Roman" w:hAnsi="Times New Roman"/>
        </w:rPr>
        <w:t>P8_TA-</w:t>
      </w:r>
      <w:proofErr w:type="gramStart"/>
      <w:r w:rsidRPr="00EC7980">
        <w:rPr>
          <w:rStyle w:val="ringrefselectedheader"/>
          <w:rFonts w:ascii="Times New Roman" w:hAnsi="Times New Roman"/>
        </w:rPr>
        <w:t>PROV(</w:t>
      </w:r>
      <w:proofErr w:type="gramEnd"/>
      <w:r w:rsidRPr="00EC7980">
        <w:rPr>
          <w:rStyle w:val="ringrefselectedheader"/>
          <w:rFonts w:ascii="Times New Roman" w:hAnsi="Times New Roman"/>
        </w:rPr>
        <w:t>2018)0066</w:t>
      </w:r>
    </w:p>
    <w:p w:rsidR="00E424CB" w:rsidRPr="000C17BD" w:rsidRDefault="00E424CB" w:rsidP="00E424CB">
      <w:pPr>
        <w:ind w:left="567" w:right="-312" w:hanging="567"/>
        <w:rPr>
          <w:rFonts w:ascii="Times New Roman" w:hAnsi="Times New Roman"/>
        </w:rPr>
      </w:pPr>
      <w:r w:rsidRPr="000C17BD">
        <w:rPr>
          <w:rFonts w:ascii="Times New Roman" w:hAnsi="Times New Roman"/>
          <w:b/>
        </w:rPr>
        <w:t>3.</w:t>
      </w:r>
      <w:r w:rsidRPr="000C17BD">
        <w:rPr>
          <w:rFonts w:ascii="Times New Roman" w:hAnsi="Times New Roman"/>
          <w:b/>
        </w:rPr>
        <w:tab/>
        <w:t xml:space="preserve">Date of adoption of the resolution: </w:t>
      </w:r>
      <w:r>
        <w:rPr>
          <w:rFonts w:ascii="Times New Roman" w:hAnsi="Times New Roman"/>
        </w:rPr>
        <w:t>13 March 2018</w:t>
      </w:r>
    </w:p>
    <w:p w:rsidR="00E424CB" w:rsidRPr="000C17BD" w:rsidRDefault="00E424CB" w:rsidP="00E424CB">
      <w:pPr>
        <w:ind w:left="567" w:right="-312" w:hanging="567"/>
        <w:rPr>
          <w:rFonts w:ascii="Times New Roman" w:hAnsi="Times New Roman"/>
        </w:rPr>
      </w:pPr>
      <w:r w:rsidRPr="000C17BD">
        <w:rPr>
          <w:rFonts w:ascii="Times New Roman" w:hAnsi="Times New Roman"/>
          <w:b/>
        </w:rPr>
        <w:t>4.</w:t>
      </w:r>
      <w:r w:rsidRPr="000C17BD">
        <w:rPr>
          <w:rFonts w:ascii="Times New Roman" w:hAnsi="Times New Roman"/>
          <w:b/>
        </w:rPr>
        <w:tab/>
        <w:t xml:space="preserve">Subject: </w:t>
      </w:r>
      <w:r w:rsidRPr="00EC7980">
        <w:rPr>
          <w:rFonts w:ascii="Times New Roman" w:hAnsi="Times New Roman"/>
          <w:bCs/>
        </w:rPr>
        <w:t>Gender equality in EU trade agreements</w:t>
      </w:r>
    </w:p>
    <w:p w:rsidR="00E424CB" w:rsidRPr="000C17BD" w:rsidRDefault="00E424CB" w:rsidP="00E424CB">
      <w:pPr>
        <w:ind w:left="567" w:right="-312" w:hanging="567"/>
        <w:rPr>
          <w:rFonts w:ascii="Times New Roman" w:hAnsi="Times New Roman"/>
        </w:rPr>
      </w:pPr>
      <w:r w:rsidRPr="000C17BD">
        <w:rPr>
          <w:rFonts w:ascii="Times New Roman" w:hAnsi="Times New Roman"/>
          <w:b/>
        </w:rPr>
        <w:t>5.</w:t>
      </w:r>
      <w:r w:rsidRPr="000C17BD">
        <w:rPr>
          <w:rFonts w:ascii="Times New Roman" w:hAnsi="Times New Roman"/>
          <w:b/>
        </w:rPr>
        <w:tab/>
        <w:t xml:space="preserve">Competent Parliamentary Committee: </w:t>
      </w:r>
      <w:r w:rsidRPr="000C17BD">
        <w:rPr>
          <w:rFonts w:ascii="Times New Roman" w:hAnsi="Times New Roman"/>
        </w:rPr>
        <w:t>Committee on International Trade (INTA)</w:t>
      </w:r>
      <w:r>
        <w:rPr>
          <w:rFonts w:ascii="Times New Roman" w:hAnsi="Times New Roman"/>
        </w:rPr>
        <w:t xml:space="preserve">; Committee on </w:t>
      </w:r>
      <w:r w:rsidRPr="00B37C6D">
        <w:rPr>
          <w:rFonts w:ascii="Times New Roman" w:hAnsi="Times New Roman"/>
        </w:rPr>
        <w:t>Women's Rights and Gender Equality</w:t>
      </w:r>
      <w:r>
        <w:rPr>
          <w:rFonts w:ascii="Times New Roman" w:hAnsi="Times New Roman"/>
        </w:rPr>
        <w:t xml:space="preserve"> (FEMM)</w:t>
      </w:r>
    </w:p>
    <w:p w:rsidR="00E424CB" w:rsidRPr="000C17BD" w:rsidRDefault="00E424CB" w:rsidP="00E424CB">
      <w:pPr>
        <w:ind w:left="567" w:right="-312" w:hanging="567"/>
        <w:rPr>
          <w:rFonts w:ascii="Times New Roman" w:hAnsi="Times New Roman"/>
          <w:b/>
        </w:rPr>
      </w:pPr>
      <w:r w:rsidRPr="000C17BD">
        <w:rPr>
          <w:rFonts w:ascii="Times New Roman" w:hAnsi="Times New Roman"/>
          <w:b/>
        </w:rPr>
        <w:t>6.</w:t>
      </w:r>
      <w:r w:rsidRPr="000C17BD">
        <w:rPr>
          <w:rFonts w:ascii="Times New Roman" w:hAnsi="Times New Roman"/>
          <w:b/>
        </w:rPr>
        <w:tab/>
      </w:r>
      <w:r w:rsidRPr="000A4B41">
        <w:rPr>
          <w:rFonts w:ascii="Times New Roman" w:hAnsi="Times New Roman"/>
          <w:b/>
        </w:rPr>
        <w:t>Brief analysis/ assessment of the resolution and requests made in it</w:t>
      </w:r>
      <w:r w:rsidRPr="000C17BD">
        <w:rPr>
          <w:rFonts w:ascii="Times New Roman" w:hAnsi="Times New Roman"/>
          <w:b/>
        </w:rPr>
        <w:t>:</w:t>
      </w:r>
    </w:p>
    <w:p w:rsidR="00E424CB" w:rsidRDefault="00E424CB" w:rsidP="00E424CB">
      <w:pPr>
        <w:pStyle w:val="NormalWeb"/>
        <w:spacing w:before="0" w:beforeAutospacing="0" w:after="120" w:afterAutospacing="0"/>
        <w:jc w:val="both"/>
      </w:pPr>
      <w:r>
        <w:t xml:space="preserve">The resolution addresses gender equality in EU trade agreements and covers a wide range of issues regarding the integration of the gender perspective into trade policy instruments and related policy areas. The resolution calls </w:t>
      </w:r>
      <w:r w:rsidRPr="0029278A">
        <w:t>to ensure that the gender perspective is included and mainstreamed in the EU’s trade and investment policy</w:t>
      </w:r>
      <w:r w:rsidRPr="0036662A">
        <w:t xml:space="preserve"> as it would maximise the overall gains from trade opportunities for all</w:t>
      </w:r>
      <w:r w:rsidRPr="0029278A">
        <w:t xml:space="preserve">. </w:t>
      </w:r>
      <w:r>
        <w:t>The resolution</w:t>
      </w:r>
      <w:r w:rsidRPr="0029278A">
        <w:t xml:space="preserve"> adds that trade policy should be used as a tool to improve the living and working conditions of women, to bring them on equal terms with men, for instance by supporting the reduction of gender pay gaps by promoting the creation of better quality jobs for women.</w:t>
      </w:r>
    </w:p>
    <w:p w:rsidR="00E424CB" w:rsidRDefault="00E424CB" w:rsidP="00E424CB">
      <w:pPr>
        <w:pStyle w:val="NormalWeb"/>
        <w:spacing w:before="0" w:beforeAutospacing="0" w:after="120" w:afterAutospacing="0"/>
        <w:jc w:val="both"/>
      </w:pPr>
      <w:proofErr w:type="gramStart"/>
      <w:r>
        <w:t>The resolution calls for further actions in a broad spectrum of areas, e.g. issues to be</w:t>
      </w:r>
      <w:r w:rsidRPr="000C7EDE">
        <w:t xml:space="preserve"> </w:t>
      </w:r>
      <w:r>
        <w:t xml:space="preserve">included in </w:t>
      </w:r>
      <w:r w:rsidRPr="000C7EDE">
        <w:t>EU trade agreements</w:t>
      </w:r>
      <w:r>
        <w:t>; the EU's Generalised Scheme of Preferences (GSP) and GSP+, labour standards and International Labour Organisation (ILO) Conventions, support of micro, small and medium-sized enterprises (MSMEs), in particular those led by women, the World Trade Organisation (WTO) and its instruments, corporate social responsibility and responsible business conduct, human rights, development cooperation, and promotion of</w:t>
      </w:r>
      <w:r w:rsidRPr="005E768E">
        <w:t xml:space="preserve"> greater gender equality in the distribution of employment opportunities offered by exports</w:t>
      </w:r>
      <w:r>
        <w:t>.</w:t>
      </w:r>
      <w:proofErr w:type="gramEnd"/>
      <w:r>
        <w:t xml:space="preserve"> T</w:t>
      </w:r>
      <w:r w:rsidRPr="0029278A">
        <w:t xml:space="preserve">he </w:t>
      </w:r>
      <w:r>
        <w:t>resolution</w:t>
      </w:r>
      <w:r w:rsidRPr="0029278A">
        <w:t xml:space="preserve"> </w:t>
      </w:r>
      <w:r>
        <w:t xml:space="preserve">also </w:t>
      </w:r>
      <w:r w:rsidRPr="0029278A">
        <w:t xml:space="preserve">recognises the lack of data on the impact of trade on gender equality, and calls for </w:t>
      </w:r>
      <w:r>
        <w:t xml:space="preserve">a </w:t>
      </w:r>
      <w:r w:rsidRPr="0029278A">
        <w:t xml:space="preserve">collection of </w:t>
      </w:r>
      <w:proofErr w:type="gramStart"/>
      <w:r w:rsidRPr="0029278A">
        <w:t>gender disaggregated</w:t>
      </w:r>
      <w:proofErr w:type="gramEnd"/>
      <w:r w:rsidRPr="0029278A">
        <w:t xml:space="preserve"> data, in particular on labour evolution, ownership of assets and </w:t>
      </w:r>
      <w:r w:rsidRPr="000C7EDE">
        <w:t>financial inclusion</w:t>
      </w:r>
      <w:r w:rsidRPr="0029278A">
        <w:t xml:space="preserve"> in sectors that have been impacted by trade.</w:t>
      </w:r>
    </w:p>
    <w:p w:rsidR="00E424CB" w:rsidRDefault="00E424CB" w:rsidP="00E424CB">
      <w:pPr>
        <w:pStyle w:val="NormalWeb"/>
        <w:spacing w:before="0" w:beforeAutospacing="0" w:after="120" w:afterAutospacing="0"/>
        <w:jc w:val="both"/>
      </w:pPr>
      <w:r>
        <w:t xml:space="preserve">The Commission shares the Parliament's view on the importance of </w:t>
      </w:r>
      <w:r w:rsidRPr="004D5338">
        <w:t>integratin</w:t>
      </w:r>
      <w:r>
        <w:t>g</w:t>
      </w:r>
      <w:r w:rsidRPr="004D5338">
        <w:t xml:space="preserve"> </w:t>
      </w:r>
      <w:r>
        <w:t xml:space="preserve">the </w:t>
      </w:r>
      <w:r w:rsidRPr="004D5338">
        <w:t>gender perspective in trade policy instruments</w:t>
      </w:r>
      <w:r>
        <w:t>. It also shares the view that one of the main challenges of doing so is the lack of</w:t>
      </w:r>
      <w:r w:rsidRPr="004D5338">
        <w:t xml:space="preserve"> adequate data on the impact of trade on gender equality</w:t>
      </w:r>
      <w:r>
        <w:t xml:space="preserve">. The Commission concurs that </w:t>
      </w:r>
      <w:r w:rsidRPr="004D5338">
        <w:t xml:space="preserve">there are limits to the global issues that </w:t>
      </w:r>
      <w:proofErr w:type="gramStart"/>
      <w:r w:rsidRPr="004D5338">
        <w:t>can be solved</w:t>
      </w:r>
      <w:proofErr w:type="gramEnd"/>
      <w:r w:rsidRPr="004D5338">
        <w:t xml:space="preserve"> through trade policy and through trade agreements</w:t>
      </w:r>
      <w:r>
        <w:t xml:space="preserve">. Nevertheless, the Commission </w:t>
      </w:r>
      <w:r w:rsidRPr="00FA728E">
        <w:t>will continue to make the EU's trade policy more inclusive, so that it contributes to women's economic empowerment.</w:t>
      </w:r>
      <w:r>
        <w:t xml:space="preserve"> The Commission will continue to work closely with the European Parliament and all relevant stakeholders in this regard.</w:t>
      </w:r>
    </w:p>
    <w:p w:rsidR="00E424CB" w:rsidRPr="008919B4" w:rsidRDefault="00E424CB" w:rsidP="00E424CB">
      <w:pPr>
        <w:spacing w:after="120"/>
        <w:rPr>
          <w:rFonts w:ascii="Times New Roman" w:hAnsi="Times New Roman"/>
          <w:szCs w:val="24"/>
        </w:rPr>
      </w:pPr>
      <w:r w:rsidRPr="0036662A">
        <w:rPr>
          <w:rFonts w:ascii="Times New Roman" w:hAnsi="Times New Roman"/>
          <w:szCs w:val="24"/>
        </w:rPr>
        <w:t xml:space="preserve">Some of the proposals put forward in the resolution concern issues that the EU already pursues in trade negotiations. On some other topics, there is an on-going reflection process in </w:t>
      </w:r>
      <w:r w:rsidRPr="0036662A">
        <w:rPr>
          <w:rFonts w:ascii="Times New Roman" w:hAnsi="Times New Roman"/>
          <w:szCs w:val="24"/>
        </w:rPr>
        <w:lastRenderedPageBreak/>
        <w:t>the Commission on how best to approach these issues in trade negotiations. The opinion of the European Parliament in this regard is both very topical and welcome.</w:t>
      </w:r>
    </w:p>
    <w:p w:rsidR="00E424CB" w:rsidRDefault="00E424CB" w:rsidP="00E424CB">
      <w:pPr>
        <w:spacing w:before="240"/>
        <w:ind w:left="567" w:hanging="567"/>
        <w:rPr>
          <w:rFonts w:ascii="Times New Roman" w:hAnsi="Times New Roman"/>
          <w:b/>
        </w:rPr>
      </w:pPr>
      <w:r>
        <w:rPr>
          <w:rFonts w:ascii="Times New Roman" w:hAnsi="Times New Roman"/>
          <w:b/>
        </w:rPr>
        <w:t>7</w:t>
      </w:r>
      <w:r w:rsidRPr="000C17BD">
        <w:rPr>
          <w:rFonts w:ascii="Times New Roman" w:hAnsi="Times New Roman"/>
          <w:b/>
        </w:rPr>
        <w:t>.</w:t>
      </w:r>
      <w:r w:rsidRPr="000C17BD">
        <w:rPr>
          <w:rFonts w:ascii="Times New Roman" w:hAnsi="Times New Roman"/>
          <w:b/>
        </w:rPr>
        <w:tab/>
        <w:t>Reply to these requests and outlook regarding the action that the Commission has taken or intends to take:</w:t>
      </w:r>
    </w:p>
    <w:p w:rsidR="00E424CB" w:rsidRPr="004D5338" w:rsidRDefault="00E424CB" w:rsidP="00E424CB">
      <w:pPr>
        <w:spacing w:after="120"/>
        <w:rPr>
          <w:rFonts w:ascii="Times New Roman" w:hAnsi="Times New Roman"/>
          <w:szCs w:val="24"/>
        </w:rPr>
      </w:pPr>
      <w:r w:rsidRPr="004D5338">
        <w:rPr>
          <w:rFonts w:ascii="Times New Roman" w:hAnsi="Times New Roman"/>
          <w:szCs w:val="24"/>
        </w:rPr>
        <w:t>The Commission considers the resolution by the European Parliament an important contribution to the discussion on how to better integrate gender pers</w:t>
      </w:r>
      <w:r>
        <w:rPr>
          <w:rFonts w:ascii="Times New Roman" w:hAnsi="Times New Roman"/>
          <w:szCs w:val="24"/>
        </w:rPr>
        <w:t>pective in EU trade agreements.</w:t>
      </w:r>
    </w:p>
    <w:p w:rsidR="00E424CB" w:rsidRPr="00B1098E" w:rsidRDefault="00E424CB" w:rsidP="00E424CB">
      <w:pPr>
        <w:spacing w:after="120"/>
        <w:rPr>
          <w:rFonts w:ascii="Times New Roman" w:hAnsi="Times New Roman"/>
          <w:szCs w:val="24"/>
        </w:rPr>
      </w:pPr>
      <w:r w:rsidRPr="00B1098E">
        <w:rPr>
          <w:rFonts w:ascii="Times New Roman" w:hAnsi="Times New Roman"/>
          <w:szCs w:val="24"/>
        </w:rPr>
        <w:t xml:space="preserve">The Commission is committed to gender equality. EU trade policy already contributes to this goal through some of its instruments, for example its sustainability </w:t>
      </w:r>
      <w:proofErr w:type="gramStart"/>
      <w:r w:rsidRPr="00B1098E">
        <w:rPr>
          <w:rFonts w:ascii="Times New Roman" w:hAnsi="Times New Roman"/>
          <w:szCs w:val="24"/>
        </w:rPr>
        <w:t>impact</w:t>
      </w:r>
      <w:proofErr w:type="gramEnd"/>
      <w:r w:rsidRPr="00B1098E">
        <w:rPr>
          <w:rFonts w:ascii="Times New Roman" w:hAnsi="Times New Roman"/>
          <w:szCs w:val="24"/>
        </w:rPr>
        <w:t xml:space="preserve"> assessments, the Generalised System of Preferences</w:t>
      </w:r>
      <w:r>
        <w:rPr>
          <w:rFonts w:ascii="Times New Roman" w:hAnsi="Times New Roman"/>
          <w:szCs w:val="24"/>
        </w:rPr>
        <w:t xml:space="preserve"> Plus</w:t>
      </w:r>
      <w:r w:rsidRPr="00B1098E">
        <w:rPr>
          <w:rFonts w:ascii="Times New Roman" w:hAnsi="Times New Roman"/>
          <w:szCs w:val="24"/>
        </w:rPr>
        <w:t xml:space="preserve"> (GSP+) and </w:t>
      </w:r>
      <w:r>
        <w:rPr>
          <w:rFonts w:ascii="Times New Roman" w:hAnsi="Times New Roman"/>
          <w:szCs w:val="24"/>
        </w:rPr>
        <w:t>Trade and Sustainable D</w:t>
      </w:r>
      <w:r w:rsidRPr="00B1098E">
        <w:rPr>
          <w:rFonts w:ascii="Times New Roman" w:hAnsi="Times New Roman"/>
          <w:szCs w:val="24"/>
        </w:rPr>
        <w:t>evelopment</w:t>
      </w:r>
      <w:r>
        <w:rPr>
          <w:rFonts w:ascii="Times New Roman" w:hAnsi="Times New Roman"/>
          <w:szCs w:val="24"/>
        </w:rPr>
        <w:t xml:space="preserve"> (TSD) chapters of EU</w:t>
      </w:r>
      <w:r w:rsidRPr="00B1098E">
        <w:rPr>
          <w:rFonts w:ascii="Times New Roman" w:hAnsi="Times New Roman"/>
          <w:szCs w:val="24"/>
        </w:rPr>
        <w:t xml:space="preserve"> free trade agreements.</w:t>
      </w:r>
    </w:p>
    <w:p w:rsidR="00E424CB" w:rsidRDefault="00E424CB" w:rsidP="00E424CB">
      <w:pPr>
        <w:spacing w:after="120"/>
        <w:rPr>
          <w:rFonts w:ascii="Times New Roman" w:hAnsi="Times New Roman"/>
          <w:szCs w:val="24"/>
        </w:rPr>
      </w:pPr>
      <w:r w:rsidRPr="00B1098E">
        <w:rPr>
          <w:rFonts w:ascii="Times New Roman" w:hAnsi="Times New Roman"/>
          <w:szCs w:val="24"/>
        </w:rPr>
        <w:t>The Commission organi</w:t>
      </w:r>
      <w:r>
        <w:rPr>
          <w:rFonts w:ascii="Times New Roman" w:hAnsi="Times New Roman"/>
          <w:szCs w:val="24"/>
        </w:rPr>
        <w:t>s</w:t>
      </w:r>
      <w:r w:rsidRPr="00B1098E">
        <w:rPr>
          <w:rFonts w:ascii="Times New Roman" w:hAnsi="Times New Roman"/>
          <w:szCs w:val="24"/>
        </w:rPr>
        <w:t>ed together with the International Trade Centr</w:t>
      </w:r>
      <w:r>
        <w:rPr>
          <w:rFonts w:ascii="Times New Roman" w:hAnsi="Times New Roman"/>
          <w:szCs w:val="24"/>
        </w:rPr>
        <w:t>e</w:t>
      </w:r>
      <w:r w:rsidRPr="00B1098E">
        <w:rPr>
          <w:rFonts w:ascii="Times New Roman" w:hAnsi="Times New Roman"/>
          <w:szCs w:val="24"/>
        </w:rPr>
        <w:t xml:space="preserve"> (ITC) an International Forum on Women and Trade </w:t>
      </w:r>
      <w:r>
        <w:rPr>
          <w:rFonts w:ascii="Times New Roman" w:hAnsi="Times New Roman"/>
          <w:szCs w:val="24"/>
        </w:rPr>
        <w:t xml:space="preserve">in Brussels </w:t>
      </w:r>
      <w:r w:rsidRPr="00B1098E">
        <w:rPr>
          <w:rFonts w:ascii="Times New Roman" w:hAnsi="Times New Roman"/>
          <w:szCs w:val="24"/>
        </w:rPr>
        <w:t xml:space="preserve">in June 2017. The Forum was widely attended and has helped catalyse further reflection and work on this topic, </w:t>
      </w:r>
      <w:r w:rsidRPr="00B8306A">
        <w:rPr>
          <w:rFonts w:ascii="Times New Roman" w:hAnsi="Times New Roman"/>
        </w:rPr>
        <w:t xml:space="preserve">including </w:t>
      </w:r>
      <w:r>
        <w:rPr>
          <w:rFonts w:ascii="Times New Roman" w:hAnsi="Times New Roman"/>
        </w:rPr>
        <w:t>o</w:t>
      </w:r>
      <w:r w:rsidRPr="00B8306A">
        <w:rPr>
          <w:rFonts w:ascii="Times New Roman" w:hAnsi="Times New Roman"/>
        </w:rPr>
        <w:t>n follow up</w:t>
      </w:r>
      <w:r w:rsidRPr="00B1098E">
        <w:rPr>
          <w:rFonts w:ascii="Times New Roman" w:hAnsi="Times New Roman"/>
          <w:szCs w:val="24"/>
        </w:rPr>
        <w:t xml:space="preserve"> by the EU. For example, </w:t>
      </w:r>
      <w:r>
        <w:rPr>
          <w:rFonts w:ascii="Times New Roman" w:hAnsi="Times New Roman"/>
          <w:szCs w:val="24"/>
        </w:rPr>
        <w:t xml:space="preserve">both </w:t>
      </w:r>
      <w:r w:rsidRPr="00B1098E">
        <w:rPr>
          <w:rFonts w:ascii="Times New Roman" w:hAnsi="Times New Roman"/>
          <w:szCs w:val="24"/>
        </w:rPr>
        <w:t xml:space="preserve">the recent progress report on </w:t>
      </w:r>
      <w:r>
        <w:rPr>
          <w:rFonts w:ascii="Times New Roman" w:hAnsi="Times New Roman"/>
          <w:szCs w:val="24"/>
        </w:rPr>
        <w:t>the</w:t>
      </w:r>
      <w:r w:rsidRPr="00B1098E">
        <w:rPr>
          <w:rFonts w:ascii="Times New Roman" w:hAnsi="Times New Roman"/>
          <w:szCs w:val="24"/>
        </w:rPr>
        <w:t xml:space="preserve"> EU Trade Policy Strategy "Trade for All" </w:t>
      </w:r>
      <w:r>
        <w:rPr>
          <w:rFonts w:ascii="Times New Roman" w:hAnsi="Times New Roman"/>
          <w:szCs w:val="24"/>
        </w:rPr>
        <w:t>(</w:t>
      </w:r>
      <w:proofErr w:type="gramStart"/>
      <w:r w:rsidRPr="00036639">
        <w:rPr>
          <w:rFonts w:ascii="Times New Roman" w:hAnsi="Times New Roman"/>
          <w:szCs w:val="24"/>
        </w:rPr>
        <w:t>COM(</w:t>
      </w:r>
      <w:proofErr w:type="gramEnd"/>
      <w:r w:rsidRPr="00036639">
        <w:rPr>
          <w:rFonts w:ascii="Times New Roman" w:hAnsi="Times New Roman"/>
          <w:szCs w:val="24"/>
        </w:rPr>
        <w:t>2017) 491</w:t>
      </w:r>
      <w:r>
        <w:rPr>
          <w:rFonts w:ascii="Times New Roman" w:hAnsi="Times New Roman"/>
          <w:szCs w:val="24"/>
        </w:rPr>
        <w:t>)</w:t>
      </w:r>
      <w:r w:rsidRPr="00036639">
        <w:rPr>
          <w:rFonts w:ascii="Times New Roman" w:hAnsi="Times New Roman"/>
          <w:szCs w:val="24"/>
        </w:rPr>
        <w:t xml:space="preserve"> </w:t>
      </w:r>
      <w:r>
        <w:rPr>
          <w:rFonts w:ascii="Times New Roman" w:hAnsi="Times New Roman"/>
          <w:szCs w:val="24"/>
        </w:rPr>
        <w:t>and</w:t>
      </w:r>
      <w:r w:rsidRPr="00B1098E">
        <w:rPr>
          <w:rFonts w:ascii="Times New Roman" w:hAnsi="Times New Roman"/>
          <w:szCs w:val="24"/>
        </w:rPr>
        <w:t xml:space="preserve"> the renewed EU Aid for Trade Strategy </w:t>
      </w:r>
      <w:r>
        <w:rPr>
          <w:rFonts w:ascii="Times New Roman" w:hAnsi="Times New Roman"/>
          <w:szCs w:val="24"/>
        </w:rPr>
        <w:t>(</w:t>
      </w:r>
      <w:r w:rsidRPr="00036639">
        <w:rPr>
          <w:rFonts w:ascii="Times New Roman" w:hAnsi="Times New Roman"/>
          <w:szCs w:val="24"/>
        </w:rPr>
        <w:t>COM(2017) 667</w:t>
      </w:r>
      <w:r>
        <w:rPr>
          <w:rFonts w:ascii="Times New Roman" w:hAnsi="Times New Roman"/>
          <w:szCs w:val="24"/>
        </w:rPr>
        <w:t>)</w:t>
      </w:r>
      <w:r w:rsidRPr="00036639">
        <w:rPr>
          <w:rFonts w:ascii="Times New Roman" w:hAnsi="Times New Roman"/>
          <w:szCs w:val="24"/>
        </w:rPr>
        <w:t xml:space="preserve"> </w:t>
      </w:r>
      <w:r w:rsidRPr="00B1098E">
        <w:rPr>
          <w:rFonts w:ascii="Times New Roman" w:hAnsi="Times New Roman"/>
          <w:szCs w:val="24"/>
        </w:rPr>
        <w:t>include gender-related aspects.</w:t>
      </w:r>
    </w:p>
    <w:p w:rsidR="00E424CB" w:rsidRPr="000C7EDE" w:rsidRDefault="00E424CB" w:rsidP="00E424CB">
      <w:pPr>
        <w:spacing w:after="120"/>
        <w:rPr>
          <w:rFonts w:ascii="Times New Roman" w:hAnsi="Times New Roman"/>
        </w:rPr>
      </w:pPr>
      <w:r w:rsidRPr="000C7EDE">
        <w:rPr>
          <w:rFonts w:ascii="Times New Roman" w:hAnsi="Times New Roman"/>
        </w:rPr>
        <w:t xml:space="preserve">Additionally, the Commission is preparing specific provisions on trade and gender in the context of the ongoing modernisation of the EU-Chile Association Agreement. This is a pilot project that the Commission announced at the </w:t>
      </w:r>
      <w:proofErr w:type="gramStart"/>
      <w:r w:rsidRPr="000C7EDE">
        <w:rPr>
          <w:rFonts w:ascii="Times New Roman" w:hAnsi="Times New Roman"/>
        </w:rPr>
        <w:t>above mentioned</w:t>
      </w:r>
      <w:proofErr w:type="gramEnd"/>
      <w:r w:rsidRPr="000C7EDE">
        <w:rPr>
          <w:rFonts w:ascii="Times New Roman" w:hAnsi="Times New Roman"/>
        </w:rPr>
        <w:t xml:space="preserve"> Forum. In the international arena, the EU actively supported the adoption of the Joint Declaration on Trade and Women’s Economic Empowerment published on 12 December 2017</w:t>
      </w:r>
      <w:r w:rsidRPr="000C7EDE">
        <w:rPr>
          <w:rStyle w:val="FootnoteReference"/>
          <w:rFonts w:ascii="Times New Roman" w:hAnsi="Times New Roman"/>
        </w:rPr>
        <w:footnoteReference w:id="1"/>
      </w:r>
      <w:r w:rsidRPr="000C7EDE">
        <w:rPr>
          <w:rFonts w:ascii="Times New Roman" w:hAnsi="Times New Roman"/>
        </w:rPr>
        <w:t>. Furthermore, the EU commitment towards gender equality and women's empowerment has been expanded by the EU Gender Action Plan II (SWD(2015)</w:t>
      </w:r>
      <w:r>
        <w:rPr>
          <w:rFonts w:ascii="Times New Roman" w:hAnsi="Times New Roman"/>
        </w:rPr>
        <w:t xml:space="preserve"> </w:t>
      </w:r>
      <w:r w:rsidRPr="000C7EDE">
        <w:rPr>
          <w:rFonts w:ascii="Times New Roman" w:hAnsi="Times New Roman"/>
        </w:rPr>
        <w:t>182), ensuring that the gender perspective is fully integrated in the EU's actions and external relations ranging from international relations to EU trade agreements.</w:t>
      </w:r>
    </w:p>
    <w:p w:rsidR="00E424CB" w:rsidRDefault="00E424CB" w:rsidP="00E424CB">
      <w:pPr>
        <w:spacing w:after="120"/>
        <w:rPr>
          <w:rFonts w:ascii="Times New Roman" w:hAnsi="Times New Roman"/>
          <w:szCs w:val="24"/>
        </w:rPr>
      </w:pPr>
      <w:r w:rsidRPr="00BE1932">
        <w:rPr>
          <w:rFonts w:ascii="Times New Roman" w:hAnsi="Times New Roman"/>
          <w:szCs w:val="24"/>
        </w:rPr>
        <w:t xml:space="preserve">All recent trade agreements include </w:t>
      </w:r>
      <w:r>
        <w:rPr>
          <w:rFonts w:ascii="Times New Roman" w:hAnsi="Times New Roman"/>
          <w:szCs w:val="24"/>
        </w:rPr>
        <w:t>an ambitious and enforceable chapter on Trade and Sustainable Development (TSD)</w:t>
      </w:r>
      <w:r w:rsidRPr="00BE1932">
        <w:rPr>
          <w:rFonts w:ascii="Times New Roman" w:hAnsi="Times New Roman"/>
          <w:szCs w:val="24"/>
        </w:rPr>
        <w:t xml:space="preserve"> </w:t>
      </w:r>
      <w:r w:rsidRPr="00FE00CF">
        <w:rPr>
          <w:rFonts w:ascii="Times New Roman" w:hAnsi="Times New Roman"/>
          <w:szCs w:val="24"/>
        </w:rPr>
        <w:t>(</w:t>
      </w:r>
      <w:r w:rsidRPr="00BE1932">
        <w:rPr>
          <w:rFonts w:ascii="Times New Roman" w:hAnsi="Times New Roman"/>
          <w:b/>
          <w:szCs w:val="24"/>
        </w:rPr>
        <w:t>p</w:t>
      </w:r>
      <w:r w:rsidRPr="008919B4">
        <w:rPr>
          <w:rFonts w:ascii="Times New Roman" w:hAnsi="Times New Roman"/>
          <w:b/>
          <w:szCs w:val="24"/>
        </w:rPr>
        <w:t xml:space="preserve">aragraph </w:t>
      </w:r>
      <w:r>
        <w:rPr>
          <w:rFonts w:ascii="Times New Roman" w:hAnsi="Times New Roman"/>
          <w:b/>
          <w:szCs w:val="24"/>
        </w:rPr>
        <w:t>1</w:t>
      </w:r>
      <w:r w:rsidRPr="00FE00CF">
        <w:rPr>
          <w:rFonts w:ascii="Times New Roman" w:hAnsi="Times New Roman"/>
          <w:szCs w:val="24"/>
        </w:rPr>
        <w:t>)</w:t>
      </w:r>
      <w:r>
        <w:rPr>
          <w:rFonts w:ascii="Times New Roman" w:hAnsi="Times New Roman"/>
          <w:szCs w:val="24"/>
        </w:rPr>
        <w:t xml:space="preserve">. The Commission is continuously improving the </w:t>
      </w:r>
      <w:r w:rsidRPr="005626C3">
        <w:rPr>
          <w:rFonts w:ascii="Times New Roman" w:hAnsi="Times New Roman"/>
          <w:szCs w:val="24"/>
        </w:rPr>
        <w:t>effective implementation and</w:t>
      </w:r>
      <w:r>
        <w:rPr>
          <w:rFonts w:ascii="Times New Roman" w:hAnsi="Times New Roman"/>
          <w:szCs w:val="24"/>
        </w:rPr>
        <w:t xml:space="preserve"> enforcement of these Chapters.</w:t>
      </w:r>
    </w:p>
    <w:p w:rsidR="00E424CB" w:rsidRPr="003B1C69" w:rsidRDefault="00E424CB" w:rsidP="00E424CB">
      <w:pPr>
        <w:spacing w:after="120"/>
        <w:rPr>
          <w:rFonts w:ascii="Times New Roman" w:hAnsi="Times New Roman"/>
          <w:szCs w:val="24"/>
        </w:rPr>
      </w:pPr>
      <w:r>
        <w:rPr>
          <w:rFonts w:ascii="Times New Roman" w:hAnsi="Times New Roman"/>
          <w:szCs w:val="24"/>
        </w:rPr>
        <w:t xml:space="preserve">The Commission ensures the policy coherence between different policies </w:t>
      </w:r>
      <w:r w:rsidRPr="00FE00CF">
        <w:rPr>
          <w:rFonts w:ascii="Times New Roman" w:hAnsi="Times New Roman"/>
          <w:szCs w:val="24"/>
        </w:rPr>
        <w:t>(</w:t>
      </w:r>
      <w:r w:rsidRPr="00ED21BF">
        <w:rPr>
          <w:rFonts w:ascii="Times New Roman" w:hAnsi="Times New Roman"/>
          <w:b/>
          <w:szCs w:val="24"/>
        </w:rPr>
        <w:t>paragraph 2</w:t>
      </w:r>
      <w:r w:rsidRPr="00FE00CF">
        <w:rPr>
          <w:rFonts w:ascii="Times New Roman" w:hAnsi="Times New Roman"/>
          <w:szCs w:val="24"/>
        </w:rPr>
        <w:t>)</w:t>
      </w:r>
      <w:r>
        <w:rPr>
          <w:rFonts w:ascii="Times New Roman" w:hAnsi="Times New Roman"/>
          <w:szCs w:val="24"/>
        </w:rPr>
        <w:t xml:space="preserve">, such as trade and gender equality, through a collegial decision-making supported by various inter-service mechanisms, including the </w:t>
      </w:r>
      <w:r w:rsidRPr="0025291F">
        <w:rPr>
          <w:rFonts w:ascii="Times New Roman" w:hAnsi="Times New Roman"/>
          <w:szCs w:val="24"/>
        </w:rPr>
        <w:t>Inter-Service Group on equality between women and men</w:t>
      </w:r>
      <w:r>
        <w:rPr>
          <w:rFonts w:ascii="Times New Roman" w:hAnsi="Times New Roman"/>
          <w:szCs w:val="24"/>
        </w:rPr>
        <w:t xml:space="preserve">. </w:t>
      </w:r>
      <w:r w:rsidRPr="003B1C69">
        <w:rPr>
          <w:rFonts w:ascii="Times New Roman" w:hAnsi="Times New Roman"/>
          <w:szCs w:val="24"/>
        </w:rPr>
        <w:t xml:space="preserve">The Commission </w:t>
      </w:r>
      <w:r>
        <w:rPr>
          <w:rFonts w:ascii="Times New Roman" w:hAnsi="Times New Roman"/>
          <w:szCs w:val="24"/>
        </w:rPr>
        <w:t xml:space="preserve">services </w:t>
      </w:r>
      <w:r w:rsidRPr="003B1C69">
        <w:rPr>
          <w:rFonts w:ascii="Times New Roman" w:hAnsi="Times New Roman"/>
          <w:szCs w:val="24"/>
        </w:rPr>
        <w:t xml:space="preserve">together with </w:t>
      </w:r>
      <w:r>
        <w:rPr>
          <w:rFonts w:ascii="Times New Roman" w:hAnsi="Times New Roman"/>
          <w:szCs w:val="24"/>
        </w:rPr>
        <w:t xml:space="preserve">the </w:t>
      </w:r>
      <w:r w:rsidRPr="003B1C69">
        <w:rPr>
          <w:rFonts w:ascii="Times New Roman" w:hAnsi="Times New Roman"/>
          <w:szCs w:val="24"/>
        </w:rPr>
        <w:t xml:space="preserve">EEAS and </w:t>
      </w:r>
      <w:r>
        <w:rPr>
          <w:rFonts w:ascii="Times New Roman" w:hAnsi="Times New Roman"/>
          <w:szCs w:val="24"/>
        </w:rPr>
        <w:t>the</w:t>
      </w:r>
      <w:r w:rsidRPr="003B1C69">
        <w:rPr>
          <w:rFonts w:ascii="Times New Roman" w:hAnsi="Times New Roman"/>
          <w:szCs w:val="24"/>
        </w:rPr>
        <w:t xml:space="preserve"> EU Member States ha</w:t>
      </w:r>
      <w:r>
        <w:rPr>
          <w:rFonts w:ascii="Times New Roman" w:hAnsi="Times New Roman"/>
          <w:szCs w:val="24"/>
        </w:rPr>
        <w:t>ve</w:t>
      </w:r>
      <w:r w:rsidRPr="003B1C69">
        <w:rPr>
          <w:rFonts w:ascii="Times New Roman" w:hAnsi="Times New Roman"/>
          <w:szCs w:val="24"/>
        </w:rPr>
        <w:t xml:space="preserve"> engaged actively in the </w:t>
      </w:r>
      <w:r>
        <w:rPr>
          <w:rFonts w:ascii="Times New Roman" w:hAnsi="Times New Roman"/>
          <w:szCs w:val="24"/>
        </w:rPr>
        <w:t>UN's</w:t>
      </w:r>
      <w:r w:rsidRPr="003B1C69">
        <w:rPr>
          <w:rFonts w:ascii="Times New Roman" w:hAnsi="Times New Roman"/>
          <w:szCs w:val="24"/>
        </w:rPr>
        <w:t xml:space="preserve"> </w:t>
      </w:r>
      <w:r>
        <w:rPr>
          <w:rFonts w:ascii="Times New Roman" w:hAnsi="Times New Roman"/>
          <w:szCs w:val="24"/>
        </w:rPr>
        <w:t>o</w:t>
      </w:r>
      <w:r w:rsidRPr="003B1C69">
        <w:rPr>
          <w:rFonts w:ascii="Times New Roman" w:hAnsi="Times New Roman"/>
          <w:szCs w:val="24"/>
        </w:rPr>
        <w:t>pen-</w:t>
      </w:r>
      <w:r>
        <w:rPr>
          <w:rFonts w:ascii="Times New Roman" w:hAnsi="Times New Roman"/>
          <w:szCs w:val="24"/>
        </w:rPr>
        <w:t>e</w:t>
      </w:r>
      <w:r w:rsidRPr="003B1C69">
        <w:rPr>
          <w:rFonts w:ascii="Times New Roman" w:hAnsi="Times New Roman"/>
          <w:szCs w:val="24"/>
        </w:rPr>
        <w:t xml:space="preserve">nded </w:t>
      </w:r>
      <w:r>
        <w:rPr>
          <w:rFonts w:ascii="Times New Roman" w:hAnsi="Times New Roman"/>
          <w:szCs w:val="24"/>
        </w:rPr>
        <w:t>i</w:t>
      </w:r>
      <w:r w:rsidRPr="003B1C69">
        <w:rPr>
          <w:rFonts w:ascii="Times New Roman" w:hAnsi="Times New Roman"/>
          <w:szCs w:val="24"/>
        </w:rPr>
        <w:t>nter</w:t>
      </w:r>
      <w:r>
        <w:rPr>
          <w:rFonts w:ascii="Times New Roman" w:hAnsi="Times New Roman"/>
          <w:szCs w:val="24"/>
        </w:rPr>
        <w:t>g</w:t>
      </w:r>
      <w:r w:rsidRPr="003B1C69">
        <w:rPr>
          <w:rFonts w:ascii="Times New Roman" w:hAnsi="Times New Roman"/>
          <w:szCs w:val="24"/>
        </w:rPr>
        <w:t xml:space="preserve">overnmental </w:t>
      </w:r>
      <w:r>
        <w:rPr>
          <w:rFonts w:ascii="Times New Roman" w:hAnsi="Times New Roman"/>
          <w:szCs w:val="24"/>
        </w:rPr>
        <w:t>w</w:t>
      </w:r>
      <w:r w:rsidRPr="003B1C69">
        <w:rPr>
          <w:rFonts w:ascii="Times New Roman" w:hAnsi="Times New Roman"/>
          <w:szCs w:val="24"/>
        </w:rPr>
        <w:t xml:space="preserve">orking </w:t>
      </w:r>
      <w:r>
        <w:rPr>
          <w:rFonts w:ascii="Times New Roman" w:hAnsi="Times New Roman"/>
          <w:szCs w:val="24"/>
        </w:rPr>
        <w:t>g</w:t>
      </w:r>
      <w:r w:rsidRPr="003B1C69">
        <w:rPr>
          <w:rFonts w:ascii="Times New Roman" w:hAnsi="Times New Roman"/>
          <w:szCs w:val="24"/>
        </w:rPr>
        <w:t xml:space="preserve">roup on transnational corporations and other business enterprises with respect to human rights aimed at elaborating a legally binding instrument on business and human rights </w:t>
      </w:r>
      <w:r w:rsidRPr="00FE00CF">
        <w:rPr>
          <w:rFonts w:ascii="Times New Roman" w:hAnsi="Times New Roman"/>
          <w:szCs w:val="24"/>
        </w:rPr>
        <w:t>(</w:t>
      </w:r>
      <w:r w:rsidRPr="003B1C69">
        <w:rPr>
          <w:rFonts w:ascii="Times New Roman" w:hAnsi="Times New Roman"/>
          <w:b/>
          <w:szCs w:val="24"/>
        </w:rPr>
        <w:t>paragraph 6</w:t>
      </w:r>
      <w:r w:rsidRPr="00FE00CF">
        <w:rPr>
          <w:rFonts w:ascii="Times New Roman" w:hAnsi="Times New Roman"/>
          <w:szCs w:val="24"/>
        </w:rPr>
        <w:t>)</w:t>
      </w:r>
      <w:r>
        <w:rPr>
          <w:rFonts w:ascii="Times New Roman" w:hAnsi="Times New Roman"/>
          <w:szCs w:val="24"/>
        </w:rPr>
        <w:t xml:space="preserve">. </w:t>
      </w:r>
      <w:r w:rsidRPr="003B1C69">
        <w:rPr>
          <w:rFonts w:ascii="Times New Roman" w:hAnsi="Times New Roman"/>
          <w:szCs w:val="24"/>
        </w:rPr>
        <w:t xml:space="preserve">The EU has insisted that discussions should not be limited only to transnational corporations, which is the case now, as many abuses </w:t>
      </w:r>
      <w:proofErr w:type="gramStart"/>
      <w:r w:rsidRPr="003B1C69">
        <w:rPr>
          <w:rFonts w:ascii="Times New Roman" w:hAnsi="Times New Roman"/>
          <w:szCs w:val="24"/>
        </w:rPr>
        <w:t>are committed</w:t>
      </w:r>
      <w:proofErr w:type="gramEnd"/>
      <w:r w:rsidRPr="003B1C69">
        <w:rPr>
          <w:rFonts w:ascii="Times New Roman" w:hAnsi="Times New Roman"/>
          <w:szCs w:val="24"/>
        </w:rPr>
        <w:t xml:space="preserve"> by enterprises at the domestic level. As for future discussions, </w:t>
      </w:r>
      <w:r>
        <w:rPr>
          <w:rFonts w:ascii="Times New Roman" w:hAnsi="Times New Roman"/>
          <w:szCs w:val="24"/>
        </w:rPr>
        <w:t>the Commission</w:t>
      </w:r>
      <w:r w:rsidRPr="003B1C69">
        <w:rPr>
          <w:rFonts w:ascii="Times New Roman" w:hAnsi="Times New Roman"/>
          <w:szCs w:val="24"/>
        </w:rPr>
        <w:t xml:space="preserve"> </w:t>
      </w:r>
      <w:r>
        <w:rPr>
          <w:rFonts w:ascii="Times New Roman" w:hAnsi="Times New Roman"/>
          <w:szCs w:val="24"/>
        </w:rPr>
        <w:t>calls for</w:t>
      </w:r>
      <w:r w:rsidRPr="003B1C69">
        <w:rPr>
          <w:rFonts w:ascii="Times New Roman" w:hAnsi="Times New Roman"/>
          <w:szCs w:val="24"/>
        </w:rPr>
        <w:t xml:space="preserve"> wide informal consultations </w:t>
      </w:r>
      <w:r>
        <w:rPr>
          <w:rFonts w:ascii="Times New Roman" w:hAnsi="Times New Roman"/>
          <w:szCs w:val="24"/>
        </w:rPr>
        <w:t xml:space="preserve">to </w:t>
      </w:r>
      <w:proofErr w:type="gramStart"/>
      <w:r w:rsidRPr="003B1C69">
        <w:rPr>
          <w:rFonts w:ascii="Times New Roman" w:hAnsi="Times New Roman"/>
          <w:szCs w:val="24"/>
        </w:rPr>
        <w:t>be undertaken</w:t>
      </w:r>
      <w:proofErr w:type="gramEnd"/>
      <w:r w:rsidRPr="003B1C69">
        <w:rPr>
          <w:rFonts w:ascii="Times New Roman" w:hAnsi="Times New Roman"/>
          <w:szCs w:val="24"/>
        </w:rPr>
        <w:t xml:space="preserve"> on the way forward in accordance with the conclusions of the </w:t>
      </w:r>
      <w:r>
        <w:rPr>
          <w:rFonts w:ascii="Times New Roman" w:hAnsi="Times New Roman"/>
          <w:szCs w:val="24"/>
        </w:rPr>
        <w:t>w</w:t>
      </w:r>
      <w:r w:rsidRPr="003B1C69">
        <w:rPr>
          <w:rFonts w:ascii="Times New Roman" w:hAnsi="Times New Roman"/>
          <w:szCs w:val="24"/>
        </w:rPr>
        <w:t xml:space="preserve">orking </w:t>
      </w:r>
      <w:r>
        <w:rPr>
          <w:rFonts w:ascii="Times New Roman" w:hAnsi="Times New Roman"/>
          <w:szCs w:val="24"/>
        </w:rPr>
        <w:t>g</w:t>
      </w:r>
      <w:r w:rsidRPr="003B1C69">
        <w:rPr>
          <w:rFonts w:ascii="Times New Roman" w:hAnsi="Times New Roman"/>
          <w:szCs w:val="24"/>
        </w:rPr>
        <w:t>roup.</w:t>
      </w:r>
    </w:p>
    <w:p w:rsidR="00E424CB" w:rsidRDefault="00E424CB" w:rsidP="00E424CB">
      <w:pPr>
        <w:spacing w:after="120"/>
        <w:rPr>
          <w:rFonts w:ascii="Times New Roman" w:hAnsi="Times New Roman"/>
          <w:szCs w:val="24"/>
          <w:highlight w:val="yellow"/>
        </w:rPr>
      </w:pPr>
      <w:r w:rsidRPr="003B1C69">
        <w:rPr>
          <w:rFonts w:ascii="Times New Roman" w:hAnsi="Times New Roman"/>
          <w:szCs w:val="24"/>
        </w:rPr>
        <w:t xml:space="preserve">The EU believes it is important to preserve a strong focus on the implementation of existing obligations under international human rights law. </w:t>
      </w:r>
      <w:proofErr w:type="gramStart"/>
      <w:r w:rsidRPr="003B1C69">
        <w:rPr>
          <w:rFonts w:ascii="Times New Roman" w:hAnsi="Times New Roman"/>
          <w:szCs w:val="24"/>
        </w:rPr>
        <w:t xml:space="preserve">The EU will continue to focus on the implementation of the UN Guiding Principles on Business and Human Rights, to engage with the UN core group on Business and Human Rights and contribute in substance to the work of </w:t>
      </w:r>
      <w:r w:rsidRPr="003B1C69">
        <w:rPr>
          <w:rFonts w:ascii="Times New Roman" w:hAnsi="Times New Roman"/>
          <w:szCs w:val="24"/>
        </w:rPr>
        <w:lastRenderedPageBreak/>
        <w:t xml:space="preserve">the UN Working Group </w:t>
      </w:r>
      <w:r w:rsidRPr="006252F2">
        <w:rPr>
          <w:rFonts w:ascii="Times New Roman" w:hAnsi="Times New Roman"/>
          <w:szCs w:val="24"/>
        </w:rPr>
        <w:t>on the issue of human rights and transnational corporations and other business enterprises (also referred to as the Working Group on Business and Human Rights</w:t>
      </w:r>
      <w:r>
        <w:rPr>
          <w:rFonts w:ascii="Times New Roman" w:hAnsi="Times New Roman"/>
          <w:szCs w:val="24"/>
        </w:rPr>
        <w:t xml:space="preserve">, </w:t>
      </w:r>
      <w:r w:rsidRPr="006252F2">
        <w:rPr>
          <w:rFonts w:ascii="Times New Roman" w:hAnsi="Times New Roman"/>
          <w:szCs w:val="24"/>
        </w:rPr>
        <w:t>established by the Human Rights Council in 2011</w:t>
      </w:r>
      <w:r>
        <w:rPr>
          <w:rFonts w:ascii="Times New Roman" w:hAnsi="Times New Roman"/>
          <w:szCs w:val="24"/>
        </w:rPr>
        <w:t xml:space="preserve">, </w:t>
      </w:r>
      <w:r w:rsidRPr="006252F2">
        <w:rPr>
          <w:rFonts w:ascii="Times New Roman" w:hAnsi="Times New Roman"/>
          <w:szCs w:val="24"/>
        </w:rPr>
        <w:t xml:space="preserve">resolution 17/4) </w:t>
      </w:r>
      <w:r w:rsidRPr="003B1C69">
        <w:rPr>
          <w:rFonts w:ascii="Times New Roman" w:hAnsi="Times New Roman"/>
          <w:szCs w:val="24"/>
        </w:rPr>
        <w:t>and the Accountability and Remedy project</w:t>
      </w:r>
      <w:r w:rsidRPr="00380725">
        <w:rPr>
          <w:rFonts w:ascii="Times New Roman" w:hAnsi="Times New Roman"/>
          <w:szCs w:val="24"/>
        </w:rPr>
        <w:t xml:space="preserve"> </w:t>
      </w:r>
      <w:r>
        <w:rPr>
          <w:rFonts w:ascii="Times New Roman" w:hAnsi="Times New Roman"/>
          <w:szCs w:val="24"/>
        </w:rPr>
        <w:t xml:space="preserve">led by the </w:t>
      </w:r>
      <w:r w:rsidRPr="00380725">
        <w:rPr>
          <w:rFonts w:ascii="Times New Roman" w:hAnsi="Times New Roman"/>
          <w:szCs w:val="24"/>
        </w:rPr>
        <w:t xml:space="preserve">Office of the United Nations High Commissioner for Human Rights </w:t>
      </w:r>
      <w:r>
        <w:rPr>
          <w:rFonts w:ascii="Times New Roman" w:hAnsi="Times New Roman"/>
          <w:szCs w:val="24"/>
        </w:rPr>
        <w:t>(</w:t>
      </w:r>
      <w:r w:rsidRPr="003B1C69">
        <w:rPr>
          <w:rFonts w:ascii="Times New Roman" w:hAnsi="Times New Roman"/>
          <w:szCs w:val="24"/>
        </w:rPr>
        <w:t>OHCHR</w:t>
      </w:r>
      <w:r>
        <w:rPr>
          <w:rFonts w:ascii="Times New Roman" w:hAnsi="Times New Roman"/>
          <w:szCs w:val="24"/>
        </w:rPr>
        <w:t>)</w:t>
      </w:r>
      <w:r w:rsidRPr="003B1C69">
        <w:rPr>
          <w:rFonts w:ascii="Times New Roman" w:hAnsi="Times New Roman"/>
          <w:szCs w:val="24"/>
        </w:rPr>
        <w:t>.</w:t>
      </w:r>
      <w:proofErr w:type="gramEnd"/>
    </w:p>
    <w:p w:rsidR="00E424CB" w:rsidRDefault="00E424CB" w:rsidP="00E424CB">
      <w:pPr>
        <w:spacing w:after="120"/>
        <w:rPr>
          <w:rFonts w:ascii="Times New Roman" w:hAnsi="Times New Roman"/>
          <w:szCs w:val="24"/>
        </w:rPr>
      </w:pPr>
      <w:r w:rsidRPr="003B1C69">
        <w:rPr>
          <w:rFonts w:ascii="Times New Roman" w:hAnsi="Times New Roman"/>
          <w:szCs w:val="24"/>
        </w:rPr>
        <w:t xml:space="preserve">Trade agreements </w:t>
      </w:r>
      <w:proofErr w:type="gramStart"/>
      <w:r w:rsidRPr="003B1C69">
        <w:rPr>
          <w:rFonts w:ascii="Times New Roman" w:hAnsi="Times New Roman"/>
          <w:szCs w:val="24"/>
        </w:rPr>
        <w:t>are linked</w:t>
      </w:r>
      <w:proofErr w:type="gramEnd"/>
      <w:r w:rsidRPr="003B1C69">
        <w:rPr>
          <w:rFonts w:ascii="Times New Roman" w:hAnsi="Times New Roman"/>
          <w:szCs w:val="24"/>
        </w:rPr>
        <w:t xml:space="preserve"> to political framework agreements with third countries. The essential elements laid down for the relationship include all internationally agreed human rights</w:t>
      </w:r>
      <w:r>
        <w:rPr>
          <w:rFonts w:ascii="Times New Roman" w:hAnsi="Times New Roman"/>
          <w:szCs w:val="24"/>
        </w:rPr>
        <w:t>,</w:t>
      </w:r>
      <w:r w:rsidRPr="003B1C69">
        <w:rPr>
          <w:rFonts w:ascii="Times New Roman" w:hAnsi="Times New Roman"/>
          <w:szCs w:val="24"/>
        </w:rPr>
        <w:t xml:space="preserve"> including Articles 16 and 17 of the Universal Declaration</w:t>
      </w:r>
      <w:r>
        <w:rPr>
          <w:rFonts w:ascii="Times New Roman" w:hAnsi="Times New Roman"/>
          <w:szCs w:val="24"/>
        </w:rPr>
        <w:t xml:space="preserve"> of Human Rights </w:t>
      </w:r>
      <w:r w:rsidRPr="00FE00CF">
        <w:rPr>
          <w:rFonts w:ascii="Times New Roman" w:hAnsi="Times New Roman"/>
          <w:szCs w:val="24"/>
        </w:rPr>
        <w:t>(</w:t>
      </w:r>
      <w:r w:rsidRPr="003B1C69">
        <w:rPr>
          <w:rFonts w:ascii="Times New Roman" w:hAnsi="Times New Roman"/>
          <w:b/>
          <w:szCs w:val="24"/>
        </w:rPr>
        <w:t>paragraph 7</w:t>
      </w:r>
      <w:r w:rsidRPr="00FE00CF">
        <w:rPr>
          <w:rFonts w:ascii="Times New Roman" w:hAnsi="Times New Roman"/>
          <w:szCs w:val="24"/>
        </w:rPr>
        <w:t>)</w:t>
      </w:r>
      <w:r w:rsidRPr="003B1C69">
        <w:rPr>
          <w:rFonts w:ascii="Times New Roman" w:hAnsi="Times New Roman"/>
          <w:szCs w:val="24"/>
        </w:rPr>
        <w:t xml:space="preserve">. The essential elements clause </w:t>
      </w:r>
      <w:proofErr w:type="gramStart"/>
      <w:r w:rsidRPr="003B1C69">
        <w:rPr>
          <w:rFonts w:ascii="Times New Roman" w:hAnsi="Times New Roman"/>
          <w:szCs w:val="24"/>
        </w:rPr>
        <w:t>is tied</w:t>
      </w:r>
      <w:proofErr w:type="gramEnd"/>
      <w:r w:rsidRPr="003B1C69">
        <w:rPr>
          <w:rFonts w:ascii="Times New Roman" w:hAnsi="Times New Roman"/>
          <w:szCs w:val="24"/>
        </w:rPr>
        <w:t xml:space="preserve"> to a suspension clause in case of serious abuses or breaches of human rights whereby the trade relations may be partly or fully suspended.</w:t>
      </w:r>
    </w:p>
    <w:p w:rsidR="00E424CB" w:rsidRDefault="00E424CB" w:rsidP="00E424CB">
      <w:pPr>
        <w:spacing w:after="120"/>
        <w:rPr>
          <w:rFonts w:ascii="Times New Roman" w:hAnsi="Times New Roman"/>
          <w:b/>
          <w:szCs w:val="24"/>
        </w:rPr>
      </w:pPr>
      <w:r>
        <w:rPr>
          <w:rFonts w:ascii="Times New Roman" w:hAnsi="Times New Roman"/>
          <w:szCs w:val="24"/>
        </w:rPr>
        <w:t xml:space="preserve">Concerning the </w:t>
      </w:r>
      <w:r w:rsidRPr="00E066C0">
        <w:rPr>
          <w:rFonts w:ascii="Times New Roman" w:hAnsi="Times New Roman"/>
          <w:szCs w:val="24"/>
        </w:rPr>
        <w:t>reform</w:t>
      </w:r>
      <w:r>
        <w:rPr>
          <w:rFonts w:ascii="Times New Roman" w:hAnsi="Times New Roman"/>
          <w:szCs w:val="24"/>
        </w:rPr>
        <w:t xml:space="preserve"> of</w:t>
      </w:r>
      <w:r w:rsidRPr="00E066C0">
        <w:rPr>
          <w:rFonts w:ascii="Times New Roman" w:hAnsi="Times New Roman"/>
          <w:szCs w:val="24"/>
        </w:rPr>
        <w:t xml:space="preserve"> the </w:t>
      </w:r>
      <w:r>
        <w:rPr>
          <w:rFonts w:ascii="Times New Roman" w:hAnsi="Times New Roman"/>
          <w:szCs w:val="24"/>
        </w:rPr>
        <w:t>i</w:t>
      </w:r>
      <w:r w:rsidRPr="00E066C0">
        <w:rPr>
          <w:rFonts w:ascii="Times New Roman" w:hAnsi="Times New Roman"/>
          <w:szCs w:val="24"/>
        </w:rPr>
        <w:t>nvestor-</w:t>
      </w:r>
      <w:r>
        <w:rPr>
          <w:rFonts w:ascii="Times New Roman" w:hAnsi="Times New Roman"/>
          <w:szCs w:val="24"/>
        </w:rPr>
        <w:t>s</w:t>
      </w:r>
      <w:r w:rsidRPr="00E066C0">
        <w:rPr>
          <w:rFonts w:ascii="Times New Roman" w:hAnsi="Times New Roman"/>
          <w:szCs w:val="24"/>
        </w:rPr>
        <w:t xml:space="preserve">tate </w:t>
      </w:r>
      <w:r>
        <w:rPr>
          <w:rFonts w:ascii="Times New Roman" w:hAnsi="Times New Roman"/>
          <w:szCs w:val="24"/>
        </w:rPr>
        <w:t>d</w:t>
      </w:r>
      <w:r w:rsidRPr="00E066C0">
        <w:rPr>
          <w:rFonts w:ascii="Times New Roman" w:hAnsi="Times New Roman"/>
          <w:szCs w:val="24"/>
        </w:rPr>
        <w:t xml:space="preserve">ispute </w:t>
      </w:r>
      <w:r>
        <w:rPr>
          <w:rFonts w:ascii="Times New Roman" w:hAnsi="Times New Roman"/>
          <w:szCs w:val="24"/>
        </w:rPr>
        <w:t>s</w:t>
      </w:r>
      <w:r w:rsidRPr="00E066C0">
        <w:rPr>
          <w:rFonts w:ascii="Times New Roman" w:hAnsi="Times New Roman"/>
          <w:szCs w:val="24"/>
        </w:rPr>
        <w:t xml:space="preserve">ettlement (ISDS) system </w:t>
      </w:r>
      <w:r w:rsidRPr="00FE00CF">
        <w:rPr>
          <w:rFonts w:ascii="Times New Roman" w:hAnsi="Times New Roman"/>
          <w:szCs w:val="24"/>
        </w:rPr>
        <w:t>(</w:t>
      </w:r>
      <w:r>
        <w:rPr>
          <w:rFonts w:ascii="Times New Roman" w:hAnsi="Times New Roman"/>
          <w:b/>
          <w:szCs w:val="24"/>
        </w:rPr>
        <w:t>p</w:t>
      </w:r>
      <w:r w:rsidRPr="008919B4">
        <w:rPr>
          <w:rFonts w:ascii="Times New Roman" w:hAnsi="Times New Roman"/>
          <w:b/>
          <w:szCs w:val="24"/>
        </w:rPr>
        <w:t>aragraph</w:t>
      </w:r>
      <w:r>
        <w:rPr>
          <w:rFonts w:ascii="Times New Roman" w:hAnsi="Times New Roman"/>
          <w:b/>
          <w:szCs w:val="24"/>
        </w:rPr>
        <w:t> 10</w:t>
      </w:r>
      <w:r w:rsidRPr="00FE00CF">
        <w:rPr>
          <w:rFonts w:ascii="Times New Roman" w:hAnsi="Times New Roman"/>
          <w:szCs w:val="24"/>
        </w:rPr>
        <w:t>)</w:t>
      </w:r>
      <w:r w:rsidRPr="00790660">
        <w:rPr>
          <w:rFonts w:ascii="Times New Roman" w:hAnsi="Times New Roman"/>
          <w:szCs w:val="24"/>
        </w:rPr>
        <w:t>, the Commission is committed to replacing the old ISDS with the modern Investment Court System (ICS) in its bilateral trade and/</w:t>
      </w:r>
      <w:r>
        <w:rPr>
          <w:rFonts w:ascii="Times New Roman" w:hAnsi="Times New Roman"/>
          <w:szCs w:val="24"/>
        </w:rPr>
        <w:t xml:space="preserve"> </w:t>
      </w:r>
      <w:r w:rsidRPr="00790660">
        <w:rPr>
          <w:rFonts w:ascii="Times New Roman" w:hAnsi="Times New Roman"/>
          <w:szCs w:val="24"/>
        </w:rPr>
        <w:t>or investment agreements. This new approach fosters transparency, consistency and neutrality</w:t>
      </w:r>
      <w:r>
        <w:rPr>
          <w:rFonts w:ascii="Times New Roman" w:hAnsi="Times New Roman"/>
          <w:szCs w:val="24"/>
        </w:rPr>
        <w:t>. This</w:t>
      </w:r>
      <w:r w:rsidRPr="00790660">
        <w:rPr>
          <w:rFonts w:ascii="Times New Roman" w:hAnsi="Times New Roman"/>
          <w:szCs w:val="24"/>
        </w:rPr>
        <w:t xml:space="preserve"> reaffirm</w:t>
      </w:r>
      <w:r>
        <w:rPr>
          <w:rFonts w:ascii="Times New Roman" w:hAnsi="Times New Roman"/>
          <w:szCs w:val="24"/>
        </w:rPr>
        <w:t>s</w:t>
      </w:r>
      <w:r w:rsidRPr="00790660">
        <w:rPr>
          <w:rFonts w:ascii="Times New Roman" w:hAnsi="Times New Roman"/>
          <w:szCs w:val="24"/>
        </w:rPr>
        <w:t xml:space="preserve"> investors' obligation to comply with environmental and social obligations</w:t>
      </w:r>
      <w:r>
        <w:rPr>
          <w:rFonts w:ascii="Times New Roman" w:hAnsi="Times New Roman"/>
          <w:szCs w:val="24"/>
        </w:rPr>
        <w:t xml:space="preserve"> –</w:t>
      </w:r>
      <w:r w:rsidRPr="00790660">
        <w:rPr>
          <w:rFonts w:ascii="Times New Roman" w:hAnsi="Times New Roman"/>
          <w:szCs w:val="24"/>
        </w:rPr>
        <w:t xml:space="preserve"> including </w:t>
      </w:r>
      <w:r>
        <w:rPr>
          <w:rFonts w:ascii="Times New Roman" w:hAnsi="Times New Roman"/>
          <w:szCs w:val="24"/>
        </w:rPr>
        <w:t>obligations</w:t>
      </w:r>
      <w:r w:rsidRPr="00790660">
        <w:rPr>
          <w:rFonts w:ascii="Times New Roman" w:hAnsi="Times New Roman"/>
          <w:szCs w:val="24"/>
        </w:rPr>
        <w:t xml:space="preserve"> on gender equality</w:t>
      </w:r>
      <w:r>
        <w:rPr>
          <w:rFonts w:ascii="Times New Roman" w:hAnsi="Times New Roman"/>
          <w:szCs w:val="24"/>
        </w:rPr>
        <w:t xml:space="preserve"> </w:t>
      </w:r>
      <w:proofErr w:type="gramStart"/>
      <w:r>
        <w:rPr>
          <w:rFonts w:ascii="Times New Roman" w:hAnsi="Times New Roman"/>
          <w:szCs w:val="24"/>
        </w:rPr>
        <w:t>–</w:t>
      </w:r>
      <w:r w:rsidRPr="00790660">
        <w:rPr>
          <w:rFonts w:ascii="Times New Roman" w:hAnsi="Times New Roman"/>
          <w:szCs w:val="24"/>
        </w:rPr>
        <w:t xml:space="preserve"> </w:t>
      </w:r>
      <w:r>
        <w:rPr>
          <w:rFonts w:ascii="Times New Roman" w:hAnsi="Times New Roman"/>
          <w:szCs w:val="24"/>
        </w:rPr>
        <w:t>which</w:t>
      </w:r>
      <w:proofErr w:type="gramEnd"/>
      <w:r>
        <w:rPr>
          <w:rFonts w:ascii="Times New Roman" w:hAnsi="Times New Roman"/>
          <w:szCs w:val="24"/>
        </w:rPr>
        <w:t xml:space="preserve"> are</w:t>
      </w:r>
      <w:r w:rsidRPr="00790660">
        <w:rPr>
          <w:rFonts w:ascii="Times New Roman" w:hAnsi="Times New Roman"/>
          <w:szCs w:val="24"/>
        </w:rPr>
        <w:t xml:space="preserve"> applicable in the host country. In parallel, the Commission is working with other countries at the United Nations Commission on International Trade Law (UNCITRAL) for the establishment of a permanent Multilateral Investment Court </w:t>
      </w:r>
      <w:r>
        <w:rPr>
          <w:rFonts w:ascii="Times New Roman" w:hAnsi="Times New Roman"/>
          <w:szCs w:val="24"/>
        </w:rPr>
        <w:t xml:space="preserve">that is </w:t>
      </w:r>
      <w:r w:rsidRPr="00790660">
        <w:rPr>
          <w:rFonts w:ascii="Times New Roman" w:hAnsi="Times New Roman"/>
          <w:szCs w:val="24"/>
        </w:rPr>
        <w:t xml:space="preserve">based on the same </w:t>
      </w:r>
      <w:proofErr w:type="gramStart"/>
      <w:r w:rsidRPr="00790660">
        <w:rPr>
          <w:rFonts w:ascii="Times New Roman" w:hAnsi="Times New Roman"/>
          <w:szCs w:val="24"/>
        </w:rPr>
        <w:t>principles</w:t>
      </w:r>
      <w:proofErr w:type="gramEnd"/>
      <w:r w:rsidRPr="00790660">
        <w:rPr>
          <w:rFonts w:ascii="Times New Roman" w:hAnsi="Times New Roman"/>
          <w:szCs w:val="24"/>
        </w:rPr>
        <w:t xml:space="preserve"> as the ICS and that will eventually replace bilateral ICSs as well as old ISDS mechanisms. In the same vein, in its bilateral trade and investment agreements, the Commission is also committed to ensur</w:t>
      </w:r>
      <w:r>
        <w:rPr>
          <w:rFonts w:ascii="Times New Roman" w:hAnsi="Times New Roman"/>
          <w:szCs w:val="24"/>
        </w:rPr>
        <w:t>ing</w:t>
      </w:r>
      <w:r w:rsidRPr="00790660">
        <w:rPr>
          <w:rFonts w:ascii="Times New Roman" w:hAnsi="Times New Roman"/>
          <w:szCs w:val="24"/>
        </w:rPr>
        <w:t xml:space="preserve"> protection for investments while enshrining the right of governments to regulate in the public interest, including when such </w:t>
      </w:r>
      <w:r>
        <w:rPr>
          <w:rFonts w:ascii="Times New Roman" w:hAnsi="Times New Roman"/>
          <w:szCs w:val="24"/>
        </w:rPr>
        <w:t>r</w:t>
      </w:r>
      <w:r w:rsidRPr="00790660">
        <w:rPr>
          <w:rFonts w:ascii="Times New Roman" w:hAnsi="Times New Roman"/>
          <w:szCs w:val="24"/>
        </w:rPr>
        <w:t>egulations affect a foreign investment.</w:t>
      </w:r>
    </w:p>
    <w:p w:rsidR="00E424CB" w:rsidRPr="008919B4" w:rsidRDefault="00E424CB" w:rsidP="00E424CB">
      <w:pPr>
        <w:spacing w:after="120"/>
        <w:rPr>
          <w:rFonts w:ascii="Times New Roman" w:hAnsi="Times New Roman"/>
          <w:szCs w:val="24"/>
        </w:rPr>
      </w:pPr>
      <w:r w:rsidRPr="00E066C0">
        <w:rPr>
          <w:rFonts w:ascii="Times New Roman" w:hAnsi="Times New Roman"/>
          <w:szCs w:val="24"/>
        </w:rPr>
        <w:t>Concerning the provisions</w:t>
      </w:r>
      <w:r>
        <w:rPr>
          <w:rFonts w:ascii="Times New Roman" w:hAnsi="Times New Roman"/>
          <w:szCs w:val="24"/>
        </w:rPr>
        <w:t xml:space="preserve"> on the protection of intellectual </w:t>
      </w:r>
      <w:proofErr w:type="gramStart"/>
      <w:r>
        <w:rPr>
          <w:rFonts w:ascii="Times New Roman" w:hAnsi="Times New Roman"/>
          <w:szCs w:val="24"/>
        </w:rPr>
        <w:t>property</w:t>
      </w:r>
      <w:proofErr w:type="gramEnd"/>
      <w:r>
        <w:rPr>
          <w:rFonts w:ascii="Times New Roman" w:hAnsi="Times New Roman"/>
          <w:szCs w:val="24"/>
        </w:rPr>
        <w:t xml:space="preserve"> rights</w:t>
      </w:r>
      <w:r w:rsidRPr="00E066C0">
        <w:rPr>
          <w:rFonts w:ascii="Times New Roman" w:hAnsi="Times New Roman"/>
          <w:szCs w:val="24"/>
        </w:rPr>
        <w:t xml:space="preserve"> </w:t>
      </w:r>
      <w:r w:rsidRPr="00FE00CF">
        <w:rPr>
          <w:rFonts w:ascii="Times New Roman" w:hAnsi="Times New Roman"/>
          <w:szCs w:val="24"/>
        </w:rPr>
        <w:t>(</w:t>
      </w:r>
      <w:r>
        <w:rPr>
          <w:rFonts w:ascii="Times New Roman" w:hAnsi="Times New Roman"/>
          <w:b/>
          <w:szCs w:val="24"/>
        </w:rPr>
        <w:t>paragraph</w:t>
      </w:r>
      <w:r w:rsidRPr="008919B4">
        <w:rPr>
          <w:rFonts w:ascii="Times New Roman" w:hAnsi="Times New Roman"/>
          <w:b/>
          <w:szCs w:val="24"/>
        </w:rPr>
        <w:t xml:space="preserve"> 1</w:t>
      </w:r>
      <w:r>
        <w:rPr>
          <w:rFonts w:ascii="Times New Roman" w:hAnsi="Times New Roman"/>
          <w:b/>
          <w:szCs w:val="24"/>
        </w:rPr>
        <w:t>1</w:t>
      </w:r>
      <w:r w:rsidRPr="00FE00CF">
        <w:rPr>
          <w:rFonts w:ascii="Times New Roman" w:hAnsi="Times New Roman"/>
          <w:szCs w:val="24"/>
        </w:rPr>
        <w:t>)</w:t>
      </w:r>
      <w:r w:rsidRPr="00E066C0">
        <w:rPr>
          <w:rFonts w:ascii="Times New Roman" w:hAnsi="Times New Roman"/>
          <w:szCs w:val="24"/>
        </w:rPr>
        <w:t xml:space="preserve">, </w:t>
      </w:r>
      <w:r w:rsidRPr="0020279A">
        <w:rPr>
          <w:rFonts w:ascii="Times New Roman" w:hAnsi="Times New Roman"/>
          <w:szCs w:val="24"/>
        </w:rPr>
        <w:t xml:space="preserve">the EU trade agreements include provisions to protect agricultural and foodstuff </w:t>
      </w:r>
      <w:r>
        <w:rPr>
          <w:rFonts w:ascii="Times New Roman" w:hAnsi="Times New Roman"/>
          <w:szCs w:val="24"/>
        </w:rPr>
        <w:t>g</w:t>
      </w:r>
      <w:r w:rsidRPr="0020279A">
        <w:rPr>
          <w:rFonts w:ascii="Times New Roman" w:hAnsi="Times New Roman"/>
          <w:szCs w:val="24"/>
        </w:rPr>
        <w:t xml:space="preserve">eographical </w:t>
      </w:r>
      <w:r>
        <w:rPr>
          <w:rFonts w:ascii="Times New Roman" w:hAnsi="Times New Roman"/>
          <w:szCs w:val="24"/>
        </w:rPr>
        <w:t>i</w:t>
      </w:r>
      <w:r w:rsidRPr="0020279A">
        <w:rPr>
          <w:rFonts w:ascii="Times New Roman" w:hAnsi="Times New Roman"/>
          <w:szCs w:val="24"/>
        </w:rPr>
        <w:t xml:space="preserve">ndications (GIs). However, the Commission notes that in the absence of a harmonised </w:t>
      </w:r>
      <w:r w:rsidRPr="0095048F">
        <w:rPr>
          <w:rFonts w:ascii="Times New Roman" w:hAnsi="Times New Roman"/>
          <w:szCs w:val="24"/>
        </w:rPr>
        <w:t xml:space="preserve">system for the protection of </w:t>
      </w:r>
      <w:r w:rsidRPr="0020279A">
        <w:rPr>
          <w:rFonts w:ascii="Times New Roman" w:hAnsi="Times New Roman"/>
          <w:szCs w:val="24"/>
        </w:rPr>
        <w:t xml:space="preserve">non-agricultural GIs at EU level, no </w:t>
      </w:r>
      <w:r w:rsidRPr="0095048F">
        <w:rPr>
          <w:rFonts w:ascii="Times New Roman" w:hAnsi="Times New Roman"/>
          <w:szCs w:val="24"/>
        </w:rPr>
        <w:t>bilateral</w:t>
      </w:r>
      <w:r>
        <w:rPr>
          <w:rFonts w:ascii="Times New Roman" w:hAnsi="Times New Roman"/>
          <w:szCs w:val="24"/>
        </w:rPr>
        <w:t xml:space="preserve"> or </w:t>
      </w:r>
      <w:r w:rsidRPr="0095048F">
        <w:rPr>
          <w:rFonts w:ascii="Times New Roman" w:hAnsi="Times New Roman"/>
          <w:szCs w:val="24"/>
        </w:rPr>
        <w:t xml:space="preserve">regional </w:t>
      </w:r>
      <w:r w:rsidRPr="0020279A">
        <w:rPr>
          <w:rFonts w:ascii="Times New Roman" w:hAnsi="Times New Roman"/>
          <w:szCs w:val="24"/>
        </w:rPr>
        <w:t>EU free trade agreement includes the protection of non-agricultural GIs</w:t>
      </w:r>
      <w:r>
        <w:rPr>
          <w:rFonts w:ascii="Times New Roman" w:hAnsi="Times New Roman"/>
          <w:szCs w:val="24"/>
        </w:rPr>
        <w:t xml:space="preserve"> </w:t>
      </w:r>
      <w:r w:rsidRPr="00931FCE">
        <w:rPr>
          <w:rFonts w:ascii="Times New Roman" w:hAnsi="Times New Roman"/>
          <w:szCs w:val="24"/>
        </w:rPr>
        <w:t xml:space="preserve">through the </w:t>
      </w:r>
      <w:r>
        <w:rPr>
          <w:rFonts w:ascii="Times New Roman" w:hAnsi="Times New Roman"/>
          <w:szCs w:val="24"/>
        </w:rPr>
        <w:t>a</w:t>
      </w:r>
      <w:r w:rsidRPr="00931FCE">
        <w:rPr>
          <w:rFonts w:ascii="Times New Roman" w:hAnsi="Times New Roman"/>
          <w:szCs w:val="24"/>
        </w:rPr>
        <w:t>greement</w:t>
      </w:r>
      <w:r>
        <w:rPr>
          <w:rFonts w:ascii="Times New Roman" w:hAnsi="Times New Roman"/>
          <w:szCs w:val="24"/>
        </w:rPr>
        <w:t>.</w:t>
      </w:r>
    </w:p>
    <w:p w:rsidR="00E424CB" w:rsidRDefault="00E424CB" w:rsidP="00E424CB">
      <w:pPr>
        <w:spacing w:after="120"/>
        <w:rPr>
          <w:rFonts w:ascii="Times New Roman" w:hAnsi="Times New Roman"/>
          <w:b/>
          <w:bCs/>
          <w:iCs/>
          <w:szCs w:val="24"/>
        </w:rPr>
      </w:pPr>
      <w:r w:rsidRPr="000C7EDE">
        <w:rPr>
          <w:rFonts w:ascii="Times New Roman" w:hAnsi="Times New Roman"/>
          <w:bCs/>
          <w:iCs/>
          <w:szCs w:val="24"/>
        </w:rPr>
        <w:t xml:space="preserve">The Commission shares the view of the European Parliament that there is no adequate data available on the impact of trade on gender equality </w:t>
      </w:r>
      <w:r w:rsidRPr="00FE00CF">
        <w:rPr>
          <w:rFonts w:ascii="Times New Roman" w:hAnsi="Times New Roman"/>
          <w:bCs/>
          <w:iCs/>
          <w:szCs w:val="24"/>
        </w:rPr>
        <w:t>(</w:t>
      </w:r>
      <w:r w:rsidRPr="000C7EDE">
        <w:rPr>
          <w:rFonts w:ascii="Times New Roman" w:hAnsi="Times New Roman"/>
          <w:b/>
          <w:bCs/>
          <w:iCs/>
          <w:szCs w:val="24"/>
        </w:rPr>
        <w:t>paragraph 12</w:t>
      </w:r>
      <w:r w:rsidRPr="00FE00CF">
        <w:rPr>
          <w:rFonts w:ascii="Times New Roman" w:hAnsi="Times New Roman"/>
          <w:bCs/>
          <w:iCs/>
          <w:szCs w:val="24"/>
        </w:rPr>
        <w:t>)</w:t>
      </w:r>
      <w:r w:rsidRPr="000C7EDE">
        <w:rPr>
          <w:rFonts w:ascii="Times New Roman" w:hAnsi="Times New Roman"/>
          <w:bCs/>
          <w:iCs/>
          <w:szCs w:val="24"/>
        </w:rPr>
        <w:t>.</w:t>
      </w:r>
      <w:r w:rsidRPr="000C7EDE">
        <w:rPr>
          <w:rFonts w:ascii="Times New Roman" w:hAnsi="Times New Roman"/>
          <w:b/>
          <w:bCs/>
          <w:iCs/>
          <w:szCs w:val="24"/>
        </w:rPr>
        <w:t xml:space="preserve"> </w:t>
      </w:r>
      <w:r w:rsidRPr="000C7EDE">
        <w:rPr>
          <w:rFonts w:ascii="Times New Roman" w:hAnsi="Times New Roman"/>
          <w:bCs/>
          <w:iCs/>
          <w:szCs w:val="24"/>
        </w:rPr>
        <w:t xml:space="preserve">The </w:t>
      </w:r>
      <w:r w:rsidRPr="000C7EDE">
        <w:rPr>
          <w:rFonts w:ascii="Times New Roman" w:hAnsi="Times New Roman"/>
          <w:szCs w:val="24"/>
        </w:rPr>
        <w:t>Commission has published a study on women's participation in EU exports</w:t>
      </w:r>
      <w:r w:rsidRPr="000C7EDE">
        <w:rPr>
          <w:rStyle w:val="FootnoteReference"/>
          <w:rFonts w:ascii="Times New Roman" w:hAnsi="Times New Roman"/>
          <w:szCs w:val="24"/>
        </w:rPr>
        <w:footnoteReference w:id="2"/>
      </w:r>
      <w:r w:rsidRPr="000C7EDE">
        <w:rPr>
          <w:rFonts w:ascii="Times New Roman" w:hAnsi="Times New Roman"/>
          <w:szCs w:val="24"/>
        </w:rPr>
        <w:t xml:space="preserve"> and is working to update this study with the latest data. </w:t>
      </w:r>
      <w:r w:rsidRPr="000C7EDE">
        <w:rPr>
          <w:rFonts w:ascii="Times New Roman" w:hAnsi="Times New Roman"/>
          <w:bCs/>
          <w:iCs/>
          <w:szCs w:val="24"/>
        </w:rPr>
        <w:t xml:space="preserve">The Commission is also launching a project with the International Trade </w:t>
      </w:r>
      <w:r w:rsidRPr="000C7EDE">
        <w:rPr>
          <w:rFonts w:ascii="Times New Roman" w:hAnsi="Times New Roman"/>
        </w:rPr>
        <w:t>Centre</w:t>
      </w:r>
      <w:r w:rsidRPr="000C7EDE">
        <w:rPr>
          <w:rFonts w:ascii="Times New Roman" w:hAnsi="Times New Roman"/>
          <w:bCs/>
          <w:iCs/>
          <w:szCs w:val="24"/>
        </w:rPr>
        <w:t xml:space="preserve"> to collect firm level data on women entrepreneurship and female employment in exporting and importing firms in the EU, as suggested by the European Parliament. This will allow for more detailed insights on women's role in international trade, the trade barriers women face and the most relevant areas that </w:t>
      </w:r>
      <w:proofErr w:type="gramStart"/>
      <w:r w:rsidRPr="000C7EDE">
        <w:rPr>
          <w:rFonts w:ascii="Times New Roman" w:hAnsi="Times New Roman"/>
          <w:bCs/>
          <w:iCs/>
          <w:szCs w:val="24"/>
        </w:rPr>
        <w:t>should subsequently be addressed</w:t>
      </w:r>
      <w:proofErr w:type="gramEnd"/>
      <w:r w:rsidRPr="000C7EDE">
        <w:rPr>
          <w:rFonts w:ascii="Times New Roman" w:hAnsi="Times New Roman"/>
          <w:bCs/>
          <w:iCs/>
          <w:szCs w:val="24"/>
        </w:rPr>
        <w:t xml:space="preserve"> by trade policy instruments. Furthermore, in cooperation with other international organisations</w:t>
      </w:r>
      <w:r>
        <w:rPr>
          <w:rFonts w:ascii="Times New Roman" w:hAnsi="Times New Roman"/>
          <w:bCs/>
          <w:iCs/>
          <w:szCs w:val="24"/>
        </w:rPr>
        <w:t>,</w:t>
      </w:r>
      <w:r w:rsidRPr="000C7EDE">
        <w:rPr>
          <w:rFonts w:ascii="Times New Roman" w:hAnsi="Times New Roman"/>
          <w:bCs/>
          <w:iCs/>
          <w:szCs w:val="24"/>
        </w:rPr>
        <w:t xml:space="preserve"> such as the </w:t>
      </w:r>
      <w:r w:rsidRPr="00ED21BF">
        <w:rPr>
          <w:rFonts w:ascii="Times New Roman" w:hAnsi="Times New Roman"/>
          <w:bCs/>
          <w:iCs/>
          <w:szCs w:val="24"/>
        </w:rPr>
        <w:t>World Trade Organisation (WTO)</w:t>
      </w:r>
      <w:r w:rsidRPr="000C7EDE">
        <w:rPr>
          <w:rFonts w:ascii="Times New Roman" w:hAnsi="Times New Roman"/>
          <w:bCs/>
          <w:iCs/>
          <w:szCs w:val="24"/>
        </w:rPr>
        <w:t xml:space="preserve">, the </w:t>
      </w:r>
      <w:r w:rsidRPr="00ED21BF">
        <w:rPr>
          <w:rFonts w:ascii="Times New Roman" w:hAnsi="Times New Roman"/>
          <w:bCs/>
          <w:iCs/>
          <w:szCs w:val="24"/>
        </w:rPr>
        <w:t xml:space="preserve">Organisation for Economic Co-operation and Development </w:t>
      </w:r>
      <w:r>
        <w:rPr>
          <w:rFonts w:ascii="Times New Roman" w:hAnsi="Times New Roman"/>
          <w:bCs/>
          <w:iCs/>
          <w:szCs w:val="24"/>
        </w:rPr>
        <w:t>(</w:t>
      </w:r>
      <w:r w:rsidRPr="000C7EDE">
        <w:rPr>
          <w:rFonts w:ascii="Times New Roman" w:hAnsi="Times New Roman"/>
          <w:bCs/>
          <w:iCs/>
          <w:szCs w:val="24"/>
        </w:rPr>
        <w:t>OECD</w:t>
      </w:r>
      <w:r>
        <w:rPr>
          <w:rFonts w:ascii="Times New Roman" w:hAnsi="Times New Roman"/>
          <w:bCs/>
          <w:iCs/>
          <w:szCs w:val="24"/>
        </w:rPr>
        <w:t>)</w:t>
      </w:r>
      <w:r w:rsidRPr="000C7EDE">
        <w:rPr>
          <w:rFonts w:ascii="Times New Roman" w:hAnsi="Times New Roman"/>
          <w:bCs/>
          <w:iCs/>
          <w:szCs w:val="24"/>
        </w:rPr>
        <w:t>, the World Bank, or the European Institute for Gender Equality, the Commission is exploring how to better collect and use the data on the impact of trade policy instruments on women.</w:t>
      </w:r>
    </w:p>
    <w:p w:rsidR="00E424CB" w:rsidRPr="00691864" w:rsidRDefault="00E424CB" w:rsidP="00E424CB">
      <w:pPr>
        <w:pStyle w:val="Default"/>
        <w:spacing w:after="120"/>
        <w:jc w:val="both"/>
        <w:rPr>
          <w:iCs/>
          <w:color w:val="auto"/>
          <w:lang w:val="en-GB"/>
        </w:rPr>
      </w:pPr>
      <w:r w:rsidRPr="00691864">
        <w:rPr>
          <w:color w:val="auto"/>
          <w:lang w:val="en-GB"/>
        </w:rPr>
        <w:t>Gender-specific analysis takes place in the Commission's ex-ante and ex-post impact assessments</w:t>
      </w:r>
      <w:r w:rsidRPr="00FE00CF">
        <w:rPr>
          <w:color w:val="auto"/>
          <w:lang w:val="en-GB"/>
        </w:rPr>
        <w:t xml:space="preserve"> (</w:t>
      </w:r>
      <w:r w:rsidRPr="00691864">
        <w:rPr>
          <w:b/>
          <w:color w:val="auto"/>
          <w:lang w:val="en-GB"/>
        </w:rPr>
        <w:t>paragraph 12</w:t>
      </w:r>
      <w:r w:rsidRPr="00FE00CF">
        <w:rPr>
          <w:color w:val="auto"/>
          <w:lang w:val="en-GB"/>
        </w:rPr>
        <w:t>)</w:t>
      </w:r>
      <w:r w:rsidRPr="00691864">
        <w:rPr>
          <w:color w:val="auto"/>
          <w:lang w:val="en-GB"/>
        </w:rPr>
        <w:t xml:space="preserve">. Ex-ante assessments </w:t>
      </w:r>
      <w:proofErr w:type="gramStart"/>
      <w:r w:rsidRPr="00691864">
        <w:rPr>
          <w:color w:val="auto"/>
          <w:lang w:val="en-GB"/>
        </w:rPr>
        <w:t>are carried out</w:t>
      </w:r>
      <w:proofErr w:type="gramEnd"/>
      <w:r w:rsidRPr="00691864">
        <w:rPr>
          <w:color w:val="auto"/>
          <w:lang w:val="en-GB"/>
        </w:rPr>
        <w:t xml:space="preserve"> early in the process before requesting a negotiating mandate and are limited in terms of length. They include an initial analysis of both baseline conditions and </w:t>
      </w:r>
      <w:r>
        <w:rPr>
          <w:color w:val="auto"/>
          <w:lang w:val="en-GB"/>
        </w:rPr>
        <w:t xml:space="preserve">the </w:t>
      </w:r>
      <w:r w:rsidRPr="00691864">
        <w:rPr>
          <w:color w:val="auto"/>
          <w:lang w:val="en-GB"/>
        </w:rPr>
        <w:t xml:space="preserve">expected impact in respect of the potential social </w:t>
      </w:r>
      <w:r w:rsidRPr="00691864">
        <w:rPr>
          <w:color w:val="auto"/>
          <w:lang w:val="en-GB"/>
        </w:rPr>
        <w:lastRenderedPageBreak/>
        <w:t>and human rights impacts, including on gender-related issues. The ex-post evaluation of trade agreements also includes gender-disaggregated description and analysis. In addition to impact assessments, the Commission conducts Sustainability Impact Assessments (SIAs) during the negotiations. The SIA Handbook</w:t>
      </w:r>
      <w:r>
        <w:rPr>
          <w:rStyle w:val="FootnoteReference"/>
          <w:color w:val="auto"/>
        </w:rPr>
        <w:footnoteReference w:id="3"/>
      </w:r>
      <w:r w:rsidRPr="00691864">
        <w:rPr>
          <w:color w:val="auto"/>
          <w:lang w:val="en-GB"/>
        </w:rPr>
        <w:t xml:space="preserve"> requires that gender impacts </w:t>
      </w:r>
      <w:proofErr w:type="gramStart"/>
      <w:r w:rsidRPr="00691864">
        <w:rPr>
          <w:color w:val="auto"/>
          <w:lang w:val="en-GB"/>
        </w:rPr>
        <w:t>be considered</w:t>
      </w:r>
      <w:proofErr w:type="gramEnd"/>
      <w:r w:rsidRPr="00691864">
        <w:rPr>
          <w:color w:val="auto"/>
          <w:lang w:val="en-GB"/>
        </w:rPr>
        <w:t xml:space="preserve"> under social and human rights aspects. The guidelines on the analysis of human rights impacts</w:t>
      </w:r>
      <w:r>
        <w:rPr>
          <w:rStyle w:val="FootnoteReference"/>
          <w:color w:val="auto"/>
        </w:rPr>
        <w:footnoteReference w:id="4"/>
      </w:r>
      <w:r w:rsidRPr="00691864">
        <w:rPr>
          <w:color w:val="auto"/>
          <w:lang w:val="en-GB"/>
        </w:rPr>
        <w:t xml:space="preserve"> list the Convention on the Elimination of All Forms of Discrimination against Women among the key human rights instruments to </w:t>
      </w:r>
      <w:proofErr w:type="gramStart"/>
      <w:r w:rsidRPr="00691864">
        <w:rPr>
          <w:color w:val="auto"/>
          <w:lang w:val="en-GB"/>
        </w:rPr>
        <w:t>be used</w:t>
      </w:r>
      <w:proofErr w:type="gramEnd"/>
      <w:r w:rsidRPr="00691864">
        <w:rPr>
          <w:color w:val="auto"/>
          <w:lang w:val="en-GB"/>
        </w:rPr>
        <w:t xml:space="preserve"> in the analysis.</w:t>
      </w:r>
    </w:p>
    <w:p w:rsidR="00E424CB" w:rsidRDefault="00E424CB" w:rsidP="00E424CB">
      <w:pPr>
        <w:spacing w:after="120"/>
        <w:rPr>
          <w:rFonts w:ascii="Times New Roman" w:hAnsi="Times New Roman"/>
          <w:szCs w:val="24"/>
        </w:rPr>
      </w:pPr>
      <w:r w:rsidRPr="00FC6F9D">
        <w:rPr>
          <w:rFonts w:ascii="Times New Roman" w:hAnsi="Times New Roman"/>
          <w:szCs w:val="24"/>
        </w:rPr>
        <w:t>The EU Treaty recognises the special nature of public services (Article 14 TFEU and Protocol n</w:t>
      </w:r>
      <w:r>
        <w:rPr>
          <w:rFonts w:ascii="Times New Roman" w:hAnsi="Times New Roman"/>
          <w:szCs w:val="24"/>
        </w:rPr>
        <w:t>°</w:t>
      </w:r>
      <w:r w:rsidRPr="00FC6F9D">
        <w:rPr>
          <w:rFonts w:ascii="Times New Roman" w:hAnsi="Times New Roman"/>
          <w:szCs w:val="24"/>
        </w:rPr>
        <w:t xml:space="preserve"> 26 on Services of General Economic Interest)</w:t>
      </w:r>
      <w:r>
        <w:rPr>
          <w:rFonts w:ascii="Times New Roman" w:hAnsi="Times New Roman"/>
          <w:szCs w:val="24"/>
        </w:rPr>
        <w:t>,</w:t>
      </w:r>
      <w:r w:rsidRPr="00FC6F9D">
        <w:rPr>
          <w:rFonts w:ascii="Times New Roman" w:hAnsi="Times New Roman"/>
          <w:szCs w:val="24"/>
        </w:rPr>
        <w:t xml:space="preserve"> and the EU must ensure that public service objectives can be fulfilled</w:t>
      </w:r>
      <w:r>
        <w:rPr>
          <w:rFonts w:ascii="Times New Roman" w:hAnsi="Times New Roman"/>
          <w:szCs w:val="24"/>
        </w:rPr>
        <w:t xml:space="preserve"> </w:t>
      </w:r>
      <w:r w:rsidRPr="00FE00CF">
        <w:rPr>
          <w:rFonts w:ascii="Times New Roman" w:hAnsi="Times New Roman"/>
          <w:szCs w:val="24"/>
        </w:rPr>
        <w:t>(</w:t>
      </w:r>
      <w:r w:rsidRPr="00FC6F9D">
        <w:rPr>
          <w:rFonts w:ascii="Times New Roman" w:hAnsi="Times New Roman"/>
          <w:b/>
          <w:szCs w:val="24"/>
        </w:rPr>
        <w:t>paragraph 13</w:t>
      </w:r>
      <w:r w:rsidRPr="00FE00CF">
        <w:rPr>
          <w:rFonts w:ascii="Times New Roman" w:hAnsi="Times New Roman"/>
          <w:szCs w:val="24"/>
        </w:rPr>
        <w:t>)</w:t>
      </w:r>
      <w:r w:rsidRPr="00FC6F9D">
        <w:rPr>
          <w:rFonts w:ascii="Times New Roman" w:hAnsi="Times New Roman"/>
          <w:szCs w:val="24"/>
        </w:rPr>
        <w:t xml:space="preserve">. These objectives of universality, equal access, affordability, continuity, and non-discrimination </w:t>
      </w:r>
      <w:proofErr w:type="gramStart"/>
      <w:r>
        <w:rPr>
          <w:rFonts w:ascii="Times New Roman" w:hAnsi="Times New Roman"/>
          <w:szCs w:val="24"/>
        </w:rPr>
        <w:t>may not</w:t>
      </w:r>
      <w:r w:rsidRPr="00FC6F9D">
        <w:rPr>
          <w:rFonts w:ascii="Times New Roman" w:hAnsi="Times New Roman"/>
          <w:szCs w:val="24"/>
        </w:rPr>
        <w:t xml:space="preserve"> always be guaranteed</w:t>
      </w:r>
      <w:proofErr w:type="gramEnd"/>
      <w:r w:rsidRPr="00FC6F9D">
        <w:rPr>
          <w:rFonts w:ascii="Times New Roman" w:hAnsi="Times New Roman"/>
          <w:szCs w:val="24"/>
        </w:rPr>
        <w:t xml:space="preserve"> where public services are open to international competition. </w:t>
      </w:r>
      <w:proofErr w:type="gramStart"/>
      <w:r w:rsidRPr="00FC6F9D">
        <w:rPr>
          <w:rFonts w:ascii="Times New Roman" w:hAnsi="Times New Roman"/>
          <w:szCs w:val="24"/>
        </w:rPr>
        <w:t xml:space="preserve">Since </w:t>
      </w:r>
      <w:r>
        <w:rPr>
          <w:rFonts w:ascii="Times New Roman" w:hAnsi="Times New Roman"/>
          <w:szCs w:val="24"/>
        </w:rPr>
        <w:t xml:space="preserve">the EU began to negotiate agreements on international trade in services, with </w:t>
      </w:r>
      <w:r w:rsidRPr="00FC6F9D">
        <w:rPr>
          <w:rFonts w:ascii="Times New Roman" w:hAnsi="Times New Roman"/>
          <w:szCs w:val="24"/>
        </w:rPr>
        <w:t xml:space="preserve">the General Agreement on Trade in Services (GATS) of 1994, the EU has always protected public services in its </w:t>
      </w:r>
      <w:r>
        <w:rPr>
          <w:rFonts w:ascii="Times New Roman" w:hAnsi="Times New Roman"/>
          <w:szCs w:val="24"/>
        </w:rPr>
        <w:t>F</w:t>
      </w:r>
      <w:r w:rsidRPr="00FC6F9D">
        <w:rPr>
          <w:rFonts w:ascii="Times New Roman" w:hAnsi="Times New Roman"/>
          <w:szCs w:val="24"/>
        </w:rPr>
        <w:t xml:space="preserve">ree </w:t>
      </w:r>
      <w:r>
        <w:rPr>
          <w:rFonts w:ascii="Times New Roman" w:hAnsi="Times New Roman"/>
          <w:szCs w:val="24"/>
        </w:rPr>
        <w:t>T</w:t>
      </w:r>
      <w:r w:rsidRPr="00FC6F9D">
        <w:rPr>
          <w:rFonts w:ascii="Times New Roman" w:hAnsi="Times New Roman"/>
          <w:szCs w:val="24"/>
        </w:rPr>
        <w:t xml:space="preserve">rade </w:t>
      </w:r>
      <w:r>
        <w:rPr>
          <w:rFonts w:ascii="Times New Roman" w:hAnsi="Times New Roman"/>
          <w:szCs w:val="24"/>
        </w:rPr>
        <w:t>A</w:t>
      </w:r>
      <w:r w:rsidRPr="00FC6F9D">
        <w:rPr>
          <w:rFonts w:ascii="Times New Roman" w:hAnsi="Times New Roman"/>
          <w:szCs w:val="24"/>
        </w:rPr>
        <w:t xml:space="preserve">greements </w:t>
      </w:r>
      <w:r>
        <w:rPr>
          <w:rFonts w:ascii="Times New Roman" w:hAnsi="Times New Roman"/>
          <w:szCs w:val="24"/>
        </w:rPr>
        <w:t xml:space="preserve">(FTAs) </w:t>
      </w:r>
      <w:r w:rsidRPr="00FC6F9D">
        <w:rPr>
          <w:rFonts w:ascii="Times New Roman" w:hAnsi="Times New Roman"/>
          <w:szCs w:val="24"/>
        </w:rPr>
        <w:t xml:space="preserve">and will continue to do so in the future: no existing or future EU </w:t>
      </w:r>
      <w:r>
        <w:rPr>
          <w:rFonts w:ascii="Times New Roman" w:hAnsi="Times New Roman"/>
          <w:szCs w:val="24"/>
        </w:rPr>
        <w:t>trade</w:t>
      </w:r>
      <w:r w:rsidRPr="00FC6F9D">
        <w:rPr>
          <w:rFonts w:ascii="Times New Roman" w:hAnsi="Times New Roman"/>
          <w:szCs w:val="24"/>
        </w:rPr>
        <w:t xml:space="preserve"> agreement obliges or will oblige governments to privatise or deregulate any public serv</w:t>
      </w:r>
      <w:r>
        <w:rPr>
          <w:rFonts w:ascii="Times New Roman" w:hAnsi="Times New Roman"/>
          <w:szCs w:val="24"/>
        </w:rPr>
        <w:t>ice at any level of government.</w:t>
      </w:r>
      <w:proofErr w:type="gramEnd"/>
    </w:p>
    <w:p w:rsidR="00E424CB" w:rsidRDefault="00E424CB" w:rsidP="00E424CB">
      <w:pPr>
        <w:spacing w:after="120"/>
        <w:rPr>
          <w:rFonts w:ascii="Times New Roman" w:hAnsi="Times New Roman"/>
          <w:szCs w:val="24"/>
        </w:rPr>
      </w:pPr>
      <w:r>
        <w:rPr>
          <w:rFonts w:ascii="Times New Roman" w:hAnsi="Times New Roman"/>
          <w:szCs w:val="24"/>
        </w:rPr>
        <w:t>T</w:t>
      </w:r>
      <w:r w:rsidRPr="00A57234">
        <w:rPr>
          <w:rFonts w:ascii="Times New Roman" w:hAnsi="Times New Roman"/>
          <w:szCs w:val="24"/>
        </w:rPr>
        <w:t xml:space="preserve">he Commission promotes through various actions internationally recognised principles and guidelines </w:t>
      </w:r>
      <w:r>
        <w:rPr>
          <w:rFonts w:ascii="Times New Roman" w:hAnsi="Times New Roman"/>
          <w:szCs w:val="24"/>
        </w:rPr>
        <w:t xml:space="preserve">on </w:t>
      </w:r>
      <w:r w:rsidRPr="00FA7F4C">
        <w:rPr>
          <w:rFonts w:ascii="Times New Roman" w:hAnsi="Times New Roman"/>
          <w:szCs w:val="24"/>
        </w:rPr>
        <w:t>Corporate Social Responsibility</w:t>
      </w:r>
      <w:r>
        <w:rPr>
          <w:rFonts w:ascii="Times New Roman" w:hAnsi="Times New Roman"/>
          <w:szCs w:val="24"/>
        </w:rPr>
        <w:t xml:space="preserve"> </w:t>
      </w:r>
      <w:r w:rsidRPr="00FE00CF">
        <w:rPr>
          <w:rFonts w:ascii="Times New Roman" w:hAnsi="Times New Roman"/>
          <w:szCs w:val="24"/>
        </w:rPr>
        <w:t>(</w:t>
      </w:r>
      <w:r>
        <w:rPr>
          <w:rFonts w:ascii="Times New Roman" w:hAnsi="Times New Roman"/>
          <w:b/>
          <w:szCs w:val="24"/>
        </w:rPr>
        <w:t>p</w:t>
      </w:r>
      <w:r w:rsidRPr="008919B4">
        <w:rPr>
          <w:rFonts w:ascii="Times New Roman" w:hAnsi="Times New Roman"/>
          <w:b/>
          <w:szCs w:val="24"/>
        </w:rPr>
        <w:t>aragraph</w:t>
      </w:r>
      <w:r>
        <w:rPr>
          <w:rFonts w:ascii="Times New Roman" w:hAnsi="Times New Roman"/>
          <w:b/>
          <w:szCs w:val="24"/>
        </w:rPr>
        <w:t>s</w:t>
      </w:r>
      <w:r w:rsidRPr="008919B4">
        <w:rPr>
          <w:rFonts w:ascii="Times New Roman" w:hAnsi="Times New Roman"/>
          <w:b/>
          <w:szCs w:val="24"/>
        </w:rPr>
        <w:t xml:space="preserve"> </w:t>
      </w:r>
      <w:r>
        <w:rPr>
          <w:rFonts w:ascii="Times New Roman" w:hAnsi="Times New Roman"/>
          <w:b/>
          <w:szCs w:val="24"/>
        </w:rPr>
        <w:t>6, 15 and 36</w:t>
      </w:r>
      <w:r w:rsidRPr="00FE00CF">
        <w:rPr>
          <w:rFonts w:ascii="Times New Roman" w:hAnsi="Times New Roman"/>
          <w:szCs w:val="24"/>
        </w:rPr>
        <w:t xml:space="preserve">), </w:t>
      </w:r>
      <w:r>
        <w:rPr>
          <w:rFonts w:ascii="Times New Roman" w:hAnsi="Times New Roman"/>
          <w:szCs w:val="24"/>
        </w:rPr>
        <w:t>be it in general terms or for</w:t>
      </w:r>
      <w:r w:rsidRPr="00A57234">
        <w:rPr>
          <w:rFonts w:ascii="Times New Roman" w:hAnsi="Times New Roman"/>
          <w:szCs w:val="24"/>
        </w:rPr>
        <w:t xml:space="preserve"> specific </w:t>
      </w:r>
      <w:r>
        <w:rPr>
          <w:rFonts w:ascii="Times New Roman" w:hAnsi="Times New Roman"/>
          <w:szCs w:val="24"/>
        </w:rPr>
        <w:t xml:space="preserve">business </w:t>
      </w:r>
      <w:r w:rsidRPr="00A57234">
        <w:rPr>
          <w:rFonts w:ascii="Times New Roman" w:hAnsi="Times New Roman"/>
          <w:szCs w:val="24"/>
        </w:rPr>
        <w:t>sectors</w:t>
      </w:r>
      <w:r>
        <w:rPr>
          <w:rFonts w:ascii="Times New Roman" w:hAnsi="Times New Roman"/>
          <w:szCs w:val="24"/>
        </w:rPr>
        <w:t>.</w:t>
      </w:r>
    </w:p>
    <w:p w:rsidR="00E424CB" w:rsidRPr="00135B5D" w:rsidRDefault="00E424CB" w:rsidP="00E424CB">
      <w:pPr>
        <w:spacing w:after="120"/>
        <w:rPr>
          <w:rFonts w:ascii="Times New Roman" w:hAnsi="Times New Roman"/>
          <w:b/>
          <w:szCs w:val="24"/>
        </w:rPr>
      </w:pPr>
      <w:proofErr w:type="gramStart"/>
      <w:r>
        <w:rPr>
          <w:rFonts w:ascii="Times New Roman" w:hAnsi="Times New Roman"/>
          <w:szCs w:val="24"/>
        </w:rPr>
        <w:t>R</w:t>
      </w:r>
      <w:r w:rsidRPr="0014535D">
        <w:rPr>
          <w:rFonts w:ascii="Times New Roman" w:hAnsi="Times New Roman"/>
          <w:szCs w:val="24"/>
        </w:rPr>
        <w:t>ecent trade and investment agreements contain specific provisions committing the parties to promote C</w:t>
      </w:r>
      <w:r>
        <w:rPr>
          <w:rFonts w:ascii="Times New Roman" w:hAnsi="Times New Roman"/>
          <w:szCs w:val="24"/>
        </w:rPr>
        <w:t xml:space="preserve">orporate </w:t>
      </w:r>
      <w:r w:rsidRPr="0014535D">
        <w:rPr>
          <w:rFonts w:ascii="Times New Roman" w:hAnsi="Times New Roman"/>
          <w:szCs w:val="24"/>
        </w:rPr>
        <w:t>S</w:t>
      </w:r>
      <w:r>
        <w:rPr>
          <w:rFonts w:ascii="Times New Roman" w:hAnsi="Times New Roman"/>
          <w:szCs w:val="24"/>
        </w:rPr>
        <w:t xml:space="preserve">ocial </w:t>
      </w:r>
      <w:r w:rsidRPr="0014535D">
        <w:rPr>
          <w:rFonts w:ascii="Times New Roman" w:hAnsi="Times New Roman"/>
          <w:szCs w:val="24"/>
        </w:rPr>
        <w:t>R</w:t>
      </w:r>
      <w:r>
        <w:rPr>
          <w:rFonts w:ascii="Times New Roman" w:hAnsi="Times New Roman"/>
          <w:szCs w:val="24"/>
        </w:rPr>
        <w:t>esponsibility (CSR)</w:t>
      </w:r>
      <w:r w:rsidRPr="0014535D">
        <w:rPr>
          <w:rFonts w:ascii="Times New Roman" w:hAnsi="Times New Roman"/>
          <w:szCs w:val="24"/>
        </w:rPr>
        <w:t>/</w:t>
      </w:r>
      <w:r>
        <w:rPr>
          <w:rFonts w:ascii="Times New Roman" w:hAnsi="Times New Roman"/>
          <w:szCs w:val="24"/>
        </w:rPr>
        <w:t xml:space="preserve"> </w:t>
      </w:r>
      <w:r w:rsidRPr="0014535D">
        <w:rPr>
          <w:rFonts w:ascii="Times New Roman" w:hAnsi="Times New Roman"/>
          <w:szCs w:val="24"/>
        </w:rPr>
        <w:t>R</w:t>
      </w:r>
      <w:r>
        <w:rPr>
          <w:rFonts w:ascii="Times New Roman" w:hAnsi="Times New Roman"/>
          <w:szCs w:val="24"/>
        </w:rPr>
        <w:t xml:space="preserve">esponsible </w:t>
      </w:r>
      <w:r w:rsidRPr="0014535D">
        <w:rPr>
          <w:rFonts w:ascii="Times New Roman" w:hAnsi="Times New Roman"/>
          <w:szCs w:val="24"/>
        </w:rPr>
        <w:t>B</w:t>
      </w:r>
      <w:r>
        <w:rPr>
          <w:rFonts w:ascii="Times New Roman" w:hAnsi="Times New Roman"/>
          <w:szCs w:val="24"/>
        </w:rPr>
        <w:t xml:space="preserve">usiness </w:t>
      </w:r>
      <w:r w:rsidRPr="0014535D">
        <w:rPr>
          <w:rFonts w:ascii="Times New Roman" w:hAnsi="Times New Roman"/>
          <w:szCs w:val="24"/>
        </w:rPr>
        <w:t>C</w:t>
      </w:r>
      <w:r>
        <w:rPr>
          <w:rFonts w:ascii="Times New Roman" w:hAnsi="Times New Roman"/>
          <w:szCs w:val="24"/>
        </w:rPr>
        <w:t>onduct</w:t>
      </w:r>
      <w:r w:rsidRPr="0014535D">
        <w:rPr>
          <w:rFonts w:ascii="Times New Roman" w:hAnsi="Times New Roman"/>
          <w:szCs w:val="24"/>
        </w:rPr>
        <w:t xml:space="preserve"> </w:t>
      </w:r>
      <w:r>
        <w:rPr>
          <w:rFonts w:ascii="Times New Roman" w:hAnsi="Times New Roman"/>
          <w:szCs w:val="24"/>
        </w:rPr>
        <w:t>(RBC) consistent with</w:t>
      </w:r>
      <w:r w:rsidRPr="0014535D">
        <w:rPr>
          <w:rFonts w:ascii="Times New Roman" w:hAnsi="Times New Roman"/>
          <w:szCs w:val="24"/>
        </w:rPr>
        <w:t xml:space="preserve"> internationally agreed instruments</w:t>
      </w:r>
      <w:r>
        <w:rPr>
          <w:rFonts w:ascii="Times New Roman" w:hAnsi="Times New Roman"/>
          <w:szCs w:val="24"/>
        </w:rPr>
        <w:t>,</w:t>
      </w:r>
      <w:r w:rsidRPr="0014535D">
        <w:rPr>
          <w:rFonts w:ascii="Times New Roman" w:hAnsi="Times New Roman"/>
          <w:szCs w:val="24"/>
        </w:rPr>
        <w:t xml:space="preserve"> </w:t>
      </w:r>
      <w:r>
        <w:rPr>
          <w:rFonts w:ascii="Times New Roman" w:hAnsi="Times New Roman"/>
          <w:szCs w:val="24"/>
        </w:rPr>
        <w:t xml:space="preserve">namely </w:t>
      </w:r>
      <w:r w:rsidRPr="0014535D">
        <w:rPr>
          <w:rFonts w:ascii="Times New Roman" w:hAnsi="Times New Roman"/>
          <w:szCs w:val="24"/>
        </w:rPr>
        <w:t xml:space="preserve">the OECD Guidelines for Multinational Enterprises, the UN Global Compact, the UN Guiding Principles on Business and Human Rights and the </w:t>
      </w:r>
      <w:r w:rsidRPr="005B696D">
        <w:rPr>
          <w:rFonts w:ascii="Times New Roman" w:hAnsi="Times New Roman"/>
          <w:szCs w:val="24"/>
        </w:rPr>
        <w:t xml:space="preserve">International Labour Organisation (ILO) </w:t>
      </w:r>
      <w:r w:rsidRPr="0014535D">
        <w:rPr>
          <w:rFonts w:ascii="Times New Roman" w:hAnsi="Times New Roman"/>
          <w:szCs w:val="24"/>
        </w:rPr>
        <w:t>Tripartite Declaration of Principles concerning Multinational Enterprises and Social Policy.</w:t>
      </w:r>
      <w:proofErr w:type="gramEnd"/>
      <w:r w:rsidRPr="0014535D">
        <w:rPr>
          <w:rFonts w:ascii="Times New Roman" w:hAnsi="Times New Roman"/>
          <w:szCs w:val="24"/>
        </w:rPr>
        <w:t xml:space="preserve"> </w:t>
      </w:r>
      <w:r>
        <w:rPr>
          <w:rFonts w:ascii="Times New Roman" w:hAnsi="Times New Roman"/>
          <w:szCs w:val="24"/>
        </w:rPr>
        <w:t>T</w:t>
      </w:r>
      <w:r w:rsidRPr="0014535D">
        <w:rPr>
          <w:rFonts w:ascii="Times New Roman" w:hAnsi="Times New Roman"/>
          <w:szCs w:val="24"/>
        </w:rPr>
        <w:t xml:space="preserve">he Commission aims at giving more prominence to such provisions </w:t>
      </w:r>
      <w:r>
        <w:rPr>
          <w:rFonts w:ascii="Times New Roman" w:hAnsi="Times New Roman"/>
          <w:szCs w:val="24"/>
        </w:rPr>
        <w:t>and</w:t>
      </w:r>
      <w:r w:rsidRPr="0014535D">
        <w:rPr>
          <w:rFonts w:ascii="Times New Roman" w:hAnsi="Times New Roman"/>
          <w:szCs w:val="24"/>
        </w:rPr>
        <w:t xml:space="preserve"> </w:t>
      </w:r>
      <w:r>
        <w:rPr>
          <w:rFonts w:ascii="Times New Roman" w:hAnsi="Times New Roman"/>
          <w:szCs w:val="24"/>
        </w:rPr>
        <w:t>to</w:t>
      </w:r>
      <w:r w:rsidRPr="0014535D">
        <w:rPr>
          <w:rFonts w:ascii="Times New Roman" w:hAnsi="Times New Roman"/>
          <w:szCs w:val="24"/>
        </w:rPr>
        <w:t xml:space="preserve"> the relevant sectorial guidelines. For example, the Commission has introduced more elaborate CSR/</w:t>
      </w:r>
      <w:r>
        <w:rPr>
          <w:rFonts w:ascii="Times New Roman" w:hAnsi="Times New Roman"/>
          <w:szCs w:val="24"/>
        </w:rPr>
        <w:t xml:space="preserve"> </w:t>
      </w:r>
      <w:r w:rsidRPr="0014535D">
        <w:rPr>
          <w:rFonts w:ascii="Times New Roman" w:hAnsi="Times New Roman"/>
          <w:szCs w:val="24"/>
        </w:rPr>
        <w:t xml:space="preserve">RBC provisions in </w:t>
      </w:r>
      <w:r>
        <w:rPr>
          <w:rFonts w:ascii="Times New Roman" w:hAnsi="Times New Roman"/>
          <w:szCs w:val="24"/>
        </w:rPr>
        <w:t>its</w:t>
      </w:r>
      <w:r w:rsidRPr="0014535D">
        <w:rPr>
          <w:rFonts w:ascii="Times New Roman" w:hAnsi="Times New Roman"/>
          <w:szCs w:val="24"/>
        </w:rPr>
        <w:t xml:space="preserve"> proposals for the EU-Mexico </w:t>
      </w:r>
      <w:r>
        <w:rPr>
          <w:rFonts w:ascii="Times New Roman" w:hAnsi="Times New Roman"/>
          <w:szCs w:val="24"/>
        </w:rPr>
        <w:t>and</w:t>
      </w:r>
      <w:r w:rsidRPr="0014535D">
        <w:rPr>
          <w:rFonts w:ascii="Times New Roman" w:hAnsi="Times New Roman"/>
          <w:szCs w:val="24"/>
        </w:rPr>
        <w:t xml:space="preserve"> EU-Mercosur trade negotiations. The civil society structures set up under Trade and Sustainable Development chapters, which include private sector representatives, are useful partners for promoting CSR/</w:t>
      </w:r>
      <w:r>
        <w:rPr>
          <w:rFonts w:ascii="Times New Roman" w:hAnsi="Times New Roman"/>
          <w:szCs w:val="24"/>
        </w:rPr>
        <w:t xml:space="preserve"> </w:t>
      </w:r>
      <w:r w:rsidRPr="0014535D">
        <w:rPr>
          <w:rFonts w:ascii="Times New Roman" w:hAnsi="Times New Roman"/>
          <w:szCs w:val="24"/>
        </w:rPr>
        <w:t>RBC</w:t>
      </w:r>
      <w:r>
        <w:rPr>
          <w:rFonts w:ascii="Times New Roman" w:hAnsi="Times New Roman"/>
          <w:szCs w:val="24"/>
        </w:rPr>
        <w:t>,</w:t>
      </w:r>
      <w:r w:rsidRPr="0014535D">
        <w:rPr>
          <w:rFonts w:ascii="Times New Roman" w:hAnsi="Times New Roman"/>
          <w:szCs w:val="24"/>
        </w:rPr>
        <w:t xml:space="preserve"> including in specific sectors of relevance in the trade and/ or investment relations with each partner country. For </w:t>
      </w:r>
      <w:r>
        <w:rPr>
          <w:rFonts w:ascii="Times New Roman" w:hAnsi="Times New Roman"/>
          <w:szCs w:val="24"/>
        </w:rPr>
        <w:t>instance</w:t>
      </w:r>
      <w:r w:rsidRPr="0014535D">
        <w:rPr>
          <w:rFonts w:ascii="Times New Roman" w:hAnsi="Times New Roman"/>
          <w:szCs w:val="24"/>
        </w:rPr>
        <w:t>,</w:t>
      </w:r>
      <w:r>
        <w:rPr>
          <w:rFonts w:ascii="Times New Roman" w:hAnsi="Times New Roman"/>
          <w:szCs w:val="24"/>
        </w:rPr>
        <w:t xml:space="preserve"> seminars have been organised which included discussions on the uptake and implementation of international instruments and the role of public authorities in ensuring a supportive environment for CSR/ RBC.</w:t>
      </w:r>
    </w:p>
    <w:p w:rsidR="00E424CB" w:rsidRDefault="00E424CB" w:rsidP="00E424CB">
      <w:pPr>
        <w:spacing w:after="120"/>
        <w:rPr>
          <w:rFonts w:ascii="Times New Roman" w:hAnsi="Times New Roman"/>
          <w:szCs w:val="24"/>
        </w:rPr>
      </w:pPr>
      <w:r>
        <w:rPr>
          <w:rFonts w:ascii="Times New Roman" w:hAnsi="Times New Roman"/>
          <w:szCs w:val="24"/>
        </w:rPr>
        <w:t>The</w:t>
      </w:r>
      <w:r w:rsidRPr="004564BC">
        <w:rPr>
          <w:rFonts w:ascii="Times New Roman" w:hAnsi="Times New Roman"/>
          <w:szCs w:val="24"/>
        </w:rPr>
        <w:t xml:space="preserve"> </w:t>
      </w:r>
      <w:r>
        <w:rPr>
          <w:rFonts w:ascii="Times New Roman" w:hAnsi="Times New Roman"/>
          <w:szCs w:val="24"/>
        </w:rPr>
        <w:t>adoption</w:t>
      </w:r>
      <w:r w:rsidRPr="0014535D">
        <w:rPr>
          <w:rFonts w:ascii="Times New Roman" w:hAnsi="Times New Roman"/>
          <w:szCs w:val="24"/>
        </w:rPr>
        <w:t xml:space="preserve"> in 2017</w:t>
      </w:r>
      <w:r>
        <w:rPr>
          <w:rFonts w:ascii="Times New Roman" w:hAnsi="Times New Roman"/>
          <w:szCs w:val="24"/>
        </w:rPr>
        <w:t xml:space="preserve"> of the </w:t>
      </w:r>
      <w:r w:rsidRPr="0014535D">
        <w:rPr>
          <w:rFonts w:ascii="Times New Roman" w:hAnsi="Times New Roman"/>
          <w:szCs w:val="24"/>
        </w:rPr>
        <w:t>OECD guidance for responsible supply chains in the garment and footwear sector</w:t>
      </w:r>
      <w:r>
        <w:rPr>
          <w:rFonts w:ascii="Times New Roman" w:hAnsi="Times New Roman"/>
          <w:szCs w:val="24"/>
        </w:rPr>
        <w:t xml:space="preserve"> </w:t>
      </w:r>
      <w:proofErr w:type="gramStart"/>
      <w:r>
        <w:rPr>
          <w:rFonts w:ascii="Times New Roman" w:hAnsi="Times New Roman"/>
          <w:szCs w:val="24"/>
        </w:rPr>
        <w:t>has been fully supported</w:t>
      </w:r>
      <w:proofErr w:type="gramEnd"/>
      <w:r>
        <w:rPr>
          <w:rFonts w:ascii="Times New Roman" w:hAnsi="Times New Roman"/>
          <w:szCs w:val="24"/>
        </w:rPr>
        <w:t xml:space="preserve"> by the EU. A dedicated project was set up with the OECD to support the elaboration of this guidance. Another follow-up project of the European Commission and the OECD </w:t>
      </w:r>
      <w:proofErr w:type="gramStart"/>
      <w:r>
        <w:rPr>
          <w:rFonts w:ascii="Times New Roman" w:hAnsi="Times New Roman"/>
          <w:szCs w:val="24"/>
        </w:rPr>
        <w:t>has been recently launched</w:t>
      </w:r>
      <w:proofErr w:type="gramEnd"/>
      <w:r>
        <w:rPr>
          <w:rFonts w:ascii="Times New Roman" w:hAnsi="Times New Roman"/>
          <w:szCs w:val="24"/>
        </w:rPr>
        <w:t xml:space="preserve"> to support the implementation of this guidance through a </w:t>
      </w:r>
      <w:r w:rsidRPr="0014535D">
        <w:rPr>
          <w:rFonts w:ascii="Times New Roman" w:hAnsi="Times New Roman"/>
          <w:szCs w:val="24"/>
        </w:rPr>
        <w:t>set of concrete activities and tools</w:t>
      </w:r>
      <w:r>
        <w:rPr>
          <w:rFonts w:ascii="Times New Roman" w:hAnsi="Times New Roman"/>
          <w:szCs w:val="24"/>
        </w:rPr>
        <w:t>.</w:t>
      </w:r>
    </w:p>
    <w:p w:rsidR="00E424CB" w:rsidRPr="00691864" w:rsidRDefault="00E424CB" w:rsidP="00E424CB">
      <w:pPr>
        <w:spacing w:after="120"/>
        <w:rPr>
          <w:rFonts w:ascii="Times New Roman" w:hAnsi="Times New Roman"/>
        </w:rPr>
      </w:pPr>
      <w:r>
        <w:rPr>
          <w:rFonts w:ascii="Times New Roman" w:hAnsi="Times New Roman"/>
          <w:szCs w:val="24"/>
        </w:rPr>
        <w:t>The Commission also promotes these CSR/ RBC provisions through projects and initiatives, like the one on responsible business conduct in Asia, or support for the development of national action plans.</w:t>
      </w:r>
    </w:p>
    <w:p w:rsidR="00E424CB" w:rsidRPr="00A92741" w:rsidRDefault="00E424CB" w:rsidP="00E424CB">
      <w:pPr>
        <w:spacing w:after="120"/>
        <w:rPr>
          <w:rFonts w:ascii="Times New Roman" w:hAnsi="Times New Roman"/>
          <w:iCs/>
          <w:szCs w:val="24"/>
        </w:rPr>
      </w:pPr>
      <w:r w:rsidRPr="00A92741">
        <w:rPr>
          <w:rFonts w:ascii="Times New Roman" w:hAnsi="Times New Roman"/>
          <w:iCs/>
          <w:szCs w:val="24"/>
        </w:rPr>
        <w:t xml:space="preserve">Data show that women's entrepreneurial potential </w:t>
      </w:r>
      <w:r w:rsidRPr="00FE00CF">
        <w:rPr>
          <w:rFonts w:ascii="Times New Roman" w:hAnsi="Times New Roman"/>
          <w:iCs/>
          <w:szCs w:val="24"/>
        </w:rPr>
        <w:t>(</w:t>
      </w:r>
      <w:r>
        <w:rPr>
          <w:rFonts w:ascii="Times New Roman" w:hAnsi="Times New Roman"/>
          <w:b/>
          <w:iCs/>
          <w:szCs w:val="24"/>
        </w:rPr>
        <w:t>p</w:t>
      </w:r>
      <w:r w:rsidRPr="008919B4">
        <w:rPr>
          <w:rFonts w:ascii="Times New Roman" w:hAnsi="Times New Roman"/>
          <w:b/>
          <w:iCs/>
          <w:szCs w:val="24"/>
        </w:rPr>
        <w:t xml:space="preserve">aragraph </w:t>
      </w:r>
      <w:r>
        <w:rPr>
          <w:rFonts w:ascii="Times New Roman" w:hAnsi="Times New Roman"/>
          <w:b/>
          <w:iCs/>
          <w:szCs w:val="24"/>
        </w:rPr>
        <w:t>21</w:t>
      </w:r>
      <w:r w:rsidRPr="00FE00CF">
        <w:rPr>
          <w:rFonts w:ascii="Times New Roman" w:hAnsi="Times New Roman"/>
          <w:iCs/>
          <w:szCs w:val="24"/>
        </w:rPr>
        <w:t xml:space="preserve">) </w:t>
      </w:r>
      <w:r w:rsidRPr="00A92741">
        <w:rPr>
          <w:rFonts w:ascii="Times New Roman" w:hAnsi="Times New Roman"/>
          <w:iCs/>
          <w:szCs w:val="24"/>
        </w:rPr>
        <w:t xml:space="preserve">is unfortunately still under-exploited in Europe, and that little progress has been achieved over the last decade. </w:t>
      </w:r>
      <w:r>
        <w:rPr>
          <w:rFonts w:ascii="Times New Roman" w:hAnsi="Times New Roman"/>
          <w:iCs/>
          <w:szCs w:val="24"/>
        </w:rPr>
        <w:lastRenderedPageBreak/>
        <w:t>E</w:t>
      </w:r>
      <w:r w:rsidRPr="00A92741">
        <w:rPr>
          <w:rFonts w:ascii="Times New Roman" w:hAnsi="Times New Roman"/>
          <w:iCs/>
          <w:szCs w:val="24"/>
        </w:rPr>
        <w:t>ntrepreneurship is a powerful driver of economic growth and job creation</w:t>
      </w:r>
      <w:r>
        <w:rPr>
          <w:rFonts w:ascii="Times New Roman" w:hAnsi="Times New Roman"/>
          <w:iCs/>
          <w:szCs w:val="24"/>
        </w:rPr>
        <w:t>. T</w:t>
      </w:r>
      <w:r w:rsidRPr="00A92741">
        <w:rPr>
          <w:rFonts w:ascii="Times New Roman" w:hAnsi="Times New Roman"/>
          <w:iCs/>
          <w:szCs w:val="24"/>
        </w:rPr>
        <w:t xml:space="preserve">he Commission will </w:t>
      </w:r>
      <w:r>
        <w:rPr>
          <w:rFonts w:ascii="Times New Roman" w:hAnsi="Times New Roman"/>
          <w:iCs/>
          <w:szCs w:val="24"/>
        </w:rPr>
        <w:t xml:space="preserve">therefore </w:t>
      </w:r>
      <w:r w:rsidRPr="00A92741">
        <w:rPr>
          <w:rFonts w:ascii="Times New Roman" w:hAnsi="Times New Roman"/>
          <w:iCs/>
          <w:szCs w:val="24"/>
        </w:rPr>
        <w:t xml:space="preserve">continue to encourage women </w:t>
      </w:r>
      <w:r>
        <w:rPr>
          <w:rFonts w:ascii="Times New Roman" w:hAnsi="Times New Roman"/>
          <w:iCs/>
          <w:szCs w:val="24"/>
        </w:rPr>
        <w:t>to</w:t>
      </w:r>
      <w:r w:rsidRPr="00A92741">
        <w:rPr>
          <w:rFonts w:ascii="Times New Roman" w:hAnsi="Times New Roman"/>
          <w:iCs/>
          <w:szCs w:val="24"/>
        </w:rPr>
        <w:t xml:space="preserve"> start</w:t>
      </w:r>
      <w:r>
        <w:rPr>
          <w:rFonts w:ascii="Times New Roman" w:hAnsi="Times New Roman"/>
          <w:iCs/>
          <w:szCs w:val="24"/>
        </w:rPr>
        <w:t xml:space="preserve"> a business or to scale-up existing businesses</w:t>
      </w:r>
      <w:r w:rsidRPr="00A92741">
        <w:rPr>
          <w:rFonts w:ascii="Times New Roman" w:hAnsi="Times New Roman"/>
          <w:iCs/>
          <w:szCs w:val="24"/>
        </w:rPr>
        <w:t>. Current and planned initiatives specifically designed to support women entrepreneurs and their support organisations aim to:</w:t>
      </w:r>
      <w:r>
        <w:rPr>
          <w:rFonts w:ascii="Times New Roman" w:hAnsi="Times New Roman"/>
          <w:iCs/>
          <w:szCs w:val="24"/>
        </w:rPr>
        <w:t xml:space="preserve"> (1) </w:t>
      </w:r>
      <w:r w:rsidRPr="00A92741">
        <w:rPr>
          <w:rFonts w:ascii="Times New Roman" w:hAnsi="Times New Roman"/>
          <w:iCs/>
          <w:szCs w:val="24"/>
        </w:rPr>
        <w:t>support networking and the exchange of good practices between stakeholders supporting women on the ground (for example through the platform "</w:t>
      </w:r>
      <w:proofErr w:type="spellStart"/>
      <w:r w:rsidRPr="00A92741">
        <w:rPr>
          <w:rFonts w:ascii="Times New Roman" w:hAnsi="Times New Roman"/>
          <w:iCs/>
          <w:szCs w:val="24"/>
        </w:rPr>
        <w:t>WEgate</w:t>
      </w:r>
      <w:proofErr w:type="spellEnd"/>
      <w:r w:rsidRPr="00A92741">
        <w:rPr>
          <w:rFonts w:ascii="Times New Roman" w:hAnsi="Times New Roman"/>
          <w:iCs/>
          <w:szCs w:val="24"/>
        </w:rPr>
        <w:t>")</w:t>
      </w:r>
      <w:r>
        <w:rPr>
          <w:rFonts w:ascii="Times New Roman" w:hAnsi="Times New Roman"/>
          <w:iCs/>
          <w:szCs w:val="24"/>
        </w:rPr>
        <w:t xml:space="preserve">, (2) </w:t>
      </w:r>
      <w:r w:rsidRPr="00A92741">
        <w:rPr>
          <w:rFonts w:ascii="Times New Roman" w:hAnsi="Times New Roman"/>
          <w:iCs/>
          <w:szCs w:val="24"/>
        </w:rPr>
        <w:t>promote role models, and</w:t>
      </w:r>
      <w:r>
        <w:rPr>
          <w:rFonts w:ascii="Times New Roman" w:hAnsi="Times New Roman"/>
          <w:iCs/>
          <w:szCs w:val="24"/>
        </w:rPr>
        <w:t xml:space="preserve"> (3) </w:t>
      </w:r>
      <w:r w:rsidRPr="00A92741">
        <w:rPr>
          <w:rFonts w:ascii="Times New Roman" w:hAnsi="Times New Roman"/>
          <w:iCs/>
          <w:szCs w:val="24"/>
        </w:rPr>
        <w:t>provide specific training to women entrepreneurs, for example to help them access funding.</w:t>
      </w:r>
    </w:p>
    <w:p w:rsidR="00E424CB" w:rsidRPr="008919B4" w:rsidRDefault="00E424CB" w:rsidP="00E424CB">
      <w:pPr>
        <w:spacing w:after="120"/>
        <w:rPr>
          <w:rFonts w:ascii="Times New Roman" w:hAnsi="Times New Roman"/>
          <w:szCs w:val="24"/>
        </w:rPr>
      </w:pPr>
      <w:r>
        <w:rPr>
          <w:rFonts w:ascii="Times New Roman" w:hAnsi="Times New Roman"/>
          <w:szCs w:val="24"/>
        </w:rPr>
        <w:t>T</w:t>
      </w:r>
      <w:r w:rsidRPr="000C3D8E">
        <w:rPr>
          <w:rFonts w:ascii="Times New Roman" w:hAnsi="Times New Roman"/>
          <w:szCs w:val="24"/>
        </w:rPr>
        <w:t xml:space="preserve">he EU recognises the role of trade </w:t>
      </w:r>
      <w:r>
        <w:rPr>
          <w:rFonts w:ascii="Times New Roman" w:hAnsi="Times New Roman"/>
          <w:szCs w:val="24"/>
        </w:rPr>
        <w:t>in the</w:t>
      </w:r>
      <w:r w:rsidRPr="000C3D8E">
        <w:rPr>
          <w:rFonts w:ascii="Times New Roman" w:hAnsi="Times New Roman"/>
          <w:szCs w:val="24"/>
        </w:rPr>
        <w:t xml:space="preserve"> implementation of </w:t>
      </w:r>
      <w:r>
        <w:rPr>
          <w:rFonts w:ascii="Times New Roman" w:hAnsi="Times New Roman"/>
          <w:szCs w:val="24"/>
        </w:rPr>
        <w:t xml:space="preserve">the </w:t>
      </w:r>
      <w:r w:rsidRPr="000C3D8E">
        <w:rPr>
          <w:rFonts w:ascii="Times New Roman" w:hAnsi="Times New Roman"/>
          <w:szCs w:val="24"/>
        </w:rPr>
        <w:t>S</w:t>
      </w:r>
      <w:r>
        <w:rPr>
          <w:rFonts w:ascii="Times New Roman" w:hAnsi="Times New Roman"/>
          <w:szCs w:val="24"/>
        </w:rPr>
        <w:t xml:space="preserve">ustainable </w:t>
      </w:r>
      <w:r w:rsidRPr="000C3D8E">
        <w:rPr>
          <w:rFonts w:ascii="Times New Roman" w:hAnsi="Times New Roman"/>
          <w:szCs w:val="24"/>
        </w:rPr>
        <w:t>D</w:t>
      </w:r>
      <w:r>
        <w:rPr>
          <w:rFonts w:ascii="Times New Roman" w:hAnsi="Times New Roman"/>
          <w:szCs w:val="24"/>
        </w:rPr>
        <w:t xml:space="preserve">evelopment </w:t>
      </w:r>
      <w:r w:rsidRPr="000C3D8E">
        <w:rPr>
          <w:rFonts w:ascii="Times New Roman" w:hAnsi="Times New Roman"/>
          <w:szCs w:val="24"/>
        </w:rPr>
        <w:t>G</w:t>
      </w:r>
      <w:r>
        <w:rPr>
          <w:rFonts w:ascii="Times New Roman" w:hAnsi="Times New Roman"/>
          <w:szCs w:val="24"/>
        </w:rPr>
        <w:t>oal</w:t>
      </w:r>
      <w:r w:rsidRPr="000C3D8E">
        <w:rPr>
          <w:rFonts w:ascii="Times New Roman" w:hAnsi="Times New Roman"/>
          <w:szCs w:val="24"/>
        </w:rPr>
        <w:t>s</w:t>
      </w:r>
      <w:r>
        <w:rPr>
          <w:rFonts w:ascii="Times New Roman" w:hAnsi="Times New Roman"/>
          <w:szCs w:val="24"/>
        </w:rPr>
        <w:t xml:space="preserve"> (SDGs) </w:t>
      </w:r>
      <w:r w:rsidRPr="00FE00CF">
        <w:rPr>
          <w:rFonts w:ascii="Times New Roman" w:hAnsi="Times New Roman"/>
          <w:szCs w:val="24"/>
        </w:rPr>
        <w:t>(</w:t>
      </w:r>
      <w:r>
        <w:rPr>
          <w:rFonts w:ascii="Times New Roman" w:hAnsi="Times New Roman"/>
          <w:b/>
          <w:szCs w:val="24"/>
        </w:rPr>
        <w:t>p</w:t>
      </w:r>
      <w:r w:rsidRPr="008919B4">
        <w:rPr>
          <w:rFonts w:ascii="Times New Roman" w:hAnsi="Times New Roman"/>
          <w:b/>
          <w:szCs w:val="24"/>
        </w:rPr>
        <w:t xml:space="preserve">aragraph </w:t>
      </w:r>
      <w:r>
        <w:rPr>
          <w:rFonts w:ascii="Times New Roman" w:hAnsi="Times New Roman"/>
          <w:b/>
          <w:szCs w:val="24"/>
        </w:rPr>
        <w:t>23</w:t>
      </w:r>
      <w:r w:rsidRPr="00FE00CF">
        <w:rPr>
          <w:rFonts w:ascii="Times New Roman" w:hAnsi="Times New Roman"/>
          <w:szCs w:val="24"/>
        </w:rPr>
        <w:t>)</w:t>
      </w:r>
      <w:r w:rsidRPr="000C3D8E">
        <w:rPr>
          <w:rFonts w:ascii="Times New Roman" w:hAnsi="Times New Roman"/>
          <w:szCs w:val="24"/>
        </w:rPr>
        <w:t>,</w:t>
      </w:r>
      <w:r w:rsidRPr="00FE00CF">
        <w:rPr>
          <w:rFonts w:ascii="Times New Roman" w:hAnsi="Times New Roman"/>
          <w:szCs w:val="24"/>
        </w:rPr>
        <w:t xml:space="preserve"> </w:t>
      </w:r>
      <w:r w:rsidRPr="000C3D8E">
        <w:rPr>
          <w:rFonts w:ascii="Times New Roman" w:hAnsi="Times New Roman"/>
          <w:szCs w:val="24"/>
        </w:rPr>
        <w:t>as established by the Addis Ababa Action Agenda and SDG</w:t>
      </w:r>
      <w:r>
        <w:rPr>
          <w:rFonts w:ascii="Times New Roman" w:hAnsi="Times New Roman"/>
          <w:szCs w:val="24"/>
        </w:rPr>
        <w:t> </w:t>
      </w:r>
      <w:r w:rsidRPr="000C3D8E">
        <w:rPr>
          <w:rFonts w:ascii="Times New Roman" w:hAnsi="Times New Roman"/>
          <w:szCs w:val="24"/>
        </w:rPr>
        <w:t>17</w:t>
      </w:r>
      <w:r>
        <w:rPr>
          <w:rFonts w:ascii="Times New Roman" w:hAnsi="Times New Roman"/>
          <w:szCs w:val="24"/>
        </w:rPr>
        <w:t xml:space="preserve">. This implies </w:t>
      </w:r>
      <w:r w:rsidRPr="000C3D8E">
        <w:rPr>
          <w:rFonts w:ascii="Times New Roman" w:hAnsi="Times New Roman"/>
          <w:szCs w:val="24"/>
        </w:rPr>
        <w:t xml:space="preserve">helping countries </w:t>
      </w:r>
      <w:r>
        <w:rPr>
          <w:rFonts w:ascii="Times New Roman" w:hAnsi="Times New Roman"/>
          <w:szCs w:val="24"/>
        </w:rPr>
        <w:t xml:space="preserve">to </w:t>
      </w:r>
      <w:r w:rsidRPr="000C3D8E">
        <w:rPr>
          <w:rFonts w:ascii="Times New Roman" w:hAnsi="Times New Roman"/>
          <w:szCs w:val="24"/>
        </w:rPr>
        <w:t xml:space="preserve">grow economically and </w:t>
      </w:r>
      <w:r>
        <w:rPr>
          <w:rFonts w:ascii="Times New Roman" w:hAnsi="Times New Roman"/>
          <w:szCs w:val="24"/>
        </w:rPr>
        <w:t xml:space="preserve">to </w:t>
      </w:r>
      <w:r w:rsidRPr="000C3D8E">
        <w:rPr>
          <w:rFonts w:ascii="Times New Roman" w:hAnsi="Times New Roman"/>
          <w:szCs w:val="24"/>
        </w:rPr>
        <w:t>r</w:t>
      </w:r>
      <w:r>
        <w:rPr>
          <w:rFonts w:ascii="Times New Roman" w:hAnsi="Times New Roman"/>
          <w:szCs w:val="24"/>
        </w:rPr>
        <w:t>a</w:t>
      </w:r>
      <w:r w:rsidRPr="000C3D8E">
        <w:rPr>
          <w:rFonts w:ascii="Times New Roman" w:hAnsi="Times New Roman"/>
          <w:szCs w:val="24"/>
        </w:rPr>
        <w:t xml:space="preserve">ise own resources </w:t>
      </w:r>
      <w:r>
        <w:rPr>
          <w:rFonts w:ascii="Times New Roman" w:hAnsi="Times New Roman"/>
          <w:szCs w:val="24"/>
        </w:rPr>
        <w:t>in order</w:t>
      </w:r>
      <w:r w:rsidRPr="000C3D8E">
        <w:rPr>
          <w:rFonts w:ascii="Times New Roman" w:hAnsi="Times New Roman"/>
          <w:szCs w:val="24"/>
        </w:rPr>
        <w:t xml:space="preserve"> to fund SDG commitments. </w:t>
      </w:r>
      <w:r>
        <w:rPr>
          <w:rFonts w:ascii="Times New Roman" w:hAnsi="Times New Roman"/>
          <w:szCs w:val="24"/>
        </w:rPr>
        <w:t xml:space="preserve">Furthermore, the </w:t>
      </w:r>
      <w:r w:rsidRPr="000C3D8E">
        <w:rPr>
          <w:rFonts w:ascii="Times New Roman" w:hAnsi="Times New Roman"/>
          <w:szCs w:val="24"/>
        </w:rPr>
        <w:t xml:space="preserve">EU's 2015 Trade for All Communication, adopted </w:t>
      </w:r>
      <w:r>
        <w:rPr>
          <w:rFonts w:ascii="Times New Roman" w:hAnsi="Times New Roman"/>
          <w:szCs w:val="24"/>
        </w:rPr>
        <w:t>in the context</w:t>
      </w:r>
      <w:r w:rsidRPr="000C3D8E">
        <w:rPr>
          <w:rFonts w:ascii="Times New Roman" w:hAnsi="Times New Roman"/>
          <w:szCs w:val="24"/>
        </w:rPr>
        <w:t xml:space="preserve"> of the UN 2030 Agenda, </w:t>
      </w:r>
      <w:r>
        <w:rPr>
          <w:rFonts w:ascii="Times New Roman" w:hAnsi="Times New Roman"/>
          <w:szCs w:val="24"/>
        </w:rPr>
        <w:t>describes</w:t>
      </w:r>
      <w:r w:rsidRPr="000C3D8E">
        <w:rPr>
          <w:rFonts w:ascii="Times New Roman" w:hAnsi="Times New Roman"/>
          <w:szCs w:val="24"/>
        </w:rPr>
        <w:t xml:space="preserve"> how EU trade policy support</w:t>
      </w:r>
      <w:r>
        <w:rPr>
          <w:rFonts w:ascii="Times New Roman" w:hAnsi="Times New Roman"/>
          <w:szCs w:val="24"/>
        </w:rPr>
        <w:t>s</w:t>
      </w:r>
      <w:r w:rsidRPr="000C3D8E">
        <w:rPr>
          <w:rFonts w:ascii="Times New Roman" w:hAnsi="Times New Roman"/>
          <w:szCs w:val="24"/>
        </w:rPr>
        <w:t xml:space="preserve"> and reinforce</w:t>
      </w:r>
      <w:r>
        <w:rPr>
          <w:rFonts w:ascii="Times New Roman" w:hAnsi="Times New Roman"/>
          <w:szCs w:val="24"/>
        </w:rPr>
        <w:t>s</w:t>
      </w:r>
      <w:r w:rsidRPr="000C3D8E">
        <w:rPr>
          <w:rFonts w:ascii="Times New Roman" w:hAnsi="Times New Roman"/>
          <w:szCs w:val="24"/>
        </w:rPr>
        <w:t xml:space="preserve"> sustainable development directly, </w:t>
      </w:r>
      <w:r>
        <w:rPr>
          <w:rFonts w:ascii="Times New Roman" w:hAnsi="Times New Roman"/>
          <w:szCs w:val="24"/>
        </w:rPr>
        <w:t xml:space="preserve">for example, </w:t>
      </w:r>
      <w:r w:rsidRPr="000C3D8E">
        <w:rPr>
          <w:rFonts w:ascii="Times New Roman" w:hAnsi="Times New Roman"/>
          <w:szCs w:val="24"/>
        </w:rPr>
        <w:t>via the T</w:t>
      </w:r>
      <w:r>
        <w:rPr>
          <w:rFonts w:ascii="Times New Roman" w:hAnsi="Times New Roman"/>
          <w:szCs w:val="24"/>
        </w:rPr>
        <w:t xml:space="preserve">rade and </w:t>
      </w:r>
      <w:r w:rsidRPr="000C3D8E">
        <w:rPr>
          <w:rFonts w:ascii="Times New Roman" w:hAnsi="Times New Roman"/>
          <w:szCs w:val="24"/>
        </w:rPr>
        <w:t>S</w:t>
      </w:r>
      <w:r>
        <w:rPr>
          <w:rFonts w:ascii="Times New Roman" w:hAnsi="Times New Roman"/>
          <w:szCs w:val="24"/>
        </w:rPr>
        <w:t xml:space="preserve">ustainable </w:t>
      </w:r>
      <w:r w:rsidRPr="000C3D8E">
        <w:rPr>
          <w:rFonts w:ascii="Times New Roman" w:hAnsi="Times New Roman"/>
          <w:szCs w:val="24"/>
        </w:rPr>
        <w:t>D</w:t>
      </w:r>
      <w:r>
        <w:rPr>
          <w:rFonts w:ascii="Times New Roman" w:hAnsi="Times New Roman"/>
          <w:szCs w:val="24"/>
        </w:rPr>
        <w:t>evelopment (</w:t>
      </w:r>
      <w:r w:rsidRPr="000C3D8E">
        <w:rPr>
          <w:rFonts w:ascii="Times New Roman" w:hAnsi="Times New Roman"/>
          <w:szCs w:val="24"/>
        </w:rPr>
        <w:t>TSD</w:t>
      </w:r>
      <w:r>
        <w:rPr>
          <w:rFonts w:ascii="Times New Roman" w:hAnsi="Times New Roman"/>
          <w:szCs w:val="24"/>
        </w:rPr>
        <w:t>)</w:t>
      </w:r>
      <w:r w:rsidRPr="000C3D8E">
        <w:rPr>
          <w:rFonts w:ascii="Times New Roman" w:hAnsi="Times New Roman"/>
          <w:szCs w:val="24"/>
        </w:rPr>
        <w:t xml:space="preserve"> in </w:t>
      </w:r>
      <w:r>
        <w:rPr>
          <w:rFonts w:ascii="Times New Roman" w:hAnsi="Times New Roman"/>
          <w:szCs w:val="24"/>
        </w:rPr>
        <w:t>EU</w:t>
      </w:r>
      <w:r w:rsidRPr="000C3D8E">
        <w:rPr>
          <w:rFonts w:ascii="Times New Roman" w:hAnsi="Times New Roman"/>
          <w:szCs w:val="24"/>
        </w:rPr>
        <w:t xml:space="preserve"> trade agreements </w:t>
      </w:r>
      <w:r>
        <w:rPr>
          <w:rFonts w:ascii="Times New Roman" w:hAnsi="Times New Roman"/>
          <w:szCs w:val="24"/>
        </w:rPr>
        <w:t>or via</w:t>
      </w:r>
      <w:r w:rsidRPr="000C3D8E">
        <w:rPr>
          <w:rFonts w:ascii="Times New Roman" w:hAnsi="Times New Roman"/>
          <w:szCs w:val="24"/>
        </w:rPr>
        <w:t xml:space="preserve"> the </w:t>
      </w:r>
      <w:r w:rsidRPr="00802775">
        <w:rPr>
          <w:rFonts w:ascii="Times New Roman" w:hAnsi="Times New Roman"/>
          <w:szCs w:val="24"/>
        </w:rPr>
        <w:t>Generalised Scheme of Preferences</w:t>
      </w:r>
      <w:r>
        <w:rPr>
          <w:rFonts w:ascii="Times New Roman" w:hAnsi="Times New Roman"/>
          <w:szCs w:val="24"/>
        </w:rPr>
        <w:t xml:space="preserve"> Plus</w:t>
      </w:r>
      <w:r w:rsidRPr="000C3D8E">
        <w:rPr>
          <w:rFonts w:ascii="Times New Roman" w:hAnsi="Times New Roman"/>
          <w:szCs w:val="24"/>
        </w:rPr>
        <w:t xml:space="preserve"> </w:t>
      </w:r>
      <w:r>
        <w:rPr>
          <w:rFonts w:ascii="Times New Roman" w:hAnsi="Times New Roman"/>
          <w:szCs w:val="24"/>
        </w:rPr>
        <w:t>(</w:t>
      </w:r>
      <w:r w:rsidRPr="000C3D8E">
        <w:rPr>
          <w:rFonts w:ascii="Times New Roman" w:hAnsi="Times New Roman"/>
          <w:szCs w:val="24"/>
        </w:rPr>
        <w:t>GSP+</w:t>
      </w:r>
      <w:r>
        <w:rPr>
          <w:rFonts w:ascii="Times New Roman" w:hAnsi="Times New Roman"/>
          <w:szCs w:val="24"/>
        </w:rPr>
        <w:t>)</w:t>
      </w:r>
      <w:r w:rsidRPr="000C3D8E">
        <w:rPr>
          <w:rFonts w:ascii="Times New Roman" w:hAnsi="Times New Roman"/>
          <w:szCs w:val="24"/>
        </w:rPr>
        <w:t xml:space="preserve"> tool. </w:t>
      </w:r>
      <w:r>
        <w:rPr>
          <w:rFonts w:ascii="Times New Roman" w:hAnsi="Times New Roman"/>
          <w:szCs w:val="24"/>
        </w:rPr>
        <w:t>S</w:t>
      </w:r>
      <w:r w:rsidRPr="000C3D8E">
        <w:rPr>
          <w:rFonts w:ascii="Times New Roman" w:hAnsi="Times New Roman"/>
          <w:szCs w:val="24"/>
        </w:rPr>
        <w:t xml:space="preserve">upport to the CSR agenda and to </w:t>
      </w:r>
      <w:r>
        <w:rPr>
          <w:rFonts w:ascii="Times New Roman" w:hAnsi="Times New Roman"/>
          <w:szCs w:val="24"/>
        </w:rPr>
        <w:t>small and medium-sized enterprises (</w:t>
      </w:r>
      <w:r w:rsidRPr="000C3D8E">
        <w:rPr>
          <w:rFonts w:ascii="Times New Roman" w:hAnsi="Times New Roman"/>
          <w:szCs w:val="24"/>
        </w:rPr>
        <w:t>SMEs</w:t>
      </w:r>
      <w:r>
        <w:rPr>
          <w:rFonts w:ascii="Times New Roman" w:hAnsi="Times New Roman"/>
          <w:szCs w:val="24"/>
        </w:rPr>
        <w:t>)</w:t>
      </w:r>
      <w:r w:rsidRPr="000C3D8E">
        <w:rPr>
          <w:rFonts w:ascii="Times New Roman" w:hAnsi="Times New Roman"/>
          <w:szCs w:val="24"/>
        </w:rPr>
        <w:t xml:space="preserve"> through provisions and specific chapters, respectively, in </w:t>
      </w:r>
      <w:r>
        <w:rPr>
          <w:rFonts w:ascii="Times New Roman" w:hAnsi="Times New Roman"/>
          <w:szCs w:val="24"/>
        </w:rPr>
        <w:t>EU</w:t>
      </w:r>
      <w:r w:rsidRPr="000C3D8E">
        <w:rPr>
          <w:rFonts w:ascii="Times New Roman" w:hAnsi="Times New Roman"/>
          <w:szCs w:val="24"/>
        </w:rPr>
        <w:t xml:space="preserve"> trade agreements can contribute to gender equality under SDG5.</w:t>
      </w:r>
      <w:r>
        <w:rPr>
          <w:rFonts w:ascii="Times New Roman" w:hAnsi="Times New Roman"/>
          <w:szCs w:val="24"/>
        </w:rPr>
        <w:t xml:space="preserve"> Furthermore, the </w:t>
      </w:r>
      <w:r w:rsidRPr="004F0035">
        <w:rPr>
          <w:rFonts w:ascii="Times New Roman" w:hAnsi="Times New Roman"/>
          <w:szCs w:val="24"/>
        </w:rPr>
        <w:t>2018 Report on equality between women and men in the EU</w:t>
      </w:r>
      <w:r>
        <w:rPr>
          <w:rFonts w:ascii="Times New Roman" w:hAnsi="Times New Roman"/>
          <w:szCs w:val="24"/>
        </w:rPr>
        <w:t xml:space="preserve"> (</w:t>
      </w:r>
      <w:proofErr w:type="gramStart"/>
      <w:r w:rsidRPr="000C7EDE">
        <w:rPr>
          <w:rFonts w:ascii="Times New Roman" w:hAnsi="Times New Roman"/>
          <w:szCs w:val="24"/>
        </w:rPr>
        <w:t>SWD(</w:t>
      </w:r>
      <w:proofErr w:type="gramEnd"/>
      <w:r w:rsidRPr="000C7EDE">
        <w:rPr>
          <w:rFonts w:ascii="Times New Roman" w:hAnsi="Times New Roman"/>
          <w:szCs w:val="24"/>
        </w:rPr>
        <w:t>2018)</w:t>
      </w:r>
      <w:r>
        <w:rPr>
          <w:rFonts w:ascii="Times New Roman" w:hAnsi="Times New Roman"/>
          <w:szCs w:val="24"/>
        </w:rPr>
        <w:t> </w:t>
      </w:r>
      <w:r w:rsidRPr="000C7EDE">
        <w:rPr>
          <w:rFonts w:ascii="Times New Roman" w:hAnsi="Times New Roman"/>
          <w:szCs w:val="24"/>
        </w:rPr>
        <w:t>65</w:t>
      </w:r>
      <w:r>
        <w:rPr>
          <w:rFonts w:ascii="Times New Roman" w:hAnsi="Times New Roman"/>
          <w:szCs w:val="24"/>
        </w:rPr>
        <w:t>) also includes actions on p</w:t>
      </w:r>
      <w:r w:rsidRPr="004F0035">
        <w:rPr>
          <w:rFonts w:ascii="Times New Roman" w:hAnsi="Times New Roman"/>
          <w:szCs w:val="24"/>
        </w:rPr>
        <w:t>romoting gende</w:t>
      </w:r>
      <w:r>
        <w:rPr>
          <w:rFonts w:ascii="Times New Roman" w:hAnsi="Times New Roman"/>
          <w:szCs w:val="24"/>
        </w:rPr>
        <w:t>r equality through trade policy.</w:t>
      </w:r>
    </w:p>
    <w:p w:rsidR="00E424CB" w:rsidRPr="00791A31" w:rsidRDefault="00E424CB" w:rsidP="00E424CB">
      <w:pPr>
        <w:spacing w:after="120"/>
        <w:rPr>
          <w:rFonts w:ascii="Times New Roman" w:hAnsi="Times New Roman"/>
          <w:szCs w:val="24"/>
        </w:rPr>
      </w:pPr>
      <w:r>
        <w:rPr>
          <w:rFonts w:ascii="Times New Roman" w:hAnsi="Times New Roman"/>
          <w:szCs w:val="24"/>
        </w:rPr>
        <w:t xml:space="preserve">Regarding the public procurement provisions </w:t>
      </w:r>
      <w:r w:rsidRPr="00FE00CF">
        <w:rPr>
          <w:rFonts w:ascii="Times New Roman" w:hAnsi="Times New Roman"/>
          <w:szCs w:val="24"/>
        </w:rPr>
        <w:t>(</w:t>
      </w:r>
      <w:r w:rsidRPr="00791A31">
        <w:rPr>
          <w:rFonts w:ascii="Times New Roman" w:hAnsi="Times New Roman"/>
          <w:b/>
          <w:szCs w:val="24"/>
        </w:rPr>
        <w:t>paragraph 25</w:t>
      </w:r>
      <w:r w:rsidRPr="00791A31">
        <w:rPr>
          <w:rFonts w:ascii="Times New Roman" w:hAnsi="Times New Roman"/>
          <w:szCs w:val="24"/>
        </w:rPr>
        <w:t xml:space="preserve">), </w:t>
      </w:r>
      <w:r>
        <w:rPr>
          <w:rFonts w:ascii="Times New Roman" w:hAnsi="Times New Roman"/>
          <w:szCs w:val="24"/>
        </w:rPr>
        <w:t>t</w:t>
      </w:r>
      <w:r w:rsidRPr="00791A31">
        <w:rPr>
          <w:rFonts w:ascii="Times New Roman" w:hAnsi="Times New Roman"/>
          <w:szCs w:val="24"/>
        </w:rPr>
        <w:t xml:space="preserve">he Commission believes that </w:t>
      </w:r>
      <w:r>
        <w:rPr>
          <w:rFonts w:ascii="Times New Roman" w:hAnsi="Times New Roman"/>
          <w:szCs w:val="24"/>
        </w:rPr>
        <w:t>women-owned</w:t>
      </w:r>
      <w:r w:rsidRPr="00791A31">
        <w:rPr>
          <w:rFonts w:ascii="Times New Roman" w:hAnsi="Times New Roman"/>
          <w:szCs w:val="24"/>
        </w:rPr>
        <w:t xml:space="preserve"> </w:t>
      </w:r>
      <w:r>
        <w:rPr>
          <w:rFonts w:ascii="Times New Roman" w:hAnsi="Times New Roman"/>
          <w:szCs w:val="24"/>
        </w:rPr>
        <w:t>s</w:t>
      </w:r>
      <w:r w:rsidRPr="001D2F2F">
        <w:rPr>
          <w:rFonts w:ascii="Times New Roman" w:hAnsi="Times New Roman"/>
          <w:szCs w:val="24"/>
        </w:rPr>
        <w:t>mall</w:t>
      </w:r>
      <w:r>
        <w:rPr>
          <w:rFonts w:ascii="Times New Roman" w:hAnsi="Times New Roman"/>
          <w:szCs w:val="24"/>
        </w:rPr>
        <w:t xml:space="preserve"> and medium-sized</w:t>
      </w:r>
      <w:r w:rsidRPr="001D2F2F">
        <w:rPr>
          <w:rFonts w:ascii="Times New Roman" w:hAnsi="Times New Roman"/>
          <w:szCs w:val="24"/>
        </w:rPr>
        <w:t xml:space="preserve"> enterprises (SMEs) </w:t>
      </w:r>
      <w:r>
        <w:rPr>
          <w:rFonts w:ascii="Times New Roman" w:hAnsi="Times New Roman"/>
          <w:szCs w:val="24"/>
        </w:rPr>
        <w:t>and</w:t>
      </w:r>
      <w:r w:rsidRPr="00791A31">
        <w:rPr>
          <w:rFonts w:ascii="Times New Roman" w:hAnsi="Times New Roman"/>
          <w:szCs w:val="24"/>
        </w:rPr>
        <w:t xml:space="preserve"> </w:t>
      </w:r>
      <w:r>
        <w:rPr>
          <w:rFonts w:ascii="Times New Roman" w:hAnsi="Times New Roman"/>
          <w:szCs w:val="24"/>
        </w:rPr>
        <w:t>m</w:t>
      </w:r>
      <w:r w:rsidRPr="005B696D">
        <w:rPr>
          <w:rFonts w:ascii="Times New Roman" w:hAnsi="Times New Roman"/>
          <w:szCs w:val="24"/>
        </w:rPr>
        <w:t xml:space="preserve">icro, </w:t>
      </w:r>
      <w:r>
        <w:rPr>
          <w:rFonts w:ascii="Times New Roman" w:hAnsi="Times New Roman"/>
          <w:szCs w:val="24"/>
        </w:rPr>
        <w:t>s</w:t>
      </w:r>
      <w:r w:rsidRPr="005B696D">
        <w:rPr>
          <w:rFonts w:ascii="Times New Roman" w:hAnsi="Times New Roman"/>
          <w:szCs w:val="24"/>
        </w:rPr>
        <w:t xml:space="preserve">mall and </w:t>
      </w:r>
      <w:r>
        <w:rPr>
          <w:rFonts w:ascii="Times New Roman" w:hAnsi="Times New Roman"/>
          <w:szCs w:val="24"/>
        </w:rPr>
        <w:t>m</w:t>
      </w:r>
      <w:r w:rsidRPr="005B696D">
        <w:rPr>
          <w:rFonts w:ascii="Times New Roman" w:hAnsi="Times New Roman"/>
          <w:szCs w:val="24"/>
        </w:rPr>
        <w:t>edium</w:t>
      </w:r>
      <w:r>
        <w:rPr>
          <w:rFonts w:ascii="Times New Roman" w:hAnsi="Times New Roman"/>
          <w:szCs w:val="24"/>
        </w:rPr>
        <w:t>-sized</w:t>
      </w:r>
      <w:r w:rsidRPr="005B696D">
        <w:rPr>
          <w:rFonts w:ascii="Times New Roman" w:hAnsi="Times New Roman"/>
          <w:szCs w:val="24"/>
        </w:rPr>
        <w:t xml:space="preserve"> enterprises (MSMEs)</w:t>
      </w:r>
      <w:r w:rsidRPr="00791A31">
        <w:rPr>
          <w:rFonts w:ascii="Times New Roman" w:hAnsi="Times New Roman"/>
          <w:szCs w:val="24"/>
        </w:rPr>
        <w:t xml:space="preserve"> are key for job creation, growth and innovation, but that they encounter difficulties in accessing public procurement in international markets. For this reason, the Commission </w:t>
      </w:r>
      <w:r>
        <w:rPr>
          <w:rFonts w:ascii="Times New Roman" w:hAnsi="Times New Roman"/>
          <w:szCs w:val="24"/>
        </w:rPr>
        <w:t>fosters</w:t>
      </w:r>
      <w:r w:rsidRPr="00791A31">
        <w:rPr>
          <w:rFonts w:ascii="Times New Roman" w:hAnsi="Times New Roman"/>
          <w:szCs w:val="24"/>
        </w:rPr>
        <w:t xml:space="preserve"> </w:t>
      </w:r>
      <w:r>
        <w:rPr>
          <w:rFonts w:ascii="Times New Roman" w:hAnsi="Times New Roman"/>
          <w:szCs w:val="24"/>
        </w:rPr>
        <w:t xml:space="preserve">the </w:t>
      </w:r>
      <w:r w:rsidRPr="00791A31">
        <w:rPr>
          <w:rFonts w:ascii="Times New Roman" w:hAnsi="Times New Roman"/>
          <w:szCs w:val="24"/>
        </w:rPr>
        <w:t xml:space="preserve">access </w:t>
      </w:r>
      <w:r>
        <w:rPr>
          <w:rFonts w:ascii="Times New Roman" w:hAnsi="Times New Roman"/>
          <w:szCs w:val="24"/>
        </w:rPr>
        <w:t xml:space="preserve">of SMEs </w:t>
      </w:r>
      <w:r w:rsidRPr="00791A31">
        <w:rPr>
          <w:rFonts w:ascii="Times New Roman" w:hAnsi="Times New Roman"/>
          <w:szCs w:val="24"/>
        </w:rPr>
        <w:t xml:space="preserve">to international procurement markets by ensuring enhanced transparency and predictability of public procurement processes </w:t>
      </w:r>
      <w:r>
        <w:rPr>
          <w:rFonts w:ascii="Times New Roman" w:hAnsi="Times New Roman"/>
          <w:szCs w:val="24"/>
        </w:rPr>
        <w:t>in its</w:t>
      </w:r>
      <w:r w:rsidRPr="00791A31">
        <w:rPr>
          <w:rFonts w:ascii="Times New Roman" w:hAnsi="Times New Roman"/>
          <w:szCs w:val="24"/>
        </w:rPr>
        <w:t xml:space="preserve"> trade agreements, </w:t>
      </w:r>
      <w:r>
        <w:rPr>
          <w:rFonts w:ascii="Times New Roman" w:hAnsi="Times New Roman"/>
          <w:szCs w:val="24"/>
        </w:rPr>
        <w:t>and by</w:t>
      </w:r>
      <w:r w:rsidRPr="00791A31">
        <w:rPr>
          <w:rFonts w:ascii="Times New Roman" w:hAnsi="Times New Roman"/>
          <w:szCs w:val="24"/>
        </w:rPr>
        <w:t xml:space="preserve"> promoting the digitalisation of procurement processes and a single procurement website for publishing all procurement opportunities. In addition, the Commission promotes the inclusion in trade agreements of </w:t>
      </w:r>
      <w:r>
        <w:rPr>
          <w:rFonts w:ascii="Times New Roman" w:hAnsi="Times New Roman"/>
          <w:szCs w:val="24"/>
        </w:rPr>
        <w:t xml:space="preserve">public procurement </w:t>
      </w:r>
      <w:r w:rsidRPr="00791A31">
        <w:rPr>
          <w:rFonts w:ascii="Times New Roman" w:hAnsi="Times New Roman"/>
          <w:szCs w:val="24"/>
        </w:rPr>
        <w:t xml:space="preserve">provisions </w:t>
      </w:r>
      <w:r>
        <w:rPr>
          <w:rFonts w:ascii="Times New Roman" w:hAnsi="Times New Roman"/>
          <w:szCs w:val="24"/>
        </w:rPr>
        <w:t>that</w:t>
      </w:r>
      <w:r w:rsidRPr="00791A31">
        <w:rPr>
          <w:rFonts w:ascii="Times New Roman" w:hAnsi="Times New Roman"/>
          <w:szCs w:val="24"/>
        </w:rPr>
        <w:t xml:space="preserve"> take into account environmental and social considerations provided they are non-discriminatory and they are linked to the </w:t>
      </w:r>
      <w:proofErr w:type="gramStart"/>
      <w:r>
        <w:rPr>
          <w:rFonts w:ascii="Times New Roman" w:hAnsi="Times New Roman"/>
          <w:szCs w:val="24"/>
        </w:rPr>
        <w:t>subject-matter</w:t>
      </w:r>
      <w:proofErr w:type="gramEnd"/>
      <w:r>
        <w:rPr>
          <w:rFonts w:ascii="Times New Roman" w:hAnsi="Times New Roman"/>
          <w:szCs w:val="24"/>
        </w:rPr>
        <w:t xml:space="preserve"> of the contract.</w:t>
      </w:r>
    </w:p>
    <w:p w:rsidR="00E424CB" w:rsidRPr="004C45D6" w:rsidRDefault="00E424CB" w:rsidP="00E424CB">
      <w:pPr>
        <w:spacing w:after="120"/>
        <w:rPr>
          <w:rFonts w:ascii="Times New Roman" w:hAnsi="Times New Roman"/>
          <w:szCs w:val="24"/>
        </w:rPr>
      </w:pPr>
      <w:r w:rsidRPr="001E3D6C">
        <w:rPr>
          <w:rFonts w:ascii="Times New Roman" w:hAnsi="Times New Roman"/>
          <w:szCs w:val="24"/>
        </w:rPr>
        <w:t xml:space="preserve">The Commission is preparing specific provisions on trade and gender </w:t>
      </w:r>
      <w:r w:rsidRPr="00FE00CF">
        <w:rPr>
          <w:rFonts w:ascii="Times New Roman" w:hAnsi="Times New Roman"/>
          <w:szCs w:val="24"/>
        </w:rPr>
        <w:t>(</w:t>
      </w:r>
      <w:r>
        <w:rPr>
          <w:rFonts w:ascii="Times New Roman" w:hAnsi="Times New Roman"/>
          <w:b/>
          <w:szCs w:val="24"/>
        </w:rPr>
        <w:t>p</w:t>
      </w:r>
      <w:r w:rsidRPr="008919B4">
        <w:rPr>
          <w:rFonts w:ascii="Times New Roman" w:hAnsi="Times New Roman"/>
          <w:b/>
          <w:szCs w:val="24"/>
        </w:rPr>
        <w:t>aragraph</w:t>
      </w:r>
      <w:r>
        <w:rPr>
          <w:rFonts w:ascii="Times New Roman" w:hAnsi="Times New Roman"/>
          <w:b/>
          <w:szCs w:val="24"/>
        </w:rPr>
        <w:t>s</w:t>
      </w:r>
      <w:r w:rsidRPr="008919B4">
        <w:rPr>
          <w:rFonts w:ascii="Times New Roman" w:hAnsi="Times New Roman"/>
          <w:b/>
          <w:szCs w:val="24"/>
        </w:rPr>
        <w:t xml:space="preserve"> 2</w:t>
      </w:r>
      <w:r>
        <w:rPr>
          <w:rFonts w:ascii="Times New Roman" w:hAnsi="Times New Roman"/>
          <w:b/>
          <w:szCs w:val="24"/>
        </w:rPr>
        <w:t>6, 27, 30, 39 and 45</w:t>
      </w:r>
      <w:r w:rsidRPr="00FE00CF">
        <w:rPr>
          <w:rFonts w:ascii="Times New Roman" w:hAnsi="Times New Roman"/>
          <w:szCs w:val="24"/>
        </w:rPr>
        <w:t>)</w:t>
      </w:r>
      <w:r w:rsidRPr="001E3D6C">
        <w:rPr>
          <w:rFonts w:ascii="Times New Roman" w:hAnsi="Times New Roman"/>
          <w:szCs w:val="24"/>
        </w:rPr>
        <w:t xml:space="preserve"> </w:t>
      </w:r>
      <w:r>
        <w:rPr>
          <w:rFonts w:ascii="Times New Roman" w:hAnsi="Times New Roman"/>
          <w:szCs w:val="24"/>
        </w:rPr>
        <w:t xml:space="preserve">for </w:t>
      </w:r>
      <w:r w:rsidRPr="001E3D6C">
        <w:rPr>
          <w:rFonts w:ascii="Times New Roman" w:hAnsi="Times New Roman"/>
          <w:szCs w:val="24"/>
        </w:rPr>
        <w:t xml:space="preserve">the modernisation of the EU-Chile Association Agreement. </w:t>
      </w:r>
      <w:r>
        <w:rPr>
          <w:rFonts w:ascii="Times New Roman" w:hAnsi="Times New Roman"/>
          <w:szCs w:val="24"/>
        </w:rPr>
        <w:t>They</w:t>
      </w:r>
      <w:r w:rsidRPr="001E3D6C">
        <w:rPr>
          <w:rFonts w:ascii="Times New Roman" w:hAnsi="Times New Roman"/>
          <w:szCs w:val="24"/>
        </w:rPr>
        <w:t xml:space="preserve"> will help </w:t>
      </w:r>
      <w:r>
        <w:rPr>
          <w:rFonts w:ascii="Times New Roman" w:hAnsi="Times New Roman"/>
          <w:szCs w:val="24"/>
        </w:rPr>
        <w:t>to get</w:t>
      </w:r>
      <w:r w:rsidRPr="001E3D6C">
        <w:rPr>
          <w:rFonts w:ascii="Times New Roman" w:hAnsi="Times New Roman"/>
          <w:szCs w:val="24"/>
        </w:rPr>
        <w:t xml:space="preserve"> a better understanding of the constraints and opportunities faced by women in the trade arena and </w:t>
      </w:r>
      <w:r>
        <w:rPr>
          <w:rFonts w:ascii="Times New Roman" w:hAnsi="Times New Roman"/>
          <w:szCs w:val="24"/>
        </w:rPr>
        <w:t xml:space="preserve">to </w:t>
      </w:r>
      <w:r w:rsidRPr="001E3D6C">
        <w:rPr>
          <w:rFonts w:ascii="Times New Roman" w:hAnsi="Times New Roman"/>
          <w:szCs w:val="24"/>
        </w:rPr>
        <w:t>shar</w:t>
      </w:r>
      <w:r>
        <w:rPr>
          <w:rFonts w:ascii="Times New Roman" w:hAnsi="Times New Roman"/>
          <w:szCs w:val="24"/>
        </w:rPr>
        <w:t>e</w:t>
      </w:r>
      <w:r w:rsidRPr="001E3D6C">
        <w:rPr>
          <w:rFonts w:ascii="Times New Roman" w:hAnsi="Times New Roman"/>
          <w:szCs w:val="24"/>
        </w:rPr>
        <w:t xml:space="preserve"> best practices </w:t>
      </w:r>
      <w:r>
        <w:rPr>
          <w:rFonts w:ascii="Times New Roman" w:hAnsi="Times New Roman"/>
          <w:szCs w:val="24"/>
        </w:rPr>
        <w:t>on</w:t>
      </w:r>
      <w:r w:rsidRPr="001E3D6C">
        <w:rPr>
          <w:rFonts w:ascii="Times New Roman" w:hAnsi="Times New Roman"/>
          <w:szCs w:val="24"/>
        </w:rPr>
        <w:t xml:space="preserve"> facilitating women’s participation in international trade. </w:t>
      </w:r>
      <w:r>
        <w:rPr>
          <w:rFonts w:ascii="Times New Roman" w:hAnsi="Times New Roman"/>
          <w:szCs w:val="24"/>
        </w:rPr>
        <w:t xml:space="preserve">These provisions will include a </w:t>
      </w:r>
      <w:r w:rsidRPr="004C45D6">
        <w:rPr>
          <w:rFonts w:ascii="Times New Roman" w:hAnsi="Times New Roman"/>
          <w:szCs w:val="24"/>
        </w:rPr>
        <w:t>structured framework for cooperati</w:t>
      </w:r>
      <w:r>
        <w:rPr>
          <w:rFonts w:ascii="Times New Roman" w:hAnsi="Times New Roman"/>
          <w:szCs w:val="24"/>
        </w:rPr>
        <w:t>o</w:t>
      </w:r>
      <w:r w:rsidRPr="004C45D6">
        <w:rPr>
          <w:rFonts w:ascii="Times New Roman" w:hAnsi="Times New Roman"/>
          <w:szCs w:val="24"/>
        </w:rPr>
        <w:t>n</w:t>
      </w:r>
      <w:r>
        <w:rPr>
          <w:rFonts w:ascii="Times New Roman" w:hAnsi="Times New Roman"/>
          <w:szCs w:val="24"/>
        </w:rPr>
        <w:t xml:space="preserve">. </w:t>
      </w:r>
      <w:r w:rsidRPr="001E3D6C">
        <w:rPr>
          <w:rFonts w:ascii="Times New Roman" w:hAnsi="Times New Roman"/>
          <w:szCs w:val="24"/>
        </w:rPr>
        <w:t xml:space="preserve">They </w:t>
      </w:r>
      <w:proofErr w:type="gramStart"/>
      <w:r w:rsidRPr="001E3D6C">
        <w:rPr>
          <w:rFonts w:ascii="Times New Roman" w:hAnsi="Times New Roman"/>
          <w:szCs w:val="24"/>
        </w:rPr>
        <w:t>are also intended</w:t>
      </w:r>
      <w:proofErr w:type="gramEnd"/>
      <w:r w:rsidRPr="001E3D6C">
        <w:rPr>
          <w:rFonts w:ascii="Times New Roman" w:hAnsi="Times New Roman"/>
          <w:szCs w:val="24"/>
        </w:rPr>
        <w:t xml:space="preserve"> to promote the use of relevant international legal instruments on gender equality, such as the Convention on the Elimination of All Forms of Discrimination against Women.</w:t>
      </w:r>
      <w:r w:rsidRPr="00FE00CF">
        <w:rPr>
          <w:rFonts w:ascii="Times New Roman" w:hAnsi="Times New Roman"/>
          <w:szCs w:val="24"/>
        </w:rPr>
        <w:t xml:space="preserve"> </w:t>
      </w:r>
      <w:r w:rsidRPr="004C45D6">
        <w:rPr>
          <w:rFonts w:ascii="Times New Roman" w:hAnsi="Times New Roman"/>
          <w:szCs w:val="24"/>
        </w:rPr>
        <w:t>The Commission will keep the European Parliament informed about the development of the EU proposal for these provisions on trade and gender.</w:t>
      </w:r>
    </w:p>
    <w:p w:rsidR="00E424CB" w:rsidRPr="008919B4" w:rsidRDefault="00E424CB" w:rsidP="00E424CB">
      <w:pPr>
        <w:spacing w:after="120"/>
        <w:rPr>
          <w:rFonts w:ascii="Times New Roman" w:hAnsi="Times New Roman"/>
          <w:iCs/>
          <w:szCs w:val="24"/>
        </w:rPr>
      </w:pPr>
      <w:r>
        <w:rPr>
          <w:rFonts w:ascii="Times New Roman" w:hAnsi="Times New Roman"/>
          <w:iCs/>
          <w:szCs w:val="24"/>
        </w:rPr>
        <w:t>A</w:t>
      </w:r>
      <w:r w:rsidRPr="00D0446D">
        <w:rPr>
          <w:rFonts w:ascii="Times New Roman" w:hAnsi="Times New Roman"/>
          <w:iCs/>
          <w:szCs w:val="24"/>
        </w:rPr>
        <w:t xml:space="preserve">ll of the EU's recently negotiated trade agreements contain, in a specific chapter on Trade and Sustainable Development, commitments related to the </w:t>
      </w:r>
      <w:r>
        <w:rPr>
          <w:rFonts w:ascii="Times New Roman" w:hAnsi="Times New Roman"/>
          <w:iCs/>
          <w:szCs w:val="24"/>
        </w:rPr>
        <w:t xml:space="preserve">ratification and </w:t>
      </w:r>
      <w:r w:rsidRPr="00D0446D">
        <w:rPr>
          <w:rFonts w:ascii="Times New Roman" w:hAnsi="Times New Roman"/>
          <w:iCs/>
          <w:szCs w:val="24"/>
        </w:rPr>
        <w:t xml:space="preserve">implementation of fundamental </w:t>
      </w:r>
      <w:r>
        <w:rPr>
          <w:rFonts w:ascii="Times New Roman" w:hAnsi="Times New Roman"/>
          <w:iCs/>
          <w:szCs w:val="24"/>
        </w:rPr>
        <w:t>International Labour Organisation (</w:t>
      </w:r>
      <w:r w:rsidRPr="00D0446D">
        <w:rPr>
          <w:rFonts w:ascii="Times New Roman" w:hAnsi="Times New Roman"/>
          <w:iCs/>
          <w:szCs w:val="24"/>
        </w:rPr>
        <w:t>ILO</w:t>
      </w:r>
      <w:r>
        <w:rPr>
          <w:rFonts w:ascii="Times New Roman" w:hAnsi="Times New Roman"/>
          <w:iCs/>
          <w:szCs w:val="24"/>
        </w:rPr>
        <w:t>)</w:t>
      </w:r>
      <w:r w:rsidRPr="00D0446D">
        <w:rPr>
          <w:rFonts w:ascii="Times New Roman" w:hAnsi="Times New Roman"/>
          <w:iCs/>
          <w:szCs w:val="24"/>
        </w:rPr>
        <w:t xml:space="preserve"> conventions </w:t>
      </w:r>
      <w:r w:rsidRPr="00FE00CF">
        <w:rPr>
          <w:rFonts w:ascii="Times New Roman" w:hAnsi="Times New Roman"/>
          <w:iCs/>
          <w:szCs w:val="24"/>
        </w:rPr>
        <w:t>(</w:t>
      </w:r>
      <w:r w:rsidRPr="00D0446D">
        <w:rPr>
          <w:rFonts w:ascii="Times New Roman" w:hAnsi="Times New Roman"/>
          <w:b/>
          <w:iCs/>
          <w:szCs w:val="24"/>
        </w:rPr>
        <w:t>paragraph 31</w:t>
      </w:r>
      <w:r w:rsidRPr="00FE00CF">
        <w:rPr>
          <w:rFonts w:ascii="Times New Roman" w:hAnsi="Times New Roman"/>
          <w:iCs/>
          <w:szCs w:val="24"/>
        </w:rPr>
        <w:t>)</w:t>
      </w:r>
      <w:r>
        <w:rPr>
          <w:rFonts w:ascii="Times New Roman" w:hAnsi="Times New Roman"/>
          <w:iCs/>
          <w:szCs w:val="24"/>
        </w:rPr>
        <w:t>.</w:t>
      </w:r>
    </w:p>
    <w:p w:rsidR="00E424CB" w:rsidRDefault="00E424CB" w:rsidP="00E424CB">
      <w:pPr>
        <w:spacing w:after="120"/>
        <w:rPr>
          <w:rFonts w:ascii="Times New Roman" w:hAnsi="Times New Roman"/>
          <w:szCs w:val="24"/>
        </w:rPr>
      </w:pPr>
      <w:r w:rsidRPr="00CB6754">
        <w:rPr>
          <w:rFonts w:ascii="Times New Roman" w:hAnsi="Times New Roman"/>
          <w:szCs w:val="24"/>
        </w:rPr>
        <w:t xml:space="preserve">On the application of labour and environmental standards in Export Processing Zones (EPZs), the Commission includes </w:t>
      </w:r>
      <w:r>
        <w:rPr>
          <w:rFonts w:ascii="Times New Roman" w:hAnsi="Times New Roman"/>
          <w:szCs w:val="24"/>
        </w:rPr>
        <w:t xml:space="preserve">in its trade agreements mutual </w:t>
      </w:r>
      <w:r w:rsidRPr="00CB6754">
        <w:rPr>
          <w:rFonts w:ascii="Times New Roman" w:hAnsi="Times New Roman"/>
          <w:szCs w:val="24"/>
        </w:rPr>
        <w:t xml:space="preserve">commitments to respect ILO core labour standards and </w:t>
      </w:r>
      <w:r>
        <w:rPr>
          <w:rFonts w:ascii="Times New Roman" w:hAnsi="Times New Roman"/>
          <w:szCs w:val="24"/>
        </w:rPr>
        <w:t>m</w:t>
      </w:r>
      <w:r w:rsidRPr="00CB6754">
        <w:rPr>
          <w:rFonts w:ascii="Times New Roman" w:hAnsi="Times New Roman"/>
          <w:szCs w:val="24"/>
        </w:rPr>
        <w:t xml:space="preserve">ultilateral </w:t>
      </w:r>
      <w:r>
        <w:rPr>
          <w:rFonts w:ascii="Times New Roman" w:hAnsi="Times New Roman"/>
          <w:szCs w:val="24"/>
        </w:rPr>
        <w:t>e</w:t>
      </w:r>
      <w:r w:rsidRPr="00CB6754">
        <w:rPr>
          <w:rFonts w:ascii="Times New Roman" w:hAnsi="Times New Roman"/>
          <w:szCs w:val="24"/>
        </w:rPr>
        <w:t xml:space="preserve">nvironmental </w:t>
      </w:r>
      <w:r>
        <w:rPr>
          <w:rFonts w:ascii="Times New Roman" w:hAnsi="Times New Roman"/>
          <w:szCs w:val="24"/>
        </w:rPr>
        <w:t>a</w:t>
      </w:r>
      <w:r w:rsidRPr="00CB6754">
        <w:rPr>
          <w:rFonts w:ascii="Times New Roman" w:hAnsi="Times New Roman"/>
          <w:szCs w:val="24"/>
        </w:rPr>
        <w:t xml:space="preserve">greements. These international commitments </w:t>
      </w:r>
      <w:r>
        <w:rPr>
          <w:rFonts w:ascii="Times New Roman" w:hAnsi="Times New Roman"/>
          <w:szCs w:val="24"/>
        </w:rPr>
        <w:t>then</w:t>
      </w:r>
      <w:r w:rsidRPr="00CB6754">
        <w:rPr>
          <w:rFonts w:ascii="Times New Roman" w:hAnsi="Times New Roman"/>
          <w:szCs w:val="24"/>
        </w:rPr>
        <w:t xml:space="preserve"> apply throughout the territory of the Parties</w:t>
      </w:r>
      <w:r w:rsidRPr="00FE00CF">
        <w:rPr>
          <w:rFonts w:ascii="Times New Roman" w:hAnsi="Times New Roman"/>
          <w:szCs w:val="24"/>
        </w:rPr>
        <w:t xml:space="preserve"> (</w:t>
      </w:r>
      <w:r w:rsidRPr="00CB6754">
        <w:rPr>
          <w:rFonts w:ascii="Times New Roman" w:hAnsi="Times New Roman"/>
          <w:b/>
          <w:szCs w:val="24"/>
        </w:rPr>
        <w:t>paragraph 32</w:t>
      </w:r>
      <w:r w:rsidRPr="00FE00CF">
        <w:rPr>
          <w:rFonts w:ascii="Times New Roman" w:hAnsi="Times New Roman"/>
          <w:szCs w:val="24"/>
        </w:rPr>
        <w:t>)</w:t>
      </w:r>
      <w:r w:rsidRPr="00FA7F4C">
        <w:rPr>
          <w:rFonts w:ascii="Times New Roman" w:hAnsi="Times New Roman"/>
          <w:szCs w:val="24"/>
        </w:rPr>
        <w:t>.</w:t>
      </w:r>
    </w:p>
    <w:p w:rsidR="00E424CB" w:rsidRDefault="00E424CB" w:rsidP="00E424CB">
      <w:pPr>
        <w:spacing w:after="120"/>
        <w:rPr>
          <w:rFonts w:ascii="Times New Roman" w:hAnsi="Times New Roman"/>
          <w:szCs w:val="24"/>
        </w:rPr>
      </w:pPr>
      <w:r w:rsidRPr="00691864">
        <w:rPr>
          <w:rFonts w:ascii="Times New Roman" w:hAnsi="Times New Roman"/>
          <w:szCs w:val="24"/>
        </w:rPr>
        <w:t>T</w:t>
      </w:r>
      <w:r w:rsidRPr="00CB6754">
        <w:rPr>
          <w:rFonts w:ascii="Times New Roman" w:hAnsi="Times New Roman"/>
          <w:szCs w:val="24"/>
        </w:rPr>
        <w:t xml:space="preserve">he Commission notes that </w:t>
      </w:r>
      <w:r w:rsidRPr="00802775">
        <w:rPr>
          <w:rFonts w:ascii="Times New Roman" w:hAnsi="Times New Roman"/>
          <w:szCs w:val="24"/>
        </w:rPr>
        <w:t>Generalised Scheme of Preferences</w:t>
      </w:r>
      <w:r>
        <w:rPr>
          <w:rFonts w:ascii="Times New Roman" w:hAnsi="Times New Roman"/>
          <w:szCs w:val="24"/>
        </w:rPr>
        <w:t xml:space="preserve"> Plus (GSP+) beneficiary countries are obliged to effectively implement the </w:t>
      </w:r>
      <w:r w:rsidRPr="00CB6754">
        <w:rPr>
          <w:rFonts w:ascii="Times New Roman" w:hAnsi="Times New Roman"/>
          <w:szCs w:val="24"/>
        </w:rPr>
        <w:t xml:space="preserve">UN Convention on the Elimination of all </w:t>
      </w:r>
      <w:r w:rsidRPr="00CB6754">
        <w:rPr>
          <w:rFonts w:ascii="Times New Roman" w:hAnsi="Times New Roman"/>
          <w:szCs w:val="24"/>
        </w:rPr>
        <w:lastRenderedPageBreak/>
        <w:t xml:space="preserve">Forms of Discrimination Against Women, </w:t>
      </w:r>
      <w:r>
        <w:rPr>
          <w:rFonts w:ascii="Times New Roman" w:hAnsi="Times New Roman"/>
          <w:szCs w:val="24"/>
        </w:rPr>
        <w:t xml:space="preserve">as well as </w:t>
      </w:r>
      <w:r w:rsidRPr="00CB6754">
        <w:rPr>
          <w:rFonts w:ascii="Times New Roman" w:hAnsi="Times New Roman"/>
          <w:szCs w:val="24"/>
        </w:rPr>
        <w:t>ILO Convention N</w:t>
      </w:r>
      <w:r>
        <w:rPr>
          <w:rFonts w:ascii="Times New Roman" w:hAnsi="Times New Roman"/>
          <w:szCs w:val="24"/>
        </w:rPr>
        <w:t>°</w:t>
      </w:r>
      <w:r w:rsidRPr="00CB6754">
        <w:rPr>
          <w:rFonts w:ascii="Times New Roman" w:hAnsi="Times New Roman"/>
          <w:szCs w:val="24"/>
        </w:rPr>
        <w:t xml:space="preserve"> 100 </w:t>
      </w:r>
      <w:r>
        <w:rPr>
          <w:rFonts w:ascii="Times New Roman" w:hAnsi="Times New Roman"/>
          <w:szCs w:val="24"/>
        </w:rPr>
        <w:t xml:space="preserve">on </w:t>
      </w:r>
      <w:r w:rsidRPr="007E18EE">
        <w:rPr>
          <w:rFonts w:ascii="Times New Roman" w:hAnsi="Times New Roman"/>
          <w:szCs w:val="24"/>
        </w:rPr>
        <w:t xml:space="preserve">equal remuneration </w:t>
      </w:r>
      <w:r w:rsidRPr="00CB6754">
        <w:rPr>
          <w:rFonts w:ascii="Times New Roman" w:hAnsi="Times New Roman"/>
          <w:szCs w:val="24"/>
        </w:rPr>
        <w:t>and ILO Convention N</w:t>
      </w:r>
      <w:r>
        <w:rPr>
          <w:rFonts w:ascii="Times New Roman" w:hAnsi="Times New Roman"/>
          <w:szCs w:val="24"/>
        </w:rPr>
        <w:t>°</w:t>
      </w:r>
      <w:r w:rsidRPr="00CB6754">
        <w:rPr>
          <w:rFonts w:ascii="Times New Roman" w:hAnsi="Times New Roman"/>
          <w:szCs w:val="24"/>
        </w:rPr>
        <w:t xml:space="preserve"> 111 </w:t>
      </w:r>
      <w:r w:rsidRPr="007E18EE">
        <w:rPr>
          <w:rFonts w:ascii="Times New Roman" w:hAnsi="Times New Roman"/>
          <w:szCs w:val="24"/>
        </w:rPr>
        <w:t xml:space="preserve">concerning non-discrimination </w:t>
      </w:r>
      <w:r>
        <w:rPr>
          <w:rFonts w:ascii="Times New Roman" w:hAnsi="Times New Roman"/>
          <w:szCs w:val="24"/>
        </w:rPr>
        <w:t>in the respect of employment</w:t>
      </w:r>
      <w:r w:rsidRPr="00A65B1C">
        <w:rPr>
          <w:rFonts w:ascii="Times New Roman" w:hAnsi="Times New Roman"/>
          <w:szCs w:val="24"/>
        </w:rPr>
        <w:t xml:space="preserve"> </w:t>
      </w:r>
      <w:r>
        <w:rPr>
          <w:rFonts w:ascii="Times New Roman" w:hAnsi="Times New Roman"/>
          <w:szCs w:val="24"/>
        </w:rPr>
        <w:t xml:space="preserve">among other </w:t>
      </w:r>
      <w:r w:rsidRPr="00CB6754">
        <w:rPr>
          <w:rFonts w:ascii="Times New Roman" w:hAnsi="Times New Roman"/>
          <w:szCs w:val="24"/>
        </w:rPr>
        <w:t>core human and labour rights conventions</w:t>
      </w:r>
      <w:r>
        <w:rPr>
          <w:rFonts w:ascii="Times New Roman" w:hAnsi="Times New Roman"/>
          <w:szCs w:val="24"/>
        </w:rPr>
        <w:t>. Moreover, standard Generalised Scheme of Preferences (</w:t>
      </w:r>
      <w:r w:rsidRPr="00CB6754">
        <w:rPr>
          <w:rFonts w:ascii="Times New Roman" w:hAnsi="Times New Roman"/>
          <w:szCs w:val="24"/>
        </w:rPr>
        <w:t>GSP</w:t>
      </w:r>
      <w:r>
        <w:rPr>
          <w:rFonts w:ascii="Times New Roman" w:hAnsi="Times New Roman"/>
          <w:szCs w:val="24"/>
        </w:rPr>
        <w:t xml:space="preserve">) and </w:t>
      </w:r>
      <w:r w:rsidRPr="00CB6754">
        <w:rPr>
          <w:rFonts w:ascii="Times New Roman" w:hAnsi="Times New Roman"/>
          <w:szCs w:val="24"/>
        </w:rPr>
        <w:t>E</w:t>
      </w:r>
      <w:r>
        <w:rPr>
          <w:rFonts w:ascii="Times New Roman" w:hAnsi="Times New Roman"/>
          <w:szCs w:val="24"/>
        </w:rPr>
        <w:t>verything-</w:t>
      </w:r>
      <w:r w:rsidRPr="00CB6754">
        <w:rPr>
          <w:rFonts w:ascii="Times New Roman" w:hAnsi="Times New Roman"/>
          <w:szCs w:val="24"/>
        </w:rPr>
        <w:t>B</w:t>
      </w:r>
      <w:r>
        <w:rPr>
          <w:rFonts w:ascii="Times New Roman" w:hAnsi="Times New Roman"/>
          <w:szCs w:val="24"/>
        </w:rPr>
        <w:t>ut-</w:t>
      </w:r>
      <w:r w:rsidRPr="00CB6754">
        <w:rPr>
          <w:rFonts w:ascii="Times New Roman" w:hAnsi="Times New Roman"/>
          <w:szCs w:val="24"/>
        </w:rPr>
        <w:t>A</w:t>
      </w:r>
      <w:r>
        <w:rPr>
          <w:rFonts w:ascii="Times New Roman" w:hAnsi="Times New Roman"/>
          <w:szCs w:val="24"/>
        </w:rPr>
        <w:t xml:space="preserve">rms (EBA) </w:t>
      </w:r>
      <w:r w:rsidRPr="00CB6754">
        <w:rPr>
          <w:rFonts w:ascii="Times New Roman" w:hAnsi="Times New Roman"/>
          <w:szCs w:val="24"/>
        </w:rPr>
        <w:t>beneficiary countries</w:t>
      </w:r>
      <w:r>
        <w:rPr>
          <w:rFonts w:ascii="Times New Roman" w:hAnsi="Times New Roman"/>
          <w:szCs w:val="24"/>
        </w:rPr>
        <w:t xml:space="preserve"> preferences </w:t>
      </w:r>
      <w:proofErr w:type="gramStart"/>
      <w:r>
        <w:rPr>
          <w:rFonts w:ascii="Times New Roman" w:hAnsi="Times New Roman"/>
          <w:szCs w:val="24"/>
        </w:rPr>
        <w:t>can be withdrawn</w:t>
      </w:r>
      <w:proofErr w:type="gramEnd"/>
      <w:r>
        <w:rPr>
          <w:rFonts w:ascii="Times New Roman" w:hAnsi="Times New Roman"/>
          <w:szCs w:val="24"/>
        </w:rPr>
        <w:t xml:space="preserve"> in case of serious and systematic violation of those conventions </w:t>
      </w:r>
      <w:r w:rsidRPr="00FE00CF">
        <w:rPr>
          <w:rFonts w:ascii="Times New Roman" w:hAnsi="Times New Roman"/>
          <w:iCs/>
          <w:szCs w:val="24"/>
        </w:rPr>
        <w:t>(</w:t>
      </w:r>
      <w:r w:rsidRPr="00D0446D">
        <w:rPr>
          <w:rFonts w:ascii="Times New Roman" w:hAnsi="Times New Roman"/>
          <w:b/>
          <w:iCs/>
          <w:szCs w:val="24"/>
        </w:rPr>
        <w:t>paragraph 3</w:t>
      </w:r>
      <w:r>
        <w:rPr>
          <w:rFonts w:ascii="Times New Roman" w:hAnsi="Times New Roman"/>
          <w:b/>
          <w:iCs/>
          <w:szCs w:val="24"/>
        </w:rPr>
        <w:t>3</w:t>
      </w:r>
      <w:r w:rsidRPr="00FE00CF">
        <w:rPr>
          <w:rFonts w:ascii="Times New Roman" w:hAnsi="Times New Roman"/>
          <w:iCs/>
          <w:szCs w:val="24"/>
        </w:rPr>
        <w:t>)</w:t>
      </w:r>
      <w:r w:rsidRPr="00CB6754">
        <w:rPr>
          <w:rFonts w:ascii="Times New Roman" w:hAnsi="Times New Roman"/>
          <w:szCs w:val="24"/>
        </w:rPr>
        <w:t>.</w:t>
      </w:r>
    </w:p>
    <w:p w:rsidR="00E424CB" w:rsidRDefault="00E424CB" w:rsidP="00E424CB">
      <w:pPr>
        <w:spacing w:after="120"/>
        <w:rPr>
          <w:rFonts w:ascii="Times New Roman" w:hAnsi="Times New Roman"/>
          <w:szCs w:val="24"/>
        </w:rPr>
      </w:pPr>
      <w:r w:rsidRPr="002E2331">
        <w:rPr>
          <w:rFonts w:ascii="Times New Roman" w:hAnsi="Times New Roman"/>
          <w:szCs w:val="24"/>
        </w:rPr>
        <w:t xml:space="preserve">Commission services and the EEAS continuously and systematically monitor the compliance of beneficiaries with their obligations under GSP+, which include the effective implementation of the GSP+ relevant human rights conventions, labour rights conventions and conventions on environmental protection and good governance. Based on available reports from international monitoring bodies, such as the UN and the ILO, and other reliable and accurate information, the Commission raises the most salient shortcomings with GSP+ beneficiaries. Non-compliance with GSP+ conditions </w:t>
      </w:r>
      <w:proofErr w:type="gramStart"/>
      <w:r>
        <w:rPr>
          <w:rFonts w:ascii="Times New Roman" w:hAnsi="Times New Roman"/>
          <w:szCs w:val="24"/>
        </w:rPr>
        <w:t xml:space="preserve">is </w:t>
      </w:r>
      <w:r w:rsidRPr="002E2331">
        <w:rPr>
          <w:rFonts w:ascii="Times New Roman" w:hAnsi="Times New Roman"/>
          <w:szCs w:val="24"/>
        </w:rPr>
        <w:t>thus addressed</w:t>
      </w:r>
      <w:proofErr w:type="gramEnd"/>
      <w:r w:rsidRPr="002E2331">
        <w:rPr>
          <w:rFonts w:ascii="Times New Roman" w:hAnsi="Times New Roman"/>
          <w:szCs w:val="24"/>
        </w:rPr>
        <w:t xml:space="preserve"> via various channels, including bilateral dialogues, scorecard exercise</w:t>
      </w:r>
      <w:r>
        <w:rPr>
          <w:rFonts w:ascii="Times New Roman" w:hAnsi="Times New Roman"/>
          <w:szCs w:val="24"/>
        </w:rPr>
        <w:t>s</w:t>
      </w:r>
      <w:r w:rsidRPr="002E2331">
        <w:rPr>
          <w:rFonts w:ascii="Times New Roman" w:hAnsi="Times New Roman"/>
          <w:szCs w:val="24"/>
        </w:rPr>
        <w:t xml:space="preserve"> (list</w:t>
      </w:r>
      <w:r>
        <w:rPr>
          <w:rFonts w:ascii="Times New Roman" w:hAnsi="Times New Roman"/>
          <w:szCs w:val="24"/>
        </w:rPr>
        <w:t>s</w:t>
      </w:r>
      <w:r w:rsidRPr="002E2331">
        <w:rPr>
          <w:rFonts w:ascii="Times New Roman" w:hAnsi="Times New Roman"/>
          <w:szCs w:val="24"/>
        </w:rPr>
        <w:t xml:space="preserve"> of issues) and monitoring visits. For all GSP arrangements, the GSP Regulation </w:t>
      </w:r>
      <w:r>
        <w:rPr>
          <w:rFonts w:ascii="Times New Roman" w:hAnsi="Times New Roman"/>
          <w:szCs w:val="24"/>
        </w:rPr>
        <w:t>(</w:t>
      </w:r>
      <w:r w:rsidRPr="00FD6AB7">
        <w:rPr>
          <w:rFonts w:ascii="Times New Roman" w:hAnsi="Times New Roman"/>
          <w:szCs w:val="24"/>
        </w:rPr>
        <w:t>N</w:t>
      </w:r>
      <w:r>
        <w:rPr>
          <w:rFonts w:ascii="Times New Roman" w:hAnsi="Times New Roman"/>
          <w:szCs w:val="24"/>
        </w:rPr>
        <w:t>°</w:t>
      </w:r>
      <w:r w:rsidRPr="00FD6AB7">
        <w:rPr>
          <w:rFonts w:ascii="Times New Roman" w:hAnsi="Times New Roman"/>
          <w:szCs w:val="24"/>
        </w:rPr>
        <w:t xml:space="preserve"> 978/2012</w:t>
      </w:r>
      <w:r>
        <w:rPr>
          <w:rFonts w:ascii="Times New Roman" w:hAnsi="Times New Roman"/>
          <w:szCs w:val="24"/>
        </w:rPr>
        <w:t>)</w:t>
      </w:r>
      <w:r w:rsidRPr="00FD6AB7">
        <w:rPr>
          <w:rFonts w:ascii="Times New Roman" w:hAnsi="Times New Roman"/>
          <w:szCs w:val="24"/>
        </w:rPr>
        <w:t xml:space="preserve"> </w:t>
      </w:r>
      <w:r w:rsidRPr="002E2331">
        <w:rPr>
          <w:rFonts w:ascii="Times New Roman" w:hAnsi="Times New Roman"/>
          <w:szCs w:val="24"/>
        </w:rPr>
        <w:t xml:space="preserve">foresees procedures in case of </w:t>
      </w:r>
      <w:r>
        <w:rPr>
          <w:rFonts w:ascii="Times New Roman" w:hAnsi="Times New Roman"/>
          <w:szCs w:val="24"/>
        </w:rPr>
        <w:t xml:space="preserve">a </w:t>
      </w:r>
      <w:r w:rsidRPr="002E2331">
        <w:rPr>
          <w:rFonts w:ascii="Times New Roman" w:hAnsi="Times New Roman"/>
          <w:szCs w:val="24"/>
        </w:rPr>
        <w:t>serious and systematic violation of the fundamental human rights and labour rights conventions.</w:t>
      </w:r>
    </w:p>
    <w:p w:rsidR="00E424CB" w:rsidRPr="002E2331" w:rsidRDefault="00E424CB" w:rsidP="00E424CB">
      <w:pPr>
        <w:spacing w:after="120"/>
        <w:rPr>
          <w:rFonts w:ascii="Times New Roman" w:hAnsi="Times New Roman"/>
          <w:szCs w:val="24"/>
        </w:rPr>
      </w:pPr>
      <w:r w:rsidRPr="002E2331">
        <w:rPr>
          <w:rFonts w:ascii="Times New Roman" w:hAnsi="Times New Roman"/>
          <w:szCs w:val="24"/>
        </w:rPr>
        <w:t>In January 2018</w:t>
      </w:r>
      <w:r>
        <w:rPr>
          <w:rFonts w:ascii="Times New Roman" w:hAnsi="Times New Roman"/>
          <w:szCs w:val="24"/>
        </w:rPr>
        <w:t>,</w:t>
      </w:r>
      <w:r w:rsidRPr="002E2331">
        <w:rPr>
          <w:rFonts w:ascii="Times New Roman" w:hAnsi="Times New Roman"/>
          <w:szCs w:val="24"/>
        </w:rPr>
        <w:t xml:space="preserve"> the Commission published the Report on the Generalised Scheme of Preferences covering the period 2016-2017</w:t>
      </w:r>
      <w:r>
        <w:rPr>
          <w:rFonts w:ascii="Times New Roman" w:hAnsi="Times New Roman"/>
          <w:szCs w:val="24"/>
        </w:rPr>
        <w:t xml:space="preserve"> (</w:t>
      </w:r>
      <w:proofErr w:type="gramStart"/>
      <w:r w:rsidRPr="00FD6AB7">
        <w:rPr>
          <w:rFonts w:ascii="Times New Roman" w:hAnsi="Times New Roman"/>
          <w:szCs w:val="24"/>
        </w:rPr>
        <w:t>COM(</w:t>
      </w:r>
      <w:proofErr w:type="gramEnd"/>
      <w:r w:rsidRPr="00FD6AB7">
        <w:rPr>
          <w:rFonts w:ascii="Times New Roman" w:hAnsi="Times New Roman"/>
          <w:szCs w:val="24"/>
        </w:rPr>
        <w:t>2018) 36</w:t>
      </w:r>
      <w:r>
        <w:rPr>
          <w:rFonts w:ascii="Times New Roman" w:hAnsi="Times New Roman"/>
          <w:szCs w:val="24"/>
        </w:rPr>
        <w:t>)</w:t>
      </w:r>
      <w:r w:rsidRPr="002E2331">
        <w:rPr>
          <w:rFonts w:ascii="Times New Roman" w:hAnsi="Times New Roman"/>
          <w:szCs w:val="24"/>
        </w:rPr>
        <w:t xml:space="preserve">. The GSP mid-term review is currently </w:t>
      </w:r>
      <w:proofErr w:type="gramStart"/>
      <w:r w:rsidRPr="002E2331">
        <w:rPr>
          <w:rFonts w:ascii="Times New Roman" w:hAnsi="Times New Roman"/>
          <w:szCs w:val="24"/>
        </w:rPr>
        <w:t>on-going</w:t>
      </w:r>
      <w:proofErr w:type="gramEnd"/>
      <w:r w:rsidRPr="002E2331">
        <w:rPr>
          <w:rFonts w:ascii="Times New Roman" w:hAnsi="Times New Roman"/>
          <w:szCs w:val="24"/>
        </w:rPr>
        <w:t xml:space="preserve"> and will present an in-depth quantitative and qualitative assessment of the economic, social, environmental and human rights impact </w:t>
      </w:r>
      <w:r>
        <w:rPr>
          <w:rFonts w:ascii="Times New Roman" w:hAnsi="Times New Roman"/>
          <w:szCs w:val="24"/>
        </w:rPr>
        <w:t xml:space="preserve">in order </w:t>
      </w:r>
      <w:r w:rsidRPr="002E2331">
        <w:rPr>
          <w:rFonts w:ascii="Times New Roman" w:hAnsi="Times New Roman"/>
          <w:szCs w:val="24"/>
        </w:rPr>
        <w:t>to assess whether the 2012 reformed GSP Regulation is on track to achieve its objectives. It would therefore be premature at this stage to refer to possible changes to the GSP Regulation. The Commission takes the view that any potential new GSP Regulation should not backtrack on the current standards as covered by the conventions in Annex VIII of the GSP Regulation</w:t>
      </w:r>
      <w:r>
        <w:rPr>
          <w:rFonts w:ascii="Times New Roman" w:hAnsi="Times New Roman"/>
          <w:szCs w:val="24"/>
        </w:rPr>
        <w:t>.</w:t>
      </w:r>
    </w:p>
    <w:p w:rsidR="00E424CB" w:rsidRDefault="00E424CB" w:rsidP="00E424CB">
      <w:pPr>
        <w:spacing w:after="120"/>
        <w:rPr>
          <w:rFonts w:ascii="Times New Roman" w:hAnsi="Times New Roman"/>
          <w:szCs w:val="24"/>
        </w:rPr>
      </w:pPr>
      <w:r>
        <w:rPr>
          <w:rFonts w:ascii="Times New Roman" w:hAnsi="Times New Roman"/>
          <w:szCs w:val="24"/>
        </w:rPr>
        <w:t>T</w:t>
      </w:r>
      <w:r w:rsidRPr="003E1B11">
        <w:rPr>
          <w:rFonts w:ascii="Times New Roman" w:hAnsi="Times New Roman"/>
          <w:szCs w:val="24"/>
        </w:rPr>
        <w:t xml:space="preserve">he EU actively supported the adoption of the Joint Declaration on Trade and Women's Economic Empowerment </w:t>
      </w:r>
      <w:proofErr w:type="gramStart"/>
      <w:r w:rsidRPr="003E1B11">
        <w:rPr>
          <w:rFonts w:ascii="Times New Roman" w:hAnsi="Times New Roman"/>
          <w:szCs w:val="24"/>
        </w:rPr>
        <w:t xml:space="preserve">on the </w:t>
      </w:r>
      <w:r>
        <w:rPr>
          <w:rFonts w:ascii="Times New Roman" w:hAnsi="Times New Roman"/>
          <w:szCs w:val="24"/>
        </w:rPr>
        <w:t>o</w:t>
      </w:r>
      <w:r w:rsidRPr="003E1B11">
        <w:rPr>
          <w:rFonts w:ascii="Times New Roman" w:hAnsi="Times New Roman"/>
          <w:szCs w:val="24"/>
        </w:rPr>
        <w:t>ccasion of</w:t>
      </w:r>
      <w:proofErr w:type="gramEnd"/>
      <w:r w:rsidRPr="003E1B11">
        <w:rPr>
          <w:rFonts w:ascii="Times New Roman" w:hAnsi="Times New Roman"/>
          <w:szCs w:val="24"/>
        </w:rPr>
        <w:t xml:space="preserve"> the WTO Ministerial Conference in Buenos Aires in December 2017</w:t>
      </w:r>
      <w:r>
        <w:rPr>
          <w:rFonts w:ascii="Times New Roman" w:hAnsi="Times New Roman"/>
          <w:szCs w:val="24"/>
        </w:rPr>
        <w:t xml:space="preserve"> </w:t>
      </w:r>
      <w:r w:rsidRPr="00FE00CF">
        <w:rPr>
          <w:rFonts w:ascii="Times New Roman" w:hAnsi="Times New Roman"/>
          <w:szCs w:val="24"/>
        </w:rPr>
        <w:t>(</w:t>
      </w:r>
      <w:r w:rsidRPr="003E1B11">
        <w:rPr>
          <w:rFonts w:ascii="Times New Roman" w:hAnsi="Times New Roman"/>
          <w:b/>
          <w:szCs w:val="24"/>
        </w:rPr>
        <w:t>paragraph</w:t>
      </w:r>
      <w:r>
        <w:rPr>
          <w:rFonts w:ascii="Times New Roman" w:hAnsi="Times New Roman"/>
          <w:b/>
          <w:szCs w:val="24"/>
        </w:rPr>
        <w:t>s</w:t>
      </w:r>
      <w:r w:rsidRPr="003E1B11">
        <w:rPr>
          <w:rFonts w:ascii="Times New Roman" w:hAnsi="Times New Roman"/>
          <w:b/>
          <w:szCs w:val="24"/>
        </w:rPr>
        <w:t xml:space="preserve"> 34</w:t>
      </w:r>
      <w:r>
        <w:rPr>
          <w:rFonts w:ascii="Times New Roman" w:hAnsi="Times New Roman"/>
          <w:b/>
          <w:szCs w:val="24"/>
        </w:rPr>
        <w:t xml:space="preserve"> and 35</w:t>
      </w:r>
      <w:r w:rsidRPr="00FE00CF">
        <w:rPr>
          <w:rFonts w:ascii="Times New Roman" w:hAnsi="Times New Roman"/>
          <w:szCs w:val="24"/>
        </w:rPr>
        <w:t>)</w:t>
      </w:r>
      <w:r w:rsidRPr="003E1B11">
        <w:rPr>
          <w:rFonts w:ascii="Times New Roman" w:hAnsi="Times New Roman"/>
          <w:szCs w:val="24"/>
        </w:rPr>
        <w:t xml:space="preserve">. The Declaration seeks to remove barriers to, and foster, women’s economic empowerment. The Commission </w:t>
      </w:r>
      <w:r>
        <w:rPr>
          <w:rFonts w:ascii="Times New Roman" w:hAnsi="Times New Roman"/>
          <w:szCs w:val="24"/>
        </w:rPr>
        <w:t xml:space="preserve">will contribute to the </w:t>
      </w:r>
      <w:r w:rsidRPr="003E1B11">
        <w:rPr>
          <w:rFonts w:ascii="Times New Roman" w:hAnsi="Times New Roman"/>
          <w:szCs w:val="24"/>
        </w:rPr>
        <w:t xml:space="preserve">follow-up </w:t>
      </w:r>
      <w:r>
        <w:rPr>
          <w:rFonts w:ascii="Times New Roman" w:hAnsi="Times New Roman"/>
          <w:szCs w:val="24"/>
        </w:rPr>
        <w:t xml:space="preserve">to the Declaration through several </w:t>
      </w:r>
      <w:r w:rsidRPr="003E1B11">
        <w:rPr>
          <w:rFonts w:ascii="Times New Roman" w:hAnsi="Times New Roman"/>
          <w:szCs w:val="24"/>
        </w:rPr>
        <w:t>actions, such as organising workshops, collecting data on women</w:t>
      </w:r>
      <w:r>
        <w:rPr>
          <w:rFonts w:ascii="Times New Roman" w:hAnsi="Times New Roman"/>
          <w:szCs w:val="24"/>
        </w:rPr>
        <w:t>'s</w:t>
      </w:r>
      <w:r w:rsidRPr="003E1B11">
        <w:rPr>
          <w:rFonts w:ascii="Times New Roman" w:hAnsi="Times New Roman"/>
          <w:szCs w:val="24"/>
        </w:rPr>
        <w:t xml:space="preserve"> participation in international trade and applying a gender perspective to trade-related technical assistance. The Commission is keen to cooperate with the European Parliament and Member States </w:t>
      </w:r>
      <w:r>
        <w:rPr>
          <w:rFonts w:ascii="Times New Roman" w:hAnsi="Times New Roman"/>
          <w:szCs w:val="24"/>
        </w:rPr>
        <w:t>o</w:t>
      </w:r>
      <w:r w:rsidRPr="003E1B11">
        <w:rPr>
          <w:rFonts w:ascii="Times New Roman" w:hAnsi="Times New Roman"/>
          <w:szCs w:val="24"/>
        </w:rPr>
        <w:t xml:space="preserve">n organising follow-up activities to the Declaration. Furthermore, the Commission started raising gender equality issues more systematically </w:t>
      </w:r>
      <w:r w:rsidRPr="008F50DF">
        <w:rPr>
          <w:rFonts w:ascii="Times New Roman" w:hAnsi="Times New Roman"/>
          <w:szCs w:val="24"/>
        </w:rPr>
        <w:t xml:space="preserve">both </w:t>
      </w:r>
      <w:proofErr w:type="gramStart"/>
      <w:r>
        <w:rPr>
          <w:rFonts w:ascii="Times New Roman" w:hAnsi="Times New Roman"/>
          <w:szCs w:val="24"/>
        </w:rPr>
        <w:t>on the</w:t>
      </w:r>
      <w:r w:rsidRPr="008F50DF">
        <w:rPr>
          <w:rFonts w:ascii="Times New Roman" w:hAnsi="Times New Roman"/>
          <w:szCs w:val="24"/>
        </w:rPr>
        <w:t xml:space="preserve"> occasion of</w:t>
      </w:r>
      <w:proofErr w:type="gramEnd"/>
      <w:r w:rsidRPr="008F50DF">
        <w:rPr>
          <w:rFonts w:ascii="Times New Roman" w:hAnsi="Times New Roman"/>
          <w:szCs w:val="24"/>
        </w:rPr>
        <w:t xml:space="preserve"> its own WTO Trade Policy Review, </w:t>
      </w:r>
      <w:r>
        <w:rPr>
          <w:rFonts w:ascii="Times New Roman" w:hAnsi="Times New Roman"/>
          <w:szCs w:val="24"/>
        </w:rPr>
        <w:t>presented</w:t>
      </w:r>
      <w:r w:rsidRPr="008F50DF">
        <w:rPr>
          <w:rFonts w:ascii="Times New Roman" w:hAnsi="Times New Roman"/>
          <w:szCs w:val="24"/>
        </w:rPr>
        <w:t xml:space="preserve"> in July</w:t>
      </w:r>
      <w:r>
        <w:rPr>
          <w:rFonts w:ascii="Times New Roman" w:hAnsi="Times New Roman"/>
          <w:szCs w:val="24"/>
        </w:rPr>
        <w:t> </w:t>
      </w:r>
      <w:r w:rsidRPr="008F50DF">
        <w:rPr>
          <w:rFonts w:ascii="Times New Roman" w:hAnsi="Times New Roman"/>
          <w:szCs w:val="24"/>
        </w:rPr>
        <w:t>2017</w:t>
      </w:r>
      <w:r>
        <w:rPr>
          <w:rFonts w:ascii="Times New Roman" w:hAnsi="Times New Roman"/>
          <w:szCs w:val="24"/>
        </w:rPr>
        <w:t>,</w:t>
      </w:r>
      <w:r w:rsidRPr="008F50DF">
        <w:rPr>
          <w:rFonts w:ascii="Times New Roman" w:hAnsi="Times New Roman"/>
          <w:szCs w:val="24"/>
        </w:rPr>
        <w:t xml:space="preserve"> </w:t>
      </w:r>
      <w:r>
        <w:rPr>
          <w:rFonts w:ascii="Times New Roman" w:hAnsi="Times New Roman"/>
          <w:szCs w:val="24"/>
        </w:rPr>
        <w:t>and</w:t>
      </w:r>
      <w:r w:rsidRPr="008F50DF">
        <w:rPr>
          <w:rFonts w:ascii="Times New Roman" w:hAnsi="Times New Roman"/>
          <w:szCs w:val="24"/>
        </w:rPr>
        <w:t xml:space="preserve"> in the recent Trade Policy Revie</w:t>
      </w:r>
      <w:r>
        <w:rPr>
          <w:rFonts w:ascii="Times New Roman" w:hAnsi="Times New Roman"/>
          <w:szCs w:val="24"/>
        </w:rPr>
        <w:t>ws of WTO Members</w:t>
      </w:r>
      <w:r w:rsidRPr="003E1B11">
        <w:rPr>
          <w:rFonts w:ascii="Times New Roman" w:hAnsi="Times New Roman"/>
          <w:szCs w:val="24"/>
        </w:rPr>
        <w:t>.</w:t>
      </w:r>
    </w:p>
    <w:p w:rsidR="00E424CB" w:rsidRDefault="00E424CB" w:rsidP="00E424CB">
      <w:pPr>
        <w:spacing w:after="120"/>
        <w:rPr>
          <w:rFonts w:ascii="Times New Roman" w:hAnsi="Times New Roman"/>
          <w:szCs w:val="24"/>
        </w:rPr>
      </w:pPr>
      <w:r w:rsidRPr="001E3D6C">
        <w:rPr>
          <w:rFonts w:ascii="Times New Roman" w:hAnsi="Times New Roman"/>
          <w:szCs w:val="24"/>
        </w:rPr>
        <w:t>The Commission agrees with the European Parliament that transparency in trade negotiations is essential to ensure the legitimacy of EU trade policy and public trust</w:t>
      </w:r>
      <w:r>
        <w:rPr>
          <w:rFonts w:ascii="Times New Roman" w:hAnsi="Times New Roman"/>
          <w:szCs w:val="24"/>
        </w:rPr>
        <w:t xml:space="preserve"> </w:t>
      </w:r>
      <w:r w:rsidRPr="00FE00CF">
        <w:rPr>
          <w:rFonts w:ascii="Times New Roman" w:hAnsi="Times New Roman"/>
          <w:szCs w:val="24"/>
        </w:rPr>
        <w:t>(</w:t>
      </w:r>
      <w:r w:rsidRPr="001E3D6C">
        <w:rPr>
          <w:rFonts w:ascii="Times New Roman" w:hAnsi="Times New Roman"/>
          <w:b/>
          <w:szCs w:val="24"/>
        </w:rPr>
        <w:t>paragraph 40</w:t>
      </w:r>
      <w:r w:rsidRPr="00FE00CF">
        <w:rPr>
          <w:rFonts w:ascii="Times New Roman" w:hAnsi="Times New Roman"/>
          <w:szCs w:val="24"/>
        </w:rPr>
        <w:t>)</w:t>
      </w:r>
      <w:r w:rsidRPr="001E3D6C">
        <w:rPr>
          <w:rFonts w:ascii="Times New Roman" w:hAnsi="Times New Roman"/>
          <w:szCs w:val="24"/>
        </w:rPr>
        <w:t>.</w:t>
      </w:r>
      <w:r>
        <w:rPr>
          <w:rFonts w:ascii="Times New Roman" w:hAnsi="Times New Roman"/>
          <w:szCs w:val="24"/>
        </w:rPr>
        <w:t xml:space="preserve"> </w:t>
      </w:r>
      <w:r w:rsidRPr="001E3D6C">
        <w:rPr>
          <w:rFonts w:ascii="Times New Roman" w:hAnsi="Times New Roman"/>
          <w:szCs w:val="24"/>
        </w:rPr>
        <w:t>This Commission</w:t>
      </w:r>
      <w:r>
        <w:rPr>
          <w:rFonts w:ascii="Times New Roman" w:hAnsi="Times New Roman"/>
          <w:szCs w:val="24"/>
        </w:rPr>
        <w:t xml:space="preserve"> </w:t>
      </w:r>
      <w:r w:rsidRPr="001E3D6C">
        <w:rPr>
          <w:rFonts w:ascii="Times New Roman" w:hAnsi="Times New Roman"/>
          <w:szCs w:val="24"/>
        </w:rPr>
        <w:t>has taken big leaps forward to make trade policy more transparent and inclusive</w:t>
      </w:r>
      <w:r>
        <w:rPr>
          <w:rFonts w:ascii="Times New Roman" w:hAnsi="Times New Roman"/>
          <w:szCs w:val="24"/>
        </w:rPr>
        <w:t xml:space="preserve"> since taking office in November 2014. </w:t>
      </w:r>
      <w:r w:rsidRPr="001E3D6C">
        <w:rPr>
          <w:rFonts w:ascii="Times New Roman" w:hAnsi="Times New Roman"/>
          <w:szCs w:val="24"/>
        </w:rPr>
        <w:t xml:space="preserve">As part of the commitments taken in </w:t>
      </w:r>
      <w:r>
        <w:rPr>
          <w:rFonts w:ascii="Times New Roman" w:hAnsi="Times New Roman"/>
          <w:szCs w:val="24"/>
        </w:rPr>
        <w:t>the</w:t>
      </w:r>
      <w:r w:rsidRPr="001E3D6C">
        <w:rPr>
          <w:rFonts w:ascii="Times New Roman" w:hAnsi="Times New Roman"/>
          <w:szCs w:val="24"/>
        </w:rPr>
        <w:t xml:space="preserve"> "Trade for All"</w:t>
      </w:r>
      <w:r>
        <w:rPr>
          <w:rFonts w:ascii="Times New Roman" w:hAnsi="Times New Roman"/>
          <w:szCs w:val="24"/>
        </w:rPr>
        <w:t xml:space="preserve"> strategy</w:t>
      </w:r>
      <w:r w:rsidRPr="001E3D6C">
        <w:rPr>
          <w:rFonts w:ascii="Times New Roman" w:hAnsi="Times New Roman"/>
          <w:szCs w:val="24"/>
        </w:rPr>
        <w:t xml:space="preserve">, </w:t>
      </w:r>
      <w:r>
        <w:rPr>
          <w:rFonts w:ascii="Times New Roman" w:hAnsi="Times New Roman"/>
          <w:szCs w:val="24"/>
        </w:rPr>
        <w:t>the Commission is</w:t>
      </w:r>
      <w:r w:rsidRPr="001E3D6C">
        <w:rPr>
          <w:rFonts w:ascii="Times New Roman" w:hAnsi="Times New Roman"/>
          <w:szCs w:val="24"/>
        </w:rPr>
        <w:t xml:space="preserve"> informing the public about the progress of ongoing negotiations by publishing initial EU proposals for legal texts, detailed reports of the negotiating rounds, and other in</w:t>
      </w:r>
      <w:r>
        <w:rPr>
          <w:rFonts w:ascii="Times New Roman" w:hAnsi="Times New Roman"/>
          <w:szCs w:val="24"/>
        </w:rPr>
        <w:t>formation material.</w:t>
      </w:r>
    </w:p>
    <w:p w:rsidR="00E424CB" w:rsidRPr="001E3D6C" w:rsidRDefault="00E424CB" w:rsidP="00E424CB">
      <w:pPr>
        <w:spacing w:after="120"/>
        <w:rPr>
          <w:rFonts w:ascii="Times New Roman" w:hAnsi="Times New Roman"/>
          <w:szCs w:val="24"/>
        </w:rPr>
      </w:pPr>
      <w:r>
        <w:rPr>
          <w:rFonts w:ascii="Times New Roman" w:hAnsi="Times New Roman"/>
          <w:szCs w:val="24"/>
        </w:rPr>
        <w:t>S</w:t>
      </w:r>
      <w:r w:rsidRPr="001E3D6C">
        <w:rPr>
          <w:rFonts w:ascii="Times New Roman" w:hAnsi="Times New Roman"/>
          <w:szCs w:val="24"/>
        </w:rPr>
        <w:t>ince September 2017</w:t>
      </w:r>
      <w:r>
        <w:rPr>
          <w:rFonts w:ascii="Times New Roman" w:hAnsi="Times New Roman"/>
          <w:szCs w:val="24"/>
        </w:rPr>
        <w:t>,</w:t>
      </w:r>
      <w:r w:rsidRPr="001E3D6C">
        <w:rPr>
          <w:rFonts w:ascii="Times New Roman" w:hAnsi="Times New Roman"/>
          <w:szCs w:val="24"/>
        </w:rPr>
        <w:t xml:space="preserve"> the Commission publishes in full all draft negotiating </w:t>
      </w:r>
      <w:r>
        <w:rPr>
          <w:rFonts w:ascii="Times New Roman" w:hAnsi="Times New Roman"/>
          <w:szCs w:val="24"/>
        </w:rPr>
        <w:t>D</w:t>
      </w:r>
      <w:r w:rsidRPr="001E3D6C">
        <w:rPr>
          <w:rFonts w:ascii="Times New Roman" w:hAnsi="Times New Roman"/>
          <w:szCs w:val="24"/>
        </w:rPr>
        <w:t xml:space="preserve">irectives for trade agreements that </w:t>
      </w:r>
      <w:r>
        <w:rPr>
          <w:rFonts w:ascii="Times New Roman" w:hAnsi="Times New Roman"/>
          <w:szCs w:val="24"/>
        </w:rPr>
        <w:t>it</w:t>
      </w:r>
      <w:r w:rsidRPr="001E3D6C">
        <w:rPr>
          <w:rFonts w:ascii="Times New Roman" w:hAnsi="Times New Roman"/>
          <w:szCs w:val="24"/>
        </w:rPr>
        <w:t xml:space="preserve"> propose</w:t>
      </w:r>
      <w:r>
        <w:rPr>
          <w:rFonts w:ascii="Times New Roman" w:hAnsi="Times New Roman"/>
          <w:szCs w:val="24"/>
        </w:rPr>
        <w:t>s</w:t>
      </w:r>
      <w:r w:rsidRPr="001E3D6C">
        <w:rPr>
          <w:rFonts w:ascii="Times New Roman" w:hAnsi="Times New Roman"/>
          <w:szCs w:val="24"/>
        </w:rPr>
        <w:t xml:space="preserve"> to the Council. In parallel, </w:t>
      </w:r>
      <w:r>
        <w:rPr>
          <w:rFonts w:ascii="Times New Roman" w:hAnsi="Times New Roman"/>
          <w:szCs w:val="24"/>
        </w:rPr>
        <w:t xml:space="preserve">they </w:t>
      </w:r>
      <w:proofErr w:type="gramStart"/>
      <w:r>
        <w:rPr>
          <w:rFonts w:ascii="Times New Roman" w:hAnsi="Times New Roman"/>
          <w:szCs w:val="24"/>
        </w:rPr>
        <w:t>are sent</w:t>
      </w:r>
      <w:proofErr w:type="gramEnd"/>
      <w:r w:rsidRPr="001E3D6C">
        <w:rPr>
          <w:rFonts w:ascii="Times New Roman" w:hAnsi="Times New Roman"/>
          <w:szCs w:val="24"/>
        </w:rPr>
        <w:t xml:space="preserve"> also to the European Parliament and to the national Parliaments of </w:t>
      </w:r>
      <w:r>
        <w:rPr>
          <w:rFonts w:ascii="Times New Roman" w:hAnsi="Times New Roman"/>
          <w:szCs w:val="24"/>
        </w:rPr>
        <w:t>the</w:t>
      </w:r>
      <w:r w:rsidRPr="001E3D6C">
        <w:rPr>
          <w:rFonts w:ascii="Times New Roman" w:hAnsi="Times New Roman"/>
          <w:szCs w:val="24"/>
        </w:rPr>
        <w:t xml:space="preserve"> Member States</w:t>
      </w:r>
      <w:r>
        <w:rPr>
          <w:rFonts w:ascii="Times New Roman" w:hAnsi="Times New Roman"/>
          <w:szCs w:val="24"/>
        </w:rPr>
        <w:t xml:space="preserve"> in order</w:t>
      </w:r>
      <w:r w:rsidRPr="001E3D6C">
        <w:rPr>
          <w:rFonts w:ascii="Times New Roman" w:hAnsi="Times New Roman"/>
          <w:szCs w:val="24"/>
        </w:rPr>
        <w:t xml:space="preserve"> to ensure a much wider and more inclusive debate from the start. Making </w:t>
      </w:r>
      <w:proofErr w:type="gramStart"/>
      <w:r w:rsidRPr="001E3D6C">
        <w:rPr>
          <w:rFonts w:ascii="Times New Roman" w:hAnsi="Times New Roman"/>
          <w:szCs w:val="24"/>
        </w:rPr>
        <w:t>these draft</w:t>
      </w:r>
      <w:proofErr w:type="gramEnd"/>
      <w:r w:rsidRPr="001E3D6C">
        <w:rPr>
          <w:rFonts w:ascii="Times New Roman" w:hAnsi="Times New Roman"/>
          <w:szCs w:val="24"/>
        </w:rPr>
        <w:t xml:space="preserve"> negotiating Directives public facilitates the exchange of views, from a very early stage, between </w:t>
      </w:r>
      <w:r>
        <w:rPr>
          <w:rFonts w:ascii="Times New Roman" w:hAnsi="Times New Roman"/>
          <w:szCs w:val="24"/>
        </w:rPr>
        <w:t xml:space="preserve">the </w:t>
      </w:r>
      <w:r w:rsidRPr="001E3D6C">
        <w:rPr>
          <w:rFonts w:ascii="Times New Roman" w:hAnsi="Times New Roman"/>
          <w:szCs w:val="24"/>
        </w:rPr>
        <w:t xml:space="preserve">national </w:t>
      </w:r>
      <w:r>
        <w:rPr>
          <w:rFonts w:ascii="Times New Roman" w:hAnsi="Times New Roman"/>
          <w:szCs w:val="24"/>
        </w:rPr>
        <w:lastRenderedPageBreak/>
        <w:t>governments and the</w:t>
      </w:r>
      <w:r w:rsidRPr="001E3D6C">
        <w:rPr>
          <w:rFonts w:ascii="Times New Roman" w:hAnsi="Times New Roman"/>
          <w:szCs w:val="24"/>
        </w:rPr>
        <w:t xml:space="preserve"> parliaments, stakeholders</w:t>
      </w:r>
      <w:r>
        <w:rPr>
          <w:rFonts w:ascii="Times New Roman" w:hAnsi="Times New Roman"/>
          <w:szCs w:val="24"/>
        </w:rPr>
        <w:t xml:space="preserve"> and </w:t>
      </w:r>
      <w:r w:rsidRPr="001E3D6C">
        <w:rPr>
          <w:rFonts w:ascii="Times New Roman" w:hAnsi="Times New Roman"/>
          <w:szCs w:val="24"/>
        </w:rPr>
        <w:t xml:space="preserve">citizens </w:t>
      </w:r>
      <w:r>
        <w:rPr>
          <w:rFonts w:ascii="Times New Roman" w:hAnsi="Times New Roman"/>
          <w:szCs w:val="24"/>
        </w:rPr>
        <w:t xml:space="preserve">they represent in </w:t>
      </w:r>
      <w:r w:rsidRPr="001E3D6C">
        <w:rPr>
          <w:rFonts w:ascii="Times New Roman" w:hAnsi="Times New Roman"/>
          <w:szCs w:val="24"/>
        </w:rPr>
        <w:t xml:space="preserve">discussions </w:t>
      </w:r>
      <w:r>
        <w:rPr>
          <w:rFonts w:ascii="Times New Roman" w:hAnsi="Times New Roman"/>
          <w:szCs w:val="24"/>
        </w:rPr>
        <w:t>in</w:t>
      </w:r>
      <w:r w:rsidRPr="001E3D6C">
        <w:rPr>
          <w:rFonts w:ascii="Times New Roman" w:hAnsi="Times New Roman"/>
          <w:szCs w:val="24"/>
        </w:rPr>
        <w:t xml:space="preserve"> the Council. Once the Council has adopted the final negotiating </w:t>
      </w:r>
      <w:r>
        <w:rPr>
          <w:rFonts w:ascii="Times New Roman" w:hAnsi="Times New Roman"/>
          <w:szCs w:val="24"/>
        </w:rPr>
        <w:t>D</w:t>
      </w:r>
      <w:r w:rsidRPr="001E3D6C">
        <w:rPr>
          <w:rFonts w:ascii="Times New Roman" w:hAnsi="Times New Roman"/>
          <w:szCs w:val="24"/>
        </w:rPr>
        <w:t>irectives, the Commission also encourage</w:t>
      </w:r>
      <w:r>
        <w:rPr>
          <w:rFonts w:ascii="Times New Roman" w:hAnsi="Times New Roman"/>
          <w:szCs w:val="24"/>
        </w:rPr>
        <w:t>s</w:t>
      </w:r>
      <w:r w:rsidRPr="001E3D6C">
        <w:rPr>
          <w:rFonts w:ascii="Times New Roman" w:hAnsi="Times New Roman"/>
          <w:szCs w:val="24"/>
        </w:rPr>
        <w:t xml:space="preserve"> </w:t>
      </w:r>
      <w:r>
        <w:rPr>
          <w:rFonts w:ascii="Times New Roman" w:hAnsi="Times New Roman"/>
          <w:szCs w:val="24"/>
        </w:rPr>
        <w:t>it</w:t>
      </w:r>
      <w:r w:rsidRPr="001E3D6C">
        <w:rPr>
          <w:rFonts w:ascii="Times New Roman" w:hAnsi="Times New Roman"/>
          <w:szCs w:val="24"/>
        </w:rPr>
        <w:t xml:space="preserve"> to make them public. So </w:t>
      </w:r>
      <w:proofErr w:type="gramStart"/>
      <w:r w:rsidRPr="001E3D6C">
        <w:rPr>
          <w:rFonts w:ascii="Times New Roman" w:hAnsi="Times New Roman"/>
          <w:szCs w:val="24"/>
        </w:rPr>
        <w:t>far</w:t>
      </w:r>
      <w:proofErr w:type="gramEnd"/>
      <w:r w:rsidRPr="001E3D6C">
        <w:rPr>
          <w:rFonts w:ascii="Times New Roman" w:hAnsi="Times New Roman"/>
          <w:szCs w:val="24"/>
        </w:rPr>
        <w:t xml:space="preserve"> this was done </w:t>
      </w:r>
      <w:r>
        <w:rPr>
          <w:rFonts w:ascii="Times New Roman" w:hAnsi="Times New Roman"/>
          <w:szCs w:val="24"/>
        </w:rPr>
        <w:t>for</w:t>
      </w:r>
      <w:r w:rsidRPr="001E3D6C">
        <w:rPr>
          <w:rFonts w:ascii="Times New Roman" w:hAnsi="Times New Roman"/>
          <w:szCs w:val="24"/>
        </w:rPr>
        <w:t xml:space="preserve"> </w:t>
      </w:r>
      <w:r>
        <w:rPr>
          <w:rFonts w:ascii="Times New Roman" w:hAnsi="Times New Roman"/>
          <w:szCs w:val="24"/>
        </w:rPr>
        <w:t xml:space="preserve">the </w:t>
      </w:r>
      <w:r w:rsidRPr="003B1812">
        <w:rPr>
          <w:rFonts w:ascii="Times New Roman" w:hAnsi="Times New Roman"/>
          <w:szCs w:val="24"/>
        </w:rPr>
        <w:t>Transatlantic Trade and Investment Partnership (TTIP)</w:t>
      </w:r>
      <w:r w:rsidRPr="001E3D6C">
        <w:rPr>
          <w:rFonts w:ascii="Times New Roman" w:hAnsi="Times New Roman"/>
          <w:szCs w:val="24"/>
        </w:rPr>
        <w:t xml:space="preserve">, </w:t>
      </w:r>
      <w:r>
        <w:rPr>
          <w:rFonts w:ascii="Times New Roman" w:hAnsi="Times New Roman"/>
          <w:szCs w:val="24"/>
        </w:rPr>
        <w:t xml:space="preserve">the </w:t>
      </w:r>
      <w:r w:rsidRPr="003B1812">
        <w:rPr>
          <w:rFonts w:ascii="Times New Roman" w:hAnsi="Times New Roman"/>
          <w:szCs w:val="24"/>
        </w:rPr>
        <w:t>Comprehensive Economic and Trade Agreement (CETA)</w:t>
      </w:r>
      <w:r w:rsidRPr="001E3D6C">
        <w:rPr>
          <w:rFonts w:ascii="Times New Roman" w:hAnsi="Times New Roman"/>
          <w:szCs w:val="24"/>
        </w:rPr>
        <w:t>,</w:t>
      </w:r>
      <w:r>
        <w:rPr>
          <w:rFonts w:ascii="Times New Roman" w:hAnsi="Times New Roman"/>
          <w:szCs w:val="24"/>
        </w:rPr>
        <w:t xml:space="preserve"> the </w:t>
      </w:r>
      <w:r w:rsidRPr="003B1812">
        <w:rPr>
          <w:rFonts w:ascii="Times New Roman" w:hAnsi="Times New Roman"/>
          <w:szCs w:val="24"/>
        </w:rPr>
        <w:t>Trade in Services Agreement</w:t>
      </w:r>
      <w:r w:rsidRPr="001E3D6C">
        <w:rPr>
          <w:rFonts w:ascii="Times New Roman" w:hAnsi="Times New Roman"/>
          <w:szCs w:val="24"/>
        </w:rPr>
        <w:t xml:space="preserve"> </w:t>
      </w:r>
      <w:r>
        <w:rPr>
          <w:rFonts w:ascii="Times New Roman" w:hAnsi="Times New Roman"/>
          <w:szCs w:val="24"/>
        </w:rPr>
        <w:t>(</w:t>
      </w:r>
      <w:r w:rsidRPr="001E3D6C">
        <w:rPr>
          <w:rFonts w:ascii="Times New Roman" w:hAnsi="Times New Roman"/>
          <w:szCs w:val="24"/>
        </w:rPr>
        <w:t>TiSA</w:t>
      </w:r>
      <w:r>
        <w:rPr>
          <w:rFonts w:ascii="Times New Roman" w:hAnsi="Times New Roman"/>
          <w:szCs w:val="24"/>
        </w:rPr>
        <w:t>)</w:t>
      </w:r>
      <w:r w:rsidRPr="001E3D6C">
        <w:rPr>
          <w:rFonts w:ascii="Times New Roman" w:hAnsi="Times New Roman"/>
          <w:szCs w:val="24"/>
        </w:rPr>
        <w:t xml:space="preserve">, the EU-Japan </w:t>
      </w:r>
      <w:r w:rsidRPr="00F13863">
        <w:rPr>
          <w:rFonts w:ascii="Times New Roman" w:hAnsi="Times New Roman"/>
          <w:szCs w:val="24"/>
        </w:rPr>
        <w:t>Free Trade Agreement (FTA)</w:t>
      </w:r>
      <w:r w:rsidRPr="001E3D6C">
        <w:rPr>
          <w:rFonts w:ascii="Times New Roman" w:hAnsi="Times New Roman"/>
          <w:szCs w:val="24"/>
        </w:rPr>
        <w:t>, and most recently the EU-Chile Association Agreement and the</w:t>
      </w:r>
      <w:r>
        <w:rPr>
          <w:rFonts w:ascii="Times New Roman" w:hAnsi="Times New Roman"/>
          <w:szCs w:val="24"/>
        </w:rPr>
        <w:t xml:space="preserve"> Multilateral Investment Court</w:t>
      </w:r>
      <w:r w:rsidRPr="001E3D6C">
        <w:rPr>
          <w:rFonts w:ascii="Times New Roman" w:hAnsi="Times New Roman"/>
          <w:szCs w:val="24"/>
        </w:rPr>
        <w:t xml:space="preserve">. </w:t>
      </w:r>
      <w:r>
        <w:rPr>
          <w:rFonts w:ascii="Times New Roman" w:hAnsi="Times New Roman"/>
          <w:szCs w:val="24"/>
        </w:rPr>
        <w:t xml:space="preserve">The Commission </w:t>
      </w:r>
      <w:r w:rsidRPr="001E3D6C">
        <w:rPr>
          <w:rFonts w:ascii="Times New Roman" w:hAnsi="Times New Roman"/>
          <w:szCs w:val="24"/>
        </w:rPr>
        <w:t>hope</w:t>
      </w:r>
      <w:r>
        <w:rPr>
          <w:rFonts w:ascii="Times New Roman" w:hAnsi="Times New Roman"/>
          <w:szCs w:val="24"/>
        </w:rPr>
        <w:t>s</w:t>
      </w:r>
      <w:r w:rsidRPr="001E3D6C">
        <w:rPr>
          <w:rFonts w:ascii="Times New Roman" w:hAnsi="Times New Roman"/>
          <w:szCs w:val="24"/>
        </w:rPr>
        <w:t xml:space="preserve"> </w:t>
      </w:r>
      <w:r>
        <w:rPr>
          <w:rFonts w:ascii="Times New Roman" w:hAnsi="Times New Roman"/>
          <w:szCs w:val="24"/>
        </w:rPr>
        <w:t>that</w:t>
      </w:r>
      <w:r w:rsidRPr="001E3D6C">
        <w:rPr>
          <w:rFonts w:ascii="Times New Roman" w:hAnsi="Times New Roman"/>
          <w:szCs w:val="24"/>
        </w:rPr>
        <w:t xml:space="preserve"> this will become a</w:t>
      </w:r>
      <w:r>
        <w:rPr>
          <w:rFonts w:ascii="Times New Roman" w:hAnsi="Times New Roman"/>
          <w:szCs w:val="24"/>
        </w:rPr>
        <w:t> </w:t>
      </w:r>
      <w:r w:rsidRPr="001E3D6C">
        <w:rPr>
          <w:rFonts w:ascii="Times New Roman" w:hAnsi="Times New Roman"/>
          <w:szCs w:val="24"/>
        </w:rPr>
        <w:t>systematic practice of the Council.</w:t>
      </w:r>
    </w:p>
    <w:p w:rsidR="00E424CB" w:rsidRDefault="00E424CB" w:rsidP="00E424CB">
      <w:pPr>
        <w:spacing w:after="120"/>
        <w:rPr>
          <w:rFonts w:ascii="Times New Roman" w:hAnsi="Times New Roman"/>
          <w:szCs w:val="24"/>
        </w:rPr>
      </w:pPr>
      <w:r w:rsidRPr="001E3D6C">
        <w:rPr>
          <w:rFonts w:ascii="Times New Roman" w:hAnsi="Times New Roman"/>
          <w:szCs w:val="24"/>
        </w:rPr>
        <w:t xml:space="preserve">All </w:t>
      </w:r>
      <w:r>
        <w:rPr>
          <w:rFonts w:ascii="Times New Roman" w:hAnsi="Times New Roman"/>
          <w:szCs w:val="24"/>
        </w:rPr>
        <w:t xml:space="preserve">Commission </w:t>
      </w:r>
      <w:r w:rsidRPr="001E3D6C">
        <w:rPr>
          <w:rFonts w:ascii="Times New Roman" w:hAnsi="Times New Roman"/>
          <w:szCs w:val="24"/>
        </w:rPr>
        <w:t>impact assessments, sustainability impact assessments and evaluations include a stakeholder consultation</w:t>
      </w:r>
      <w:r>
        <w:rPr>
          <w:rFonts w:ascii="Times New Roman" w:hAnsi="Times New Roman"/>
          <w:szCs w:val="24"/>
        </w:rPr>
        <w:t>,</w:t>
      </w:r>
      <w:r w:rsidRPr="001E3D6C">
        <w:rPr>
          <w:rFonts w:ascii="Times New Roman" w:hAnsi="Times New Roman"/>
          <w:szCs w:val="24"/>
        </w:rPr>
        <w:t xml:space="preserve"> and </w:t>
      </w:r>
      <w:r>
        <w:rPr>
          <w:rFonts w:ascii="Times New Roman" w:hAnsi="Times New Roman"/>
          <w:szCs w:val="24"/>
        </w:rPr>
        <w:t xml:space="preserve">the Commission </w:t>
      </w:r>
      <w:r w:rsidRPr="001E3D6C">
        <w:rPr>
          <w:rFonts w:ascii="Times New Roman" w:hAnsi="Times New Roman"/>
          <w:szCs w:val="24"/>
        </w:rPr>
        <w:t>organise</w:t>
      </w:r>
      <w:r>
        <w:rPr>
          <w:rFonts w:ascii="Times New Roman" w:hAnsi="Times New Roman"/>
          <w:szCs w:val="24"/>
        </w:rPr>
        <w:t>s</w:t>
      </w:r>
      <w:r w:rsidRPr="001E3D6C">
        <w:rPr>
          <w:rFonts w:ascii="Times New Roman" w:hAnsi="Times New Roman"/>
          <w:szCs w:val="24"/>
        </w:rPr>
        <w:t xml:space="preserve"> regular meetings with civil society groups during the negotiations and the im</w:t>
      </w:r>
      <w:r>
        <w:rPr>
          <w:rFonts w:ascii="Times New Roman" w:hAnsi="Times New Roman"/>
          <w:szCs w:val="24"/>
        </w:rPr>
        <w:t>plementation of the agreements.</w:t>
      </w:r>
    </w:p>
    <w:p w:rsidR="00E424CB" w:rsidRDefault="00E424CB" w:rsidP="00E424CB">
      <w:pPr>
        <w:spacing w:after="120"/>
        <w:rPr>
          <w:rFonts w:ascii="Times New Roman" w:hAnsi="Times New Roman"/>
          <w:szCs w:val="24"/>
        </w:rPr>
      </w:pPr>
      <w:r>
        <w:rPr>
          <w:rFonts w:ascii="Times New Roman" w:hAnsi="Times New Roman"/>
          <w:szCs w:val="24"/>
        </w:rPr>
        <w:t>T</w:t>
      </w:r>
      <w:r w:rsidRPr="000F2F60">
        <w:rPr>
          <w:rFonts w:ascii="Times New Roman" w:hAnsi="Times New Roman"/>
          <w:szCs w:val="24"/>
        </w:rPr>
        <w:t xml:space="preserve">he EU's recently reviewed Aid for Trade Strategy recognises that gender equality is not only a fundamental human right, it is also crucial for economic development </w:t>
      </w:r>
      <w:r w:rsidRPr="00FE00CF">
        <w:rPr>
          <w:rFonts w:ascii="Times New Roman" w:hAnsi="Times New Roman"/>
          <w:szCs w:val="24"/>
        </w:rPr>
        <w:t>(</w:t>
      </w:r>
      <w:r w:rsidRPr="000F2F60">
        <w:rPr>
          <w:rFonts w:ascii="Times New Roman" w:hAnsi="Times New Roman"/>
          <w:b/>
          <w:szCs w:val="24"/>
        </w:rPr>
        <w:t>paragraphs 41 and 42</w:t>
      </w:r>
      <w:r w:rsidRPr="00FE00CF">
        <w:rPr>
          <w:rFonts w:ascii="Times New Roman" w:hAnsi="Times New Roman"/>
          <w:szCs w:val="24"/>
        </w:rPr>
        <w:t>)</w:t>
      </w:r>
      <w:r w:rsidRPr="000F2F60">
        <w:rPr>
          <w:rFonts w:ascii="Times New Roman" w:hAnsi="Times New Roman"/>
          <w:szCs w:val="24"/>
        </w:rPr>
        <w:t xml:space="preserve">. </w:t>
      </w:r>
      <w:r>
        <w:rPr>
          <w:rFonts w:ascii="Times New Roman" w:hAnsi="Times New Roman"/>
          <w:szCs w:val="24"/>
        </w:rPr>
        <w:t>The strategy</w:t>
      </w:r>
      <w:r w:rsidRPr="000F2F60">
        <w:rPr>
          <w:rFonts w:ascii="Times New Roman" w:hAnsi="Times New Roman"/>
          <w:szCs w:val="24"/>
        </w:rPr>
        <w:t xml:space="preserve"> introduces the requirement of a systematic gender analysis for all aid-for-trade projects. </w:t>
      </w:r>
      <w:proofErr w:type="gramStart"/>
      <w:r>
        <w:rPr>
          <w:rFonts w:ascii="Times New Roman" w:hAnsi="Times New Roman"/>
          <w:szCs w:val="24"/>
        </w:rPr>
        <w:t>Also</w:t>
      </w:r>
      <w:proofErr w:type="gramEnd"/>
      <w:r>
        <w:rPr>
          <w:rFonts w:ascii="Times New Roman" w:hAnsi="Times New Roman"/>
          <w:szCs w:val="24"/>
        </w:rPr>
        <w:t>, t</w:t>
      </w:r>
      <w:r w:rsidRPr="000F2F60">
        <w:rPr>
          <w:rFonts w:ascii="Times New Roman" w:hAnsi="Times New Roman"/>
          <w:szCs w:val="24"/>
        </w:rPr>
        <w:t>he Commission is increasingly promoting female entrepreneurship in developing countries throu</w:t>
      </w:r>
      <w:r>
        <w:rPr>
          <w:rFonts w:ascii="Times New Roman" w:hAnsi="Times New Roman"/>
          <w:szCs w:val="24"/>
        </w:rPr>
        <w:t>gh its projects and approaches.</w:t>
      </w:r>
    </w:p>
    <w:p w:rsidR="00D252EB" w:rsidRPr="00E424CB" w:rsidRDefault="00E424CB" w:rsidP="00E424CB">
      <w:pPr>
        <w:spacing w:after="120"/>
        <w:rPr>
          <w:rFonts w:ascii="Times New Roman" w:hAnsi="Times New Roman"/>
          <w:szCs w:val="24"/>
        </w:rPr>
      </w:pPr>
      <w:r w:rsidRPr="000F2F60">
        <w:rPr>
          <w:rFonts w:ascii="Times New Roman" w:hAnsi="Times New Roman"/>
          <w:szCs w:val="24"/>
        </w:rPr>
        <w:t>The Commission will continue to put the issue of women's economic empowerment high on the political agenda both at international level and within the European Union. This will include adapting EU policies and developing support measures as appropriate, supporting stakeholders' efforts to connect and cooperate internationally, or identify and disseminate good practices from both public authorities and private stakeholders.</w:t>
      </w:r>
      <w:bookmarkStart w:id="0" w:name="_GoBack"/>
      <w:bookmarkEnd w:id="0"/>
    </w:p>
    <w:sectPr w:rsidR="00D252EB" w:rsidRPr="00E424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CB" w:rsidRDefault="00E424CB" w:rsidP="00E424CB">
      <w:pPr>
        <w:spacing w:after="0"/>
      </w:pPr>
      <w:r>
        <w:separator/>
      </w:r>
    </w:p>
  </w:endnote>
  <w:endnote w:type="continuationSeparator" w:id="0">
    <w:p w:rsidR="00E424CB" w:rsidRDefault="00E424CB" w:rsidP="00E42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CB" w:rsidRDefault="00E424CB" w:rsidP="00E424CB">
      <w:pPr>
        <w:spacing w:after="0"/>
      </w:pPr>
      <w:r>
        <w:separator/>
      </w:r>
    </w:p>
  </w:footnote>
  <w:footnote w:type="continuationSeparator" w:id="0">
    <w:p w:rsidR="00E424CB" w:rsidRDefault="00E424CB" w:rsidP="00E424CB">
      <w:pPr>
        <w:spacing w:after="0"/>
      </w:pPr>
      <w:r>
        <w:continuationSeparator/>
      </w:r>
    </w:p>
  </w:footnote>
  <w:footnote w:id="1">
    <w:p w:rsidR="00E424CB" w:rsidRPr="000E57EF" w:rsidRDefault="00E424CB" w:rsidP="00E424CB">
      <w:pPr>
        <w:pStyle w:val="FootnoteText"/>
        <w:spacing w:after="120"/>
        <w:ind w:left="284" w:hanging="284"/>
        <w:rPr>
          <w:rFonts w:ascii="Times New Roman" w:hAnsi="Times New Roman"/>
          <w:lang w:val="pt-PT"/>
        </w:rPr>
      </w:pPr>
      <w:r>
        <w:rPr>
          <w:rStyle w:val="FootnoteReference"/>
        </w:rPr>
        <w:footnoteRef/>
      </w:r>
      <w:r w:rsidRPr="000E57EF">
        <w:rPr>
          <w:lang w:val="pt-PT"/>
        </w:rPr>
        <w:tab/>
      </w:r>
      <w:hyperlink r:id="rId1" w:history="1">
        <w:r w:rsidRPr="000E57EF">
          <w:rPr>
            <w:rStyle w:val="Hyperlink"/>
            <w:rFonts w:ascii="Times New Roman" w:hAnsi="Times New Roman"/>
            <w:lang w:val="pt-PT"/>
          </w:rPr>
          <w:t>https://www.wto.org/english/thewto_e/minist_e/mc11_e/genderdeclarationmc11_e.pdf</w:t>
        </w:r>
      </w:hyperlink>
      <w:r w:rsidRPr="000E57EF">
        <w:rPr>
          <w:rFonts w:ascii="Times New Roman" w:hAnsi="Times New Roman"/>
          <w:lang w:val="pt-PT"/>
        </w:rPr>
        <w:t xml:space="preserve"> </w:t>
      </w:r>
    </w:p>
  </w:footnote>
  <w:footnote w:id="2">
    <w:p w:rsidR="00E424CB" w:rsidRPr="00832974" w:rsidRDefault="00E424CB" w:rsidP="00E424CB">
      <w:pPr>
        <w:pStyle w:val="FootnoteText"/>
        <w:spacing w:after="120"/>
        <w:ind w:left="284" w:hanging="284"/>
        <w:rPr>
          <w:lang w:val="pt-PT"/>
        </w:rPr>
      </w:pPr>
      <w:r w:rsidRPr="00FE00CF">
        <w:rPr>
          <w:rStyle w:val="FootnoteReference"/>
          <w:rFonts w:ascii="Times New Roman" w:hAnsi="Times New Roman"/>
        </w:rPr>
        <w:footnoteRef/>
      </w:r>
      <w:r w:rsidRPr="00FE00CF">
        <w:rPr>
          <w:rFonts w:ascii="Times New Roman" w:hAnsi="Times New Roman"/>
          <w:lang w:val="pt-PT"/>
        </w:rPr>
        <w:tab/>
      </w:r>
      <w:r w:rsidRPr="00832974">
        <w:rPr>
          <w:rStyle w:val="Hyperlink"/>
          <w:rFonts w:ascii="Times New Roman" w:hAnsi="Times New Roman"/>
          <w:lang w:val="pt-PT"/>
        </w:rPr>
        <w:t>http://trade.ec.europa.eu/doclib/docs/2017/june/tradoc_155632.pdf</w:t>
      </w:r>
    </w:p>
  </w:footnote>
  <w:footnote w:id="3">
    <w:p w:rsidR="00E424CB" w:rsidRPr="00832974" w:rsidRDefault="00E424CB" w:rsidP="00E424CB">
      <w:pPr>
        <w:pStyle w:val="FootnoteText"/>
        <w:spacing w:after="120"/>
        <w:ind w:left="284" w:hanging="284"/>
        <w:rPr>
          <w:rStyle w:val="Hyperlink"/>
          <w:rFonts w:ascii="Times New Roman" w:hAnsi="Times New Roman"/>
          <w:lang w:val="pt-PT"/>
        </w:rPr>
      </w:pPr>
      <w:r>
        <w:rPr>
          <w:rStyle w:val="FootnoteReference"/>
        </w:rPr>
        <w:footnoteRef/>
      </w:r>
      <w:r w:rsidRPr="00832974">
        <w:rPr>
          <w:lang w:val="pt-PT"/>
        </w:rPr>
        <w:tab/>
      </w:r>
      <w:r w:rsidRPr="00832974">
        <w:rPr>
          <w:rStyle w:val="Hyperlink"/>
          <w:rFonts w:ascii="Times New Roman" w:hAnsi="Times New Roman"/>
          <w:lang w:val="pt-PT"/>
        </w:rPr>
        <w:t>http://trade.ec.europa.eu/doclib/docs/2016/april/tradoc_154464.PDF</w:t>
      </w:r>
    </w:p>
  </w:footnote>
  <w:footnote w:id="4">
    <w:p w:rsidR="00E424CB" w:rsidRPr="00832974" w:rsidRDefault="00E424CB" w:rsidP="00E424CB">
      <w:pPr>
        <w:pStyle w:val="FootnoteText"/>
        <w:spacing w:after="120"/>
        <w:ind w:left="284" w:hanging="284"/>
        <w:rPr>
          <w:rStyle w:val="Hyperlink"/>
          <w:rFonts w:ascii="Times New Roman" w:hAnsi="Times New Roman"/>
          <w:lang w:val="pt-PT"/>
        </w:rPr>
      </w:pPr>
      <w:r w:rsidRPr="00DB3E28">
        <w:rPr>
          <w:rStyle w:val="FootnoteReference"/>
        </w:rPr>
        <w:footnoteRef/>
      </w:r>
      <w:r w:rsidRPr="00832974">
        <w:rPr>
          <w:lang w:val="pt-PT"/>
        </w:rPr>
        <w:tab/>
      </w:r>
      <w:r w:rsidRPr="00832974">
        <w:rPr>
          <w:rStyle w:val="Hyperlink"/>
          <w:rFonts w:ascii="Times New Roman" w:hAnsi="Times New Roman"/>
          <w:lang w:val="pt-PT"/>
        </w:rPr>
        <w:t>http://trade.ec.europa.eu/doclib/docs/2015/july/tradoc_153591.pdf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CB"/>
    <w:rsid w:val="00027B09"/>
    <w:rsid w:val="00054F89"/>
    <w:rsid w:val="000B22A1"/>
    <w:rsid w:val="000E11EF"/>
    <w:rsid w:val="000F2B09"/>
    <w:rsid w:val="001736A8"/>
    <w:rsid w:val="001B1D22"/>
    <w:rsid w:val="001D1570"/>
    <w:rsid w:val="001D4038"/>
    <w:rsid w:val="001F0E13"/>
    <w:rsid w:val="001F7C4A"/>
    <w:rsid w:val="001F7CFD"/>
    <w:rsid w:val="002572D7"/>
    <w:rsid w:val="00270DCC"/>
    <w:rsid w:val="00274C93"/>
    <w:rsid w:val="002B56D0"/>
    <w:rsid w:val="002C06DE"/>
    <w:rsid w:val="002C16A8"/>
    <w:rsid w:val="002D0452"/>
    <w:rsid w:val="002E0063"/>
    <w:rsid w:val="002E0392"/>
    <w:rsid w:val="00305E32"/>
    <w:rsid w:val="003173DE"/>
    <w:rsid w:val="003566FC"/>
    <w:rsid w:val="003725F5"/>
    <w:rsid w:val="00381B0C"/>
    <w:rsid w:val="003D6D65"/>
    <w:rsid w:val="00403761"/>
    <w:rsid w:val="0042368F"/>
    <w:rsid w:val="00433F70"/>
    <w:rsid w:val="004642FF"/>
    <w:rsid w:val="00480F53"/>
    <w:rsid w:val="0048169B"/>
    <w:rsid w:val="00491697"/>
    <w:rsid w:val="0049783A"/>
    <w:rsid w:val="004E755F"/>
    <w:rsid w:val="005138D5"/>
    <w:rsid w:val="00521A67"/>
    <w:rsid w:val="005261E3"/>
    <w:rsid w:val="005773AA"/>
    <w:rsid w:val="005953F5"/>
    <w:rsid w:val="005969DF"/>
    <w:rsid w:val="005D1929"/>
    <w:rsid w:val="005E3B54"/>
    <w:rsid w:val="00616E5F"/>
    <w:rsid w:val="006326B8"/>
    <w:rsid w:val="00653B68"/>
    <w:rsid w:val="00654945"/>
    <w:rsid w:val="00690826"/>
    <w:rsid w:val="006C4266"/>
    <w:rsid w:val="006F55F6"/>
    <w:rsid w:val="007009B6"/>
    <w:rsid w:val="00734919"/>
    <w:rsid w:val="00737E68"/>
    <w:rsid w:val="0075237D"/>
    <w:rsid w:val="007901B5"/>
    <w:rsid w:val="00797105"/>
    <w:rsid w:val="007D2A1A"/>
    <w:rsid w:val="007E0BFC"/>
    <w:rsid w:val="00803B1F"/>
    <w:rsid w:val="00814714"/>
    <w:rsid w:val="00826DBB"/>
    <w:rsid w:val="008554BB"/>
    <w:rsid w:val="008850A9"/>
    <w:rsid w:val="008A703E"/>
    <w:rsid w:val="008C59B5"/>
    <w:rsid w:val="008D5CC4"/>
    <w:rsid w:val="008E2B38"/>
    <w:rsid w:val="008E4BB0"/>
    <w:rsid w:val="00964B60"/>
    <w:rsid w:val="00987D3F"/>
    <w:rsid w:val="009B1F6A"/>
    <w:rsid w:val="009D6CF0"/>
    <w:rsid w:val="009D7CC7"/>
    <w:rsid w:val="009F43D7"/>
    <w:rsid w:val="00A037F5"/>
    <w:rsid w:val="00A70A89"/>
    <w:rsid w:val="00AB11D1"/>
    <w:rsid w:val="00B36703"/>
    <w:rsid w:val="00B7520E"/>
    <w:rsid w:val="00BC34C3"/>
    <w:rsid w:val="00BC5884"/>
    <w:rsid w:val="00BE4FF7"/>
    <w:rsid w:val="00BE7767"/>
    <w:rsid w:val="00C227BA"/>
    <w:rsid w:val="00C52BFA"/>
    <w:rsid w:val="00C93913"/>
    <w:rsid w:val="00CD1B0E"/>
    <w:rsid w:val="00CD247A"/>
    <w:rsid w:val="00D02DD3"/>
    <w:rsid w:val="00D266AC"/>
    <w:rsid w:val="00D31207"/>
    <w:rsid w:val="00D34A95"/>
    <w:rsid w:val="00D704B2"/>
    <w:rsid w:val="00DC15AB"/>
    <w:rsid w:val="00DE50BD"/>
    <w:rsid w:val="00DF7B65"/>
    <w:rsid w:val="00E424CB"/>
    <w:rsid w:val="00E544EC"/>
    <w:rsid w:val="00E843E4"/>
    <w:rsid w:val="00EC2FE8"/>
    <w:rsid w:val="00ED279C"/>
    <w:rsid w:val="00EE3407"/>
    <w:rsid w:val="00EF4CD4"/>
    <w:rsid w:val="00F02193"/>
    <w:rsid w:val="00F03C01"/>
    <w:rsid w:val="00F15167"/>
    <w:rsid w:val="00F21E50"/>
    <w:rsid w:val="00F86446"/>
    <w:rsid w:val="00FB132C"/>
    <w:rsid w:val="00FC1717"/>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E31"/>
  <w15:chartTrackingRefBased/>
  <w15:docId w15:val="{53A18F4A-A9B5-4DE8-B5DF-EA8EDBF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CB"/>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qFormat/>
    <w:rsid w:val="00E424CB"/>
    <w:pPr>
      <w:ind w:left="357" w:hanging="357"/>
    </w:pPr>
    <w:rPr>
      <w:sz w:val="20"/>
    </w:rPr>
  </w:style>
  <w:style w:type="character" w:customStyle="1" w:styleId="FootnoteTextChar">
    <w:name w:val="Footnote Text Char"/>
    <w:basedOn w:val="DefaultParagraphFont"/>
    <w:uiPriority w:val="99"/>
    <w:semiHidden/>
    <w:rsid w:val="00E424CB"/>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424CB"/>
    <w:rPr>
      <w:vertAlign w:val="superscript"/>
    </w:rPr>
  </w:style>
  <w:style w:type="character" w:styleId="Hyperlink">
    <w:name w:val="Hyperlink"/>
    <w:aliases w:val="Char1"/>
    <w:uiPriority w:val="99"/>
    <w:rsid w:val="00E424CB"/>
    <w:rPr>
      <w:color w:val="0000FF"/>
      <w:u w:val="single"/>
    </w:rPr>
  </w:style>
  <w:style w:type="paragraph" w:styleId="NormalWeb">
    <w:name w:val="Normal (Web)"/>
    <w:aliases w:val=" webb,webb"/>
    <w:basedOn w:val="Normal"/>
    <w:link w:val="NormalWebChar"/>
    <w:uiPriority w:val="99"/>
    <w:rsid w:val="00E424CB"/>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uiPriority w:val="99"/>
    <w:rsid w:val="00E424CB"/>
    <w:rPr>
      <w:rFonts w:ascii="Times New Roman" w:eastAsia="Times New Roman" w:hAnsi="Times New Roman" w:cs="Times New Roman"/>
      <w:sz w:val="24"/>
      <w:szCs w:val="24"/>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rsid w:val="00E424CB"/>
    <w:rPr>
      <w:rFonts w:ascii="Courier New" w:eastAsia="Times New Roman" w:hAnsi="Courier New" w:cs="Times New Roman"/>
      <w:sz w:val="20"/>
      <w:szCs w:val="20"/>
      <w:lang w:eastAsia="en-GB"/>
    </w:rPr>
  </w:style>
  <w:style w:type="character" w:customStyle="1" w:styleId="ringrefselectedheader">
    <w:name w:val="ring_ref_selected_header"/>
    <w:basedOn w:val="DefaultParagraphFont"/>
    <w:rsid w:val="00E424CB"/>
  </w:style>
  <w:style w:type="paragraph" w:customStyle="1" w:styleId="Default">
    <w:name w:val="Default"/>
    <w:rsid w:val="00E424CB"/>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424CB"/>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to.org/english/thewto_e/minist_e/mc11_e/genderdeclarationmc1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3531</Words>
  <Characters>20374</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MERVILLE Nicolas (SG)</dc:creator>
  <cp:keywords/>
  <dc:description/>
  <cp:lastModifiedBy>MERVILLE Nicolas (SG)</cp:lastModifiedBy>
  <cp:revision>2</cp:revision>
  <dcterms:created xsi:type="dcterms:W3CDTF">2018-08-27T14:23:00Z</dcterms:created>
  <dcterms:modified xsi:type="dcterms:W3CDTF">2018-08-28T07:46:00Z</dcterms:modified>
</cp:coreProperties>
</file>