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A089" w14:textId="77777777" w:rsidR="005D30B0" w:rsidRDefault="005D30B0" w:rsidP="005D30B0">
      <w:pPr>
        <w:spacing w:after="600"/>
        <w:jc w:val="center"/>
        <w:rPr>
          <w:rFonts w:ascii="Times New Roman" w:eastAsia="Calibri" w:hAnsi="Times New Roman"/>
          <w:b/>
          <w:szCs w:val="24"/>
          <w:lang w:eastAsia="en-US"/>
        </w:rPr>
      </w:pPr>
      <w:r w:rsidRPr="00525831">
        <w:rPr>
          <w:rFonts w:ascii="Times New Roman" w:eastAsia="Calibri" w:hAnsi="Times New Roman"/>
          <w:b/>
          <w:szCs w:val="24"/>
          <w:lang w:eastAsia="en-US"/>
        </w:rPr>
        <w:t xml:space="preserve">Follow up to the European Parliament </w:t>
      </w:r>
      <w:r>
        <w:rPr>
          <w:rFonts w:ascii="Times New Roman" w:eastAsia="Calibri" w:hAnsi="Times New Roman"/>
          <w:b/>
          <w:szCs w:val="24"/>
          <w:lang w:eastAsia="en-US"/>
        </w:rPr>
        <w:t xml:space="preserve">non-legislative </w:t>
      </w:r>
      <w:r w:rsidRPr="00525831">
        <w:rPr>
          <w:rFonts w:ascii="Times New Roman" w:eastAsia="Calibri" w:hAnsi="Times New Roman"/>
          <w:b/>
          <w:szCs w:val="24"/>
          <w:lang w:eastAsia="en-US"/>
        </w:rPr>
        <w:t xml:space="preserve">resolution of 1 March 2018 on the </w:t>
      </w:r>
      <w:r w:rsidRPr="001870CB">
        <w:rPr>
          <w:rFonts w:ascii="Times New Roman" w:hAnsi="Times New Roman"/>
          <w:b/>
          <w:bCs/>
        </w:rPr>
        <w:t xml:space="preserve">Commission decision to activate Article 7(1) TEU as regards the situation </w:t>
      </w:r>
      <w:r w:rsidRPr="00525831">
        <w:rPr>
          <w:rFonts w:ascii="Times New Roman" w:eastAsia="Calibri" w:hAnsi="Times New Roman"/>
          <w:b/>
          <w:szCs w:val="24"/>
          <w:lang w:eastAsia="en-US"/>
        </w:rPr>
        <w:t>in Poland</w:t>
      </w:r>
    </w:p>
    <w:p w14:paraId="58CB5267" w14:textId="77777777" w:rsidR="005D30B0" w:rsidRPr="001870CB" w:rsidRDefault="005D30B0" w:rsidP="005D30B0">
      <w:pPr>
        <w:spacing w:after="600"/>
        <w:jc w:val="center"/>
        <w:rPr>
          <w:rFonts w:ascii="Times New Roman" w:eastAsia="Calibri" w:hAnsi="Times New Roman"/>
          <w:b/>
          <w:szCs w:val="24"/>
          <w:lang w:eastAsia="en-US"/>
        </w:rPr>
      </w:pPr>
      <w:r w:rsidRPr="001870CB">
        <w:rPr>
          <w:rFonts w:ascii="Times New Roman" w:hAnsi="Times New Roman"/>
          <w:b/>
        </w:rPr>
        <w:t>2018/2541</w:t>
      </w:r>
      <w:r>
        <w:rPr>
          <w:rFonts w:ascii="Times New Roman" w:hAnsi="Times New Roman"/>
          <w:b/>
        </w:rPr>
        <w:t> </w:t>
      </w:r>
      <w:r w:rsidRPr="001870CB">
        <w:rPr>
          <w:rFonts w:ascii="Times New Roman" w:hAnsi="Times New Roman"/>
          <w:b/>
        </w:rPr>
        <w:t>(RSP)</w:t>
      </w:r>
    </w:p>
    <w:p w14:paraId="0B2520D3" w14:textId="77777777" w:rsidR="005D30B0" w:rsidRPr="00525831" w:rsidRDefault="005D30B0" w:rsidP="005D30B0">
      <w:pPr>
        <w:ind w:left="567" w:hanging="567"/>
        <w:rPr>
          <w:rFonts w:ascii="Times New Roman" w:eastAsia="Calibri" w:hAnsi="Times New Roman"/>
          <w:b/>
          <w:szCs w:val="24"/>
        </w:rPr>
      </w:pPr>
      <w:r w:rsidRPr="00525831">
        <w:rPr>
          <w:rFonts w:ascii="Times New Roman" w:eastAsia="Calibri" w:hAnsi="Times New Roman"/>
          <w:b/>
          <w:szCs w:val="24"/>
          <w:lang w:eastAsia="en-US"/>
        </w:rPr>
        <w:t>1.</w:t>
      </w:r>
      <w:r w:rsidRPr="00525831">
        <w:rPr>
          <w:rFonts w:ascii="Times New Roman" w:eastAsia="Calibri" w:hAnsi="Times New Roman"/>
          <w:b/>
          <w:szCs w:val="24"/>
          <w:lang w:eastAsia="en-US"/>
        </w:rPr>
        <w:tab/>
      </w:r>
      <w:r w:rsidRPr="00525831">
        <w:rPr>
          <w:rFonts w:ascii="Times New Roman" w:eastAsia="Calibri" w:hAnsi="Times New Roman"/>
          <w:b/>
          <w:szCs w:val="24"/>
        </w:rPr>
        <w:t xml:space="preserve">Resolution to wind up the debate on the statement by the Commission pursuant to Rule 123(2) of the Rules of Procedure </w:t>
      </w:r>
      <w:r>
        <w:rPr>
          <w:rFonts w:ascii="Times New Roman" w:eastAsia="Calibri" w:hAnsi="Times New Roman"/>
          <w:b/>
          <w:szCs w:val="24"/>
        </w:rPr>
        <w:t xml:space="preserve">by </w:t>
      </w:r>
      <w:r w:rsidRPr="00525831">
        <w:rPr>
          <w:rFonts w:ascii="Times New Roman" w:eastAsia="Calibri" w:hAnsi="Times New Roman"/>
          <w:b/>
          <w:szCs w:val="24"/>
        </w:rPr>
        <w:t>the Committee on Civil Liberties, Justice and Home Affairs</w:t>
      </w:r>
    </w:p>
    <w:p w14:paraId="2A68F0B5" w14:textId="7B3F788F" w:rsidR="005D30B0" w:rsidRPr="00525831" w:rsidRDefault="005D30B0" w:rsidP="005D30B0">
      <w:pPr>
        <w:ind w:left="567" w:hanging="567"/>
        <w:rPr>
          <w:rFonts w:ascii="Times New Roman" w:eastAsia="Calibri" w:hAnsi="Times New Roman"/>
          <w:szCs w:val="24"/>
        </w:rPr>
      </w:pPr>
      <w:r w:rsidRPr="00525831">
        <w:rPr>
          <w:rFonts w:ascii="Times New Roman" w:eastAsia="Calibri" w:hAnsi="Times New Roman"/>
          <w:b/>
          <w:szCs w:val="24"/>
        </w:rPr>
        <w:t>2.</w:t>
      </w:r>
      <w:r w:rsidRPr="00525831">
        <w:rPr>
          <w:rFonts w:ascii="Times New Roman" w:eastAsia="Calibri" w:hAnsi="Times New Roman"/>
          <w:b/>
          <w:szCs w:val="24"/>
        </w:rPr>
        <w:tab/>
        <w:t>EP reference number:</w:t>
      </w:r>
      <w:r w:rsidRPr="00525831">
        <w:rPr>
          <w:rFonts w:ascii="Times New Roman" w:eastAsia="Calibri" w:hAnsi="Times New Roman"/>
          <w:szCs w:val="24"/>
        </w:rPr>
        <w:t xml:space="preserve"> </w:t>
      </w:r>
      <w:r w:rsidR="005D0D96">
        <w:rPr>
          <w:rFonts w:ascii="Times New Roman" w:hAnsi="Times New Roman"/>
        </w:rPr>
        <w:t>B8-0119</w:t>
      </w:r>
      <w:r w:rsidRPr="00DF25E4">
        <w:rPr>
          <w:rFonts w:ascii="Times New Roman" w:hAnsi="Times New Roman"/>
        </w:rPr>
        <w:t>/2018</w:t>
      </w:r>
      <w:r w:rsidRPr="00FF1F82">
        <w:rPr>
          <w:rFonts w:ascii="Times New Roman" w:eastAsia="Calibri" w:hAnsi="Times New Roman"/>
          <w:szCs w:val="24"/>
        </w:rPr>
        <w:t xml:space="preserve"> / </w:t>
      </w:r>
      <w:r w:rsidRPr="00525831">
        <w:rPr>
          <w:rFonts w:ascii="Times New Roman" w:eastAsia="Calibri" w:hAnsi="Times New Roman"/>
          <w:szCs w:val="24"/>
        </w:rPr>
        <w:t>P8_TA</w:t>
      </w:r>
      <w:r>
        <w:rPr>
          <w:rFonts w:ascii="Times New Roman" w:eastAsia="Calibri" w:hAnsi="Times New Roman"/>
          <w:szCs w:val="24"/>
        </w:rPr>
        <w:t>-PROV</w:t>
      </w:r>
      <w:r w:rsidRPr="00525831">
        <w:rPr>
          <w:rFonts w:ascii="Times New Roman" w:eastAsia="Calibri" w:hAnsi="Times New Roman"/>
          <w:szCs w:val="24"/>
        </w:rPr>
        <w:t>(2018)0055</w:t>
      </w:r>
    </w:p>
    <w:p w14:paraId="16E7101F" w14:textId="77777777" w:rsidR="005D30B0" w:rsidRPr="00525831" w:rsidRDefault="005D30B0" w:rsidP="005D30B0">
      <w:pPr>
        <w:ind w:left="567" w:hanging="567"/>
        <w:rPr>
          <w:rFonts w:ascii="Times New Roman" w:eastAsia="Calibri" w:hAnsi="Times New Roman"/>
          <w:szCs w:val="24"/>
        </w:rPr>
      </w:pPr>
      <w:r w:rsidRPr="00525831">
        <w:rPr>
          <w:rFonts w:ascii="Times New Roman" w:eastAsia="Calibri" w:hAnsi="Times New Roman"/>
          <w:b/>
          <w:szCs w:val="24"/>
        </w:rPr>
        <w:t>3.</w:t>
      </w:r>
      <w:r w:rsidRPr="00525831">
        <w:rPr>
          <w:rFonts w:ascii="Times New Roman" w:eastAsia="Calibri" w:hAnsi="Times New Roman"/>
          <w:b/>
          <w:szCs w:val="24"/>
        </w:rPr>
        <w:tab/>
        <w:t>Date of adoption of the resolution</w:t>
      </w:r>
      <w:r w:rsidRPr="00525831">
        <w:rPr>
          <w:rFonts w:ascii="Times New Roman" w:eastAsia="Calibri" w:hAnsi="Times New Roman"/>
          <w:szCs w:val="24"/>
        </w:rPr>
        <w:t>: 1 March</w:t>
      </w:r>
      <w:bookmarkStart w:id="0" w:name="_GoBack"/>
      <w:bookmarkEnd w:id="0"/>
      <w:r w:rsidRPr="00525831">
        <w:rPr>
          <w:rFonts w:ascii="Times New Roman" w:eastAsia="Calibri" w:hAnsi="Times New Roman"/>
          <w:szCs w:val="24"/>
        </w:rPr>
        <w:t xml:space="preserve"> 2018</w:t>
      </w:r>
    </w:p>
    <w:p w14:paraId="396229DD" w14:textId="77777777" w:rsidR="005D30B0" w:rsidRDefault="005D30B0" w:rsidP="005D30B0">
      <w:pPr>
        <w:ind w:left="567" w:hanging="567"/>
        <w:rPr>
          <w:rFonts w:ascii="Times New Roman" w:eastAsia="Calibri" w:hAnsi="Times New Roman"/>
          <w:szCs w:val="24"/>
        </w:rPr>
      </w:pPr>
      <w:r w:rsidRPr="00525831">
        <w:rPr>
          <w:rFonts w:ascii="Times New Roman" w:eastAsia="Calibri" w:hAnsi="Times New Roman"/>
          <w:b/>
          <w:szCs w:val="24"/>
        </w:rPr>
        <w:t>4.</w:t>
      </w:r>
      <w:r w:rsidRPr="00525831">
        <w:rPr>
          <w:rFonts w:ascii="Times New Roman" w:eastAsia="Calibri" w:hAnsi="Times New Roman"/>
          <w:b/>
          <w:szCs w:val="24"/>
        </w:rPr>
        <w:tab/>
        <w:t>Subject:</w:t>
      </w:r>
      <w:r w:rsidRPr="00525831">
        <w:rPr>
          <w:rFonts w:ascii="Times New Roman" w:eastAsia="Calibri" w:hAnsi="Times New Roman"/>
          <w:szCs w:val="24"/>
        </w:rPr>
        <w:t xml:space="preserve"> European Parliament resolution on the situation of the rule of law and democracy in Poland</w:t>
      </w:r>
    </w:p>
    <w:p w14:paraId="05ECCA65" w14:textId="77777777" w:rsidR="005D30B0" w:rsidRPr="009B543D" w:rsidRDefault="005D30B0" w:rsidP="005D30B0">
      <w:pPr>
        <w:ind w:left="567" w:hanging="567"/>
        <w:rPr>
          <w:rFonts w:ascii="Times New Roman" w:eastAsia="Calibri" w:hAnsi="Times New Roman"/>
          <w:szCs w:val="24"/>
        </w:rPr>
      </w:pPr>
      <w:r>
        <w:rPr>
          <w:rFonts w:ascii="Times New Roman" w:eastAsia="Calibri" w:hAnsi="Times New Roman"/>
          <w:b/>
          <w:szCs w:val="24"/>
        </w:rPr>
        <w:t>5.</w:t>
      </w:r>
      <w:r>
        <w:rPr>
          <w:rFonts w:ascii="Times New Roman" w:eastAsia="Calibri" w:hAnsi="Times New Roman"/>
          <w:szCs w:val="24"/>
        </w:rPr>
        <w:tab/>
      </w:r>
      <w:r w:rsidRPr="00EC0A27">
        <w:rPr>
          <w:rFonts w:ascii="Times New Roman" w:hAnsi="Times New Roman"/>
          <w:b/>
        </w:rPr>
        <w:t>Competent Parliamentary Committee</w:t>
      </w:r>
      <w:r w:rsidRPr="00DF25E4">
        <w:rPr>
          <w:rFonts w:ascii="Times New Roman" w:hAnsi="Times New Roman"/>
          <w:b/>
        </w:rPr>
        <w:t>:</w:t>
      </w:r>
      <w:r w:rsidRPr="00DF25E4">
        <w:rPr>
          <w:rFonts w:ascii="Times New Roman" w:hAnsi="Times New Roman"/>
        </w:rPr>
        <w:t xml:space="preserve"> </w:t>
      </w:r>
      <w:r w:rsidRPr="00B2623A">
        <w:rPr>
          <w:rFonts w:ascii="Times New Roman" w:hAnsi="Times New Roman"/>
        </w:rPr>
        <w:t>Committee on</w:t>
      </w:r>
      <w:r>
        <w:rPr>
          <w:rFonts w:ascii="Times New Roman" w:hAnsi="Times New Roman"/>
        </w:rPr>
        <w:t xml:space="preserve"> </w:t>
      </w:r>
      <w:r w:rsidRPr="001870CB">
        <w:rPr>
          <w:rFonts w:ascii="Times New Roman" w:eastAsia="Calibri" w:hAnsi="Times New Roman"/>
          <w:szCs w:val="24"/>
        </w:rPr>
        <w:t>Civil Liberties, Justice and Home Affairs</w:t>
      </w:r>
    </w:p>
    <w:p w14:paraId="681D46A0" w14:textId="77777777" w:rsidR="005D30B0" w:rsidRPr="00525831" w:rsidRDefault="005D30B0" w:rsidP="005D30B0">
      <w:pPr>
        <w:ind w:left="567" w:hanging="567"/>
        <w:rPr>
          <w:rFonts w:ascii="Times New Roman" w:eastAsia="Calibri" w:hAnsi="Times New Roman"/>
          <w:b/>
          <w:szCs w:val="24"/>
          <w:lang w:eastAsia="en-US"/>
        </w:rPr>
      </w:pPr>
      <w:r>
        <w:rPr>
          <w:rFonts w:ascii="Times New Roman" w:eastAsia="Calibri" w:hAnsi="Times New Roman"/>
          <w:b/>
          <w:szCs w:val="24"/>
          <w:lang w:eastAsia="en-US"/>
        </w:rPr>
        <w:t>6</w:t>
      </w:r>
      <w:r w:rsidRPr="00525831">
        <w:rPr>
          <w:rFonts w:ascii="Times New Roman" w:eastAsia="Calibri" w:hAnsi="Times New Roman"/>
          <w:b/>
          <w:szCs w:val="24"/>
          <w:lang w:eastAsia="en-US"/>
        </w:rPr>
        <w:t>.</w:t>
      </w:r>
      <w:r w:rsidRPr="00525831">
        <w:rPr>
          <w:rFonts w:ascii="Times New Roman" w:eastAsia="Calibri" w:hAnsi="Times New Roman"/>
          <w:b/>
          <w:szCs w:val="24"/>
          <w:lang w:eastAsia="en-US"/>
        </w:rPr>
        <w:tab/>
        <w:t>Brief analysis/</w:t>
      </w:r>
      <w:r>
        <w:rPr>
          <w:rFonts w:ascii="Times New Roman" w:eastAsia="Calibri" w:hAnsi="Times New Roman"/>
          <w:b/>
          <w:szCs w:val="24"/>
          <w:lang w:eastAsia="en-US"/>
        </w:rPr>
        <w:t xml:space="preserve"> </w:t>
      </w:r>
      <w:r w:rsidRPr="00525831">
        <w:rPr>
          <w:rFonts w:ascii="Times New Roman" w:eastAsia="Calibri" w:hAnsi="Times New Roman"/>
          <w:b/>
          <w:szCs w:val="24"/>
          <w:lang w:eastAsia="en-US"/>
        </w:rPr>
        <w:t>assessment of the resolution and requests made in it:</w:t>
      </w:r>
    </w:p>
    <w:p w14:paraId="462B6255" w14:textId="77777777" w:rsidR="005D30B0" w:rsidRPr="00525831" w:rsidRDefault="005D30B0" w:rsidP="005D30B0">
      <w:pPr>
        <w:pStyle w:val="Text1"/>
        <w:spacing w:after="120"/>
        <w:ind w:left="567"/>
        <w:rPr>
          <w:rFonts w:ascii="Times New Roman" w:hAnsi="Times New Roman"/>
        </w:rPr>
      </w:pPr>
      <w:r w:rsidRPr="00525831">
        <w:rPr>
          <w:rFonts w:ascii="Times New Roman" w:hAnsi="Times New Roman"/>
        </w:rPr>
        <w:t xml:space="preserve">The Parliament reiterates its position expressed in its resolution of 15 November 2017 whereby it stated that the current situation in Poland represents a clear risk of a serious breach of the values referred to in Article 2 </w:t>
      </w:r>
      <w:r>
        <w:rPr>
          <w:rFonts w:ascii="Times New Roman" w:hAnsi="Times New Roman"/>
        </w:rPr>
        <w:t xml:space="preserve">of the </w:t>
      </w:r>
      <w:r w:rsidRPr="00525831">
        <w:rPr>
          <w:rFonts w:ascii="Times New Roman" w:hAnsi="Times New Roman"/>
        </w:rPr>
        <w:t>T</w:t>
      </w:r>
      <w:r>
        <w:rPr>
          <w:rFonts w:ascii="Times New Roman" w:hAnsi="Times New Roman"/>
        </w:rPr>
        <w:t xml:space="preserve">reaty on </w:t>
      </w:r>
      <w:r w:rsidRPr="00525831">
        <w:rPr>
          <w:rFonts w:ascii="Times New Roman" w:hAnsi="Times New Roman"/>
        </w:rPr>
        <w:t>E</w:t>
      </w:r>
      <w:r>
        <w:rPr>
          <w:rFonts w:ascii="Times New Roman" w:hAnsi="Times New Roman"/>
        </w:rPr>
        <w:t xml:space="preserve">uropean </w:t>
      </w:r>
      <w:r w:rsidRPr="00525831">
        <w:rPr>
          <w:rFonts w:ascii="Times New Roman" w:hAnsi="Times New Roman"/>
        </w:rPr>
        <w:t>U</w:t>
      </w:r>
      <w:r>
        <w:rPr>
          <w:rFonts w:ascii="Times New Roman" w:hAnsi="Times New Roman"/>
        </w:rPr>
        <w:t>nion (TEU)</w:t>
      </w:r>
      <w:r w:rsidRPr="00525831">
        <w:rPr>
          <w:rStyle w:val="FootnoteReference"/>
          <w:rFonts w:ascii="Times New Roman" w:hAnsi="Times New Roman"/>
        </w:rPr>
        <w:footnoteReference w:id="1"/>
      </w:r>
      <w:r w:rsidRPr="00525831">
        <w:rPr>
          <w:rFonts w:ascii="Times New Roman" w:hAnsi="Times New Roman"/>
        </w:rPr>
        <w:t xml:space="preserve">. The Parliament (i) welcomes the Commission's decision to activate </w:t>
      </w:r>
      <w:r>
        <w:rPr>
          <w:rFonts w:ascii="Times New Roman" w:hAnsi="Times New Roman"/>
        </w:rPr>
        <w:t xml:space="preserve">the </w:t>
      </w:r>
      <w:r w:rsidRPr="00525831">
        <w:rPr>
          <w:rFonts w:ascii="Times New Roman" w:hAnsi="Times New Roman"/>
        </w:rPr>
        <w:t xml:space="preserve">Article 7(1) TEU procedure in its decision of 20 December 2017 and supports the Commission's call on the Polish authorities to address the problems. Furthermore, the Parliament </w:t>
      </w:r>
      <w:r>
        <w:rPr>
          <w:rFonts w:ascii="Times New Roman" w:hAnsi="Times New Roman"/>
        </w:rPr>
        <w:br/>
      </w:r>
      <w:r w:rsidRPr="00525831">
        <w:rPr>
          <w:rFonts w:ascii="Times New Roman" w:hAnsi="Times New Roman"/>
        </w:rPr>
        <w:t xml:space="preserve">(ii) calls on the Council to undertake swift action in accordance with Article 7(1) TEU, and (iii) calls on the Commission and the Council to keep it fully and regularly informed of progress made and action taken at every step of </w:t>
      </w:r>
      <w:r>
        <w:rPr>
          <w:rFonts w:ascii="Times New Roman" w:hAnsi="Times New Roman"/>
        </w:rPr>
        <w:t xml:space="preserve">the </w:t>
      </w:r>
      <w:r w:rsidRPr="00525831">
        <w:rPr>
          <w:rFonts w:ascii="Times New Roman" w:hAnsi="Times New Roman"/>
        </w:rPr>
        <w:t>Article 7(1) TEU procedure. Lastly, the Parliament (iv) instructs the President of the European Parliament to forward this resolution to the Commission and the Council, the President, Government and Parliament of Poland, the governments and parliaments of the Member States, the Council of Europe and the Organisation for Security and Cooperation in Europe (OSCE).</w:t>
      </w:r>
    </w:p>
    <w:p w14:paraId="09683A8A" w14:textId="77777777" w:rsidR="005D30B0" w:rsidRPr="00525831" w:rsidRDefault="005D30B0" w:rsidP="005D30B0">
      <w:pPr>
        <w:spacing w:before="240"/>
        <w:ind w:left="567" w:hanging="567"/>
        <w:rPr>
          <w:rFonts w:ascii="Times New Roman" w:eastAsia="Calibri" w:hAnsi="Times New Roman"/>
          <w:b/>
          <w:szCs w:val="24"/>
          <w:lang w:eastAsia="en-US"/>
        </w:rPr>
      </w:pPr>
      <w:r>
        <w:rPr>
          <w:rFonts w:ascii="Times New Roman" w:eastAsia="Calibri" w:hAnsi="Times New Roman"/>
          <w:b/>
          <w:szCs w:val="24"/>
          <w:lang w:eastAsia="en-US"/>
        </w:rPr>
        <w:t>7</w:t>
      </w:r>
      <w:r w:rsidRPr="00525831">
        <w:rPr>
          <w:rFonts w:ascii="Times New Roman" w:eastAsia="Calibri" w:hAnsi="Times New Roman"/>
          <w:b/>
          <w:szCs w:val="24"/>
          <w:lang w:eastAsia="en-US"/>
        </w:rPr>
        <w:t>.</w:t>
      </w:r>
      <w:r w:rsidRPr="00525831">
        <w:rPr>
          <w:rFonts w:ascii="Times New Roman" w:eastAsia="Calibri" w:hAnsi="Times New Roman"/>
          <w:b/>
          <w:szCs w:val="24"/>
          <w:lang w:eastAsia="en-US"/>
        </w:rPr>
        <w:tab/>
        <w:t>Response to requests and overview of action taken, or intended to be taken, by the Commission:</w:t>
      </w:r>
    </w:p>
    <w:p w14:paraId="7E9A6392" w14:textId="77777777" w:rsidR="005D30B0" w:rsidRPr="00525831" w:rsidRDefault="005D30B0" w:rsidP="005D30B0">
      <w:pPr>
        <w:spacing w:after="120"/>
        <w:ind w:left="567"/>
        <w:rPr>
          <w:rFonts w:ascii="Times New Roman" w:eastAsia="Calibri" w:hAnsi="Times New Roman"/>
          <w:szCs w:val="24"/>
        </w:rPr>
      </w:pPr>
      <w:r w:rsidRPr="00525831">
        <w:rPr>
          <w:rFonts w:ascii="Times New Roman" w:eastAsia="Calibri" w:hAnsi="Times New Roman"/>
          <w:szCs w:val="24"/>
        </w:rPr>
        <w:t xml:space="preserve">The Commission welcomes the support expressed by the Parliament for the Commission's decision to activate </w:t>
      </w:r>
      <w:r>
        <w:rPr>
          <w:rFonts w:ascii="Times New Roman" w:eastAsia="Calibri" w:hAnsi="Times New Roman"/>
          <w:szCs w:val="24"/>
        </w:rPr>
        <w:t xml:space="preserve">the </w:t>
      </w:r>
      <w:r w:rsidRPr="00525831">
        <w:rPr>
          <w:rFonts w:ascii="Times New Roman" w:eastAsia="Calibri" w:hAnsi="Times New Roman"/>
          <w:szCs w:val="24"/>
        </w:rPr>
        <w:t>Article 7(1) TEU procedure and its support f</w:t>
      </w:r>
      <w:r>
        <w:rPr>
          <w:rFonts w:ascii="Times New Roman" w:eastAsia="Calibri" w:hAnsi="Times New Roman"/>
          <w:szCs w:val="24"/>
        </w:rPr>
        <w:t>or</w:t>
      </w:r>
      <w:r w:rsidRPr="00525831">
        <w:rPr>
          <w:rFonts w:ascii="Times New Roman" w:eastAsia="Calibri" w:hAnsi="Times New Roman"/>
          <w:szCs w:val="24"/>
        </w:rPr>
        <w:t xml:space="preserve"> the Commission's call on the Polish authorities to address the problems identified in its Rule of Law Recommendations</w:t>
      </w:r>
      <w:r>
        <w:rPr>
          <w:rFonts w:ascii="Times New Roman" w:eastAsia="Calibri" w:hAnsi="Times New Roman"/>
          <w:szCs w:val="24"/>
        </w:rPr>
        <w:t>.</w:t>
      </w:r>
    </w:p>
    <w:p w14:paraId="03EAD506" w14:textId="77777777" w:rsidR="005D30B0" w:rsidRPr="00525831" w:rsidRDefault="005D30B0" w:rsidP="005D30B0">
      <w:pPr>
        <w:spacing w:after="120"/>
        <w:ind w:left="567"/>
        <w:rPr>
          <w:rFonts w:ascii="Times New Roman" w:eastAsia="Calibri" w:hAnsi="Times New Roman"/>
          <w:szCs w:val="24"/>
        </w:rPr>
      </w:pPr>
      <w:r w:rsidRPr="00525831">
        <w:rPr>
          <w:rFonts w:ascii="Times New Roman" w:eastAsia="Calibri" w:hAnsi="Times New Roman"/>
          <w:szCs w:val="24"/>
        </w:rPr>
        <w:t>On 27 February 2018, at the General Affairs Council, F</w:t>
      </w:r>
      <w:r>
        <w:rPr>
          <w:rFonts w:ascii="Times New Roman" w:eastAsia="Calibri" w:hAnsi="Times New Roman"/>
          <w:szCs w:val="24"/>
        </w:rPr>
        <w:t xml:space="preserve">irst </w:t>
      </w:r>
      <w:r w:rsidRPr="00525831">
        <w:rPr>
          <w:rFonts w:ascii="Times New Roman" w:eastAsia="Calibri" w:hAnsi="Times New Roman"/>
          <w:szCs w:val="24"/>
        </w:rPr>
        <w:t>V</w:t>
      </w:r>
      <w:r>
        <w:rPr>
          <w:rFonts w:ascii="Times New Roman" w:eastAsia="Calibri" w:hAnsi="Times New Roman"/>
          <w:szCs w:val="24"/>
        </w:rPr>
        <w:t>ice-</w:t>
      </w:r>
      <w:r w:rsidRPr="00525831">
        <w:rPr>
          <w:rFonts w:ascii="Times New Roman" w:eastAsia="Calibri" w:hAnsi="Times New Roman"/>
          <w:szCs w:val="24"/>
        </w:rPr>
        <w:t>P</w:t>
      </w:r>
      <w:r>
        <w:rPr>
          <w:rFonts w:ascii="Times New Roman" w:eastAsia="Calibri" w:hAnsi="Times New Roman"/>
          <w:szCs w:val="24"/>
        </w:rPr>
        <w:t>resident</w:t>
      </w:r>
      <w:r w:rsidRPr="00525831">
        <w:rPr>
          <w:rFonts w:ascii="Times New Roman" w:eastAsia="Calibri" w:hAnsi="Times New Roman"/>
          <w:szCs w:val="24"/>
        </w:rPr>
        <w:t xml:space="preserve"> Timmermans presented the Commission's reasoned proposal under Article 7(1) TEU concerning the Rule of Law in Poland. Poland noted that it disagrees with the Commission's assessment but confirmed its satisfaction with the ongoing dialogue. </w:t>
      </w:r>
      <w:r>
        <w:rPr>
          <w:rFonts w:ascii="Times New Roman" w:eastAsia="Calibri" w:hAnsi="Times New Roman"/>
          <w:szCs w:val="24"/>
        </w:rPr>
        <w:br/>
      </w:r>
      <w:r w:rsidRPr="00525831">
        <w:rPr>
          <w:rFonts w:ascii="Times New Roman" w:eastAsia="Calibri" w:hAnsi="Times New Roman"/>
          <w:szCs w:val="24"/>
        </w:rPr>
        <w:lastRenderedPageBreak/>
        <w:t>A broad majority of Member States encouraged the continuation of</w:t>
      </w:r>
      <w:r>
        <w:rPr>
          <w:rFonts w:ascii="Times New Roman" w:eastAsia="Calibri" w:hAnsi="Times New Roman"/>
          <w:szCs w:val="24"/>
        </w:rPr>
        <w:t xml:space="preserve"> the</w:t>
      </w:r>
      <w:r w:rsidRPr="00525831">
        <w:rPr>
          <w:rFonts w:ascii="Times New Roman" w:eastAsia="Calibri" w:hAnsi="Times New Roman"/>
          <w:szCs w:val="24"/>
        </w:rPr>
        <w:t xml:space="preserve"> dialogue with a view to addressing the Commission's concerns on </w:t>
      </w:r>
      <w:r>
        <w:rPr>
          <w:rFonts w:ascii="Times New Roman" w:eastAsia="Calibri" w:hAnsi="Times New Roman"/>
          <w:szCs w:val="24"/>
        </w:rPr>
        <w:t xml:space="preserve">the </w:t>
      </w:r>
      <w:r w:rsidRPr="00525831">
        <w:rPr>
          <w:rFonts w:ascii="Times New Roman" w:eastAsia="Calibri" w:hAnsi="Times New Roman"/>
          <w:szCs w:val="24"/>
        </w:rPr>
        <w:t>rule of law.</w:t>
      </w:r>
    </w:p>
    <w:p w14:paraId="62FAF9C1" w14:textId="77777777" w:rsidR="005D30B0" w:rsidRPr="00525831" w:rsidRDefault="005D30B0" w:rsidP="005D30B0">
      <w:pPr>
        <w:spacing w:after="120"/>
        <w:ind w:left="567"/>
        <w:rPr>
          <w:rFonts w:ascii="Times New Roman" w:eastAsia="Calibri" w:hAnsi="Times New Roman"/>
          <w:szCs w:val="24"/>
        </w:rPr>
      </w:pPr>
      <w:r w:rsidRPr="00525831">
        <w:rPr>
          <w:rFonts w:ascii="Times New Roman" w:eastAsia="Calibri" w:hAnsi="Times New Roman"/>
          <w:szCs w:val="24"/>
        </w:rPr>
        <w:t>On 8 March 2018, a "white paper" setting out the Polish position was published. The document does not contain any proposals, actions or initiatives to address the Commission's concerns. On 9 March 2018</w:t>
      </w:r>
      <w:r>
        <w:rPr>
          <w:rFonts w:ascii="Times New Roman" w:eastAsia="Calibri" w:hAnsi="Times New Roman"/>
          <w:szCs w:val="24"/>
        </w:rPr>
        <w:t>,</w:t>
      </w:r>
      <w:r w:rsidRPr="00525831">
        <w:rPr>
          <w:rFonts w:ascii="Times New Roman" w:eastAsia="Calibri" w:hAnsi="Times New Roman"/>
          <w:szCs w:val="24"/>
        </w:rPr>
        <w:t xml:space="preserve"> additional meetings with </w:t>
      </w:r>
      <w:r>
        <w:rPr>
          <w:rFonts w:ascii="Times New Roman" w:eastAsia="Calibri" w:hAnsi="Times New Roman"/>
          <w:szCs w:val="24"/>
        </w:rPr>
        <w:t xml:space="preserve">the </w:t>
      </w:r>
      <w:r w:rsidRPr="00525831">
        <w:rPr>
          <w:rFonts w:ascii="Times New Roman" w:eastAsia="Calibri" w:hAnsi="Times New Roman"/>
          <w:szCs w:val="24"/>
        </w:rPr>
        <w:t>Polish authorities took place when President Juncker and F</w:t>
      </w:r>
      <w:r>
        <w:rPr>
          <w:rFonts w:ascii="Times New Roman" w:eastAsia="Calibri" w:hAnsi="Times New Roman"/>
          <w:szCs w:val="24"/>
        </w:rPr>
        <w:t xml:space="preserve">irst </w:t>
      </w:r>
      <w:r w:rsidRPr="00525831">
        <w:rPr>
          <w:rFonts w:ascii="Times New Roman" w:eastAsia="Calibri" w:hAnsi="Times New Roman"/>
          <w:szCs w:val="24"/>
        </w:rPr>
        <w:t>V</w:t>
      </w:r>
      <w:r>
        <w:rPr>
          <w:rFonts w:ascii="Times New Roman" w:eastAsia="Calibri" w:hAnsi="Times New Roman"/>
          <w:szCs w:val="24"/>
        </w:rPr>
        <w:t>ice-</w:t>
      </w:r>
      <w:r w:rsidRPr="00525831">
        <w:rPr>
          <w:rFonts w:ascii="Times New Roman" w:eastAsia="Calibri" w:hAnsi="Times New Roman"/>
          <w:szCs w:val="24"/>
        </w:rPr>
        <w:t>P</w:t>
      </w:r>
      <w:r>
        <w:rPr>
          <w:rFonts w:ascii="Times New Roman" w:eastAsia="Calibri" w:hAnsi="Times New Roman"/>
          <w:szCs w:val="24"/>
        </w:rPr>
        <w:t>resident</w:t>
      </w:r>
      <w:r w:rsidRPr="00525831">
        <w:rPr>
          <w:rFonts w:ascii="Times New Roman" w:eastAsia="Calibri" w:hAnsi="Times New Roman"/>
          <w:szCs w:val="24"/>
        </w:rPr>
        <w:t xml:space="preserve"> Timmermans met with the Prime Minister of Poland, Mateusz Morawiecki.</w:t>
      </w:r>
    </w:p>
    <w:p w14:paraId="514C5241" w14:textId="77777777" w:rsidR="005D30B0" w:rsidRPr="00525831" w:rsidRDefault="005D30B0" w:rsidP="005D30B0">
      <w:pPr>
        <w:spacing w:after="120"/>
        <w:ind w:left="567"/>
        <w:rPr>
          <w:rFonts w:ascii="Times New Roman" w:eastAsia="Calibri" w:hAnsi="Times New Roman"/>
          <w:szCs w:val="24"/>
        </w:rPr>
      </w:pPr>
      <w:r>
        <w:rPr>
          <w:rFonts w:ascii="Times New Roman" w:eastAsia="Calibri" w:hAnsi="Times New Roman"/>
          <w:szCs w:val="24"/>
        </w:rPr>
        <w:t>As regards</w:t>
      </w:r>
      <w:r w:rsidRPr="00525831">
        <w:rPr>
          <w:rFonts w:ascii="Times New Roman" w:eastAsia="Calibri" w:hAnsi="Times New Roman"/>
          <w:szCs w:val="24"/>
        </w:rPr>
        <w:t xml:space="preserve"> other developments, </w:t>
      </w:r>
      <w:r>
        <w:rPr>
          <w:rFonts w:ascii="Times New Roman" w:eastAsia="Calibri" w:hAnsi="Times New Roman"/>
          <w:szCs w:val="24"/>
        </w:rPr>
        <w:t xml:space="preserve">in a judgment </w:t>
      </w:r>
      <w:r w:rsidRPr="00525831">
        <w:rPr>
          <w:rFonts w:ascii="Times New Roman" w:eastAsia="Calibri" w:hAnsi="Times New Roman"/>
          <w:szCs w:val="24"/>
        </w:rPr>
        <w:t>o</w:t>
      </w:r>
      <w:r>
        <w:rPr>
          <w:rFonts w:ascii="Times New Roman" w:eastAsia="Calibri" w:hAnsi="Times New Roman"/>
          <w:szCs w:val="24"/>
        </w:rPr>
        <w:t>f</w:t>
      </w:r>
      <w:r w:rsidRPr="00525831">
        <w:rPr>
          <w:rFonts w:ascii="Times New Roman" w:eastAsia="Calibri" w:hAnsi="Times New Roman"/>
          <w:szCs w:val="24"/>
        </w:rPr>
        <w:t xml:space="preserve"> 27 February 2018</w:t>
      </w:r>
      <w:r>
        <w:rPr>
          <w:rFonts w:ascii="Times New Roman" w:eastAsia="Calibri" w:hAnsi="Times New Roman"/>
          <w:szCs w:val="24"/>
        </w:rPr>
        <w:t xml:space="preserve"> (Case C-64/16)</w:t>
      </w:r>
      <w:r w:rsidRPr="00525831">
        <w:rPr>
          <w:rFonts w:ascii="Times New Roman" w:eastAsia="Calibri" w:hAnsi="Times New Roman"/>
          <w:szCs w:val="24"/>
        </w:rPr>
        <w:t xml:space="preserve">, the Court of Justice of the EU </w:t>
      </w:r>
      <w:r>
        <w:rPr>
          <w:rFonts w:ascii="Times New Roman" w:eastAsia="Calibri" w:hAnsi="Times New Roman"/>
          <w:szCs w:val="24"/>
        </w:rPr>
        <w:t xml:space="preserve">held that </w:t>
      </w:r>
      <w:r w:rsidRPr="00674470">
        <w:rPr>
          <w:rFonts w:ascii="Times New Roman" w:eastAsia="Calibri" w:hAnsi="Times New Roman"/>
          <w:szCs w:val="24"/>
        </w:rPr>
        <w:t>Member State</w:t>
      </w:r>
      <w:r>
        <w:rPr>
          <w:rFonts w:ascii="Times New Roman" w:eastAsia="Calibri" w:hAnsi="Times New Roman"/>
          <w:szCs w:val="24"/>
        </w:rPr>
        <w:t xml:space="preserve">s </w:t>
      </w:r>
      <w:r w:rsidRPr="00674470">
        <w:rPr>
          <w:rFonts w:ascii="Times New Roman" w:eastAsia="Calibri" w:hAnsi="Times New Roman"/>
          <w:szCs w:val="24"/>
        </w:rPr>
        <w:t>must ensure that</w:t>
      </w:r>
      <w:r>
        <w:rPr>
          <w:rFonts w:ascii="Times New Roman" w:eastAsia="Calibri" w:hAnsi="Times New Roman"/>
          <w:szCs w:val="24"/>
        </w:rPr>
        <w:t xml:space="preserve"> any </w:t>
      </w:r>
      <w:r w:rsidRPr="00674470">
        <w:rPr>
          <w:rFonts w:ascii="Times New Roman" w:eastAsia="Calibri" w:hAnsi="Times New Roman"/>
          <w:szCs w:val="24"/>
        </w:rPr>
        <w:t>court or tribunal</w:t>
      </w:r>
      <w:r>
        <w:rPr>
          <w:rFonts w:ascii="Times New Roman" w:eastAsia="Calibri" w:hAnsi="Times New Roman"/>
          <w:szCs w:val="24"/>
        </w:rPr>
        <w:t xml:space="preserve"> which may rule </w:t>
      </w:r>
      <w:r w:rsidRPr="00674470">
        <w:rPr>
          <w:rFonts w:ascii="Times New Roman" w:eastAsia="Calibri" w:hAnsi="Times New Roman"/>
          <w:szCs w:val="24"/>
        </w:rPr>
        <w:t>on questions concerning the application or interpretation of EU law</w:t>
      </w:r>
      <w:r>
        <w:rPr>
          <w:rFonts w:ascii="Times New Roman" w:eastAsia="Calibri" w:hAnsi="Times New Roman"/>
          <w:szCs w:val="24"/>
        </w:rPr>
        <w:t xml:space="preserve"> </w:t>
      </w:r>
      <w:r w:rsidRPr="00674470">
        <w:rPr>
          <w:rFonts w:ascii="Times New Roman" w:eastAsia="Calibri" w:hAnsi="Times New Roman"/>
          <w:szCs w:val="24"/>
        </w:rPr>
        <w:t>meets the requirements essential to effective judicial protection</w:t>
      </w:r>
      <w:r>
        <w:rPr>
          <w:rFonts w:ascii="Times New Roman" w:eastAsia="Calibri" w:hAnsi="Times New Roman"/>
          <w:szCs w:val="24"/>
        </w:rPr>
        <w:t xml:space="preserve"> and that i</w:t>
      </w:r>
      <w:r w:rsidRPr="00674470">
        <w:rPr>
          <w:rFonts w:ascii="Times New Roman" w:eastAsia="Calibri" w:hAnsi="Times New Roman"/>
          <w:szCs w:val="24"/>
        </w:rPr>
        <w:t>n order for that protection to be ensured, maintaining such a court</w:t>
      </w:r>
      <w:r>
        <w:rPr>
          <w:rFonts w:ascii="Times New Roman" w:eastAsia="Calibri" w:hAnsi="Times New Roman"/>
          <w:szCs w:val="24"/>
        </w:rPr>
        <w:t>'s</w:t>
      </w:r>
      <w:r w:rsidRPr="00674470">
        <w:rPr>
          <w:rFonts w:ascii="Times New Roman" w:eastAsia="Calibri" w:hAnsi="Times New Roman"/>
          <w:szCs w:val="24"/>
        </w:rPr>
        <w:t xml:space="preserve"> or tribunal’s independence is essential</w:t>
      </w:r>
      <w:r>
        <w:rPr>
          <w:rFonts w:ascii="Times New Roman" w:eastAsia="Calibri" w:hAnsi="Times New Roman"/>
          <w:szCs w:val="24"/>
        </w:rPr>
        <w:t xml:space="preserve">. </w:t>
      </w:r>
      <w:r w:rsidRPr="00525831">
        <w:rPr>
          <w:rFonts w:ascii="Times New Roman" w:eastAsia="Calibri" w:hAnsi="Times New Roman"/>
          <w:szCs w:val="24"/>
        </w:rPr>
        <w:t xml:space="preserve">On 12 March 2018, the High Court of Ireland decided to ask the Court of Justice for a preliminary ruling in a case regarding a European Arrest Warrant of a Polish citizen, against the background of the current situation </w:t>
      </w:r>
      <w:r>
        <w:rPr>
          <w:rFonts w:ascii="Times New Roman" w:eastAsia="Calibri" w:hAnsi="Times New Roman"/>
          <w:szCs w:val="24"/>
        </w:rPr>
        <w:t>concerning</w:t>
      </w:r>
      <w:r w:rsidRPr="00525831">
        <w:rPr>
          <w:rFonts w:ascii="Times New Roman" w:eastAsia="Calibri" w:hAnsi="Times New Roman"/>
          <w:szCs w:val="24"/>
        </w:rPr>
        <w:t xml:space="preserve"> the rule of law in Poland</w:t>
      </w:r>
      <w:r>
        <w:rPr>
          <w:rFonts w:ascii="Times New Roman" w:eastAsia="Calibri" w:hAnsi="Times New Roman"/>
          <w:szCs w:val="24"/>
        </w:rPr>
        <w:t xml:space="preserve"> (</w:t>
      </w:r>
      <w:r w:rsidRPr="00DB0B34">
        <w:rPr>
          <w:rFonts w:ascii="Times New Roman" w:eastAsia="Calibri" w:hAnsi="Times New Roman"/>
          <w:szCs w:val="24"/>
        </w:rPr>
        <w:t>Case C-216/18 PPU</w:t>
      </w:r>
      <w:r>
        <w:rPr>
          <w:rFonts w:ascii="Times New Roman" w:eastAsia="Calibri" w:hAnsi="Times New Roman"/>
          <w:szCs w:val="24"/>
        </w:rPr>
        <w:t>)</w:t>
      </w:r>
      <w:r w:rsidRPr="00525831">
        <w:rPr>
          <w:rFonts w:ascii="Times New Roman" w:eastAsia="Calibri" w:hAnsi="Times New Roman"/>
          <w:szCs w:val="24"/>
        </w:rPr>
        <w:t>. The Irish High Court concludes inter alia, based upon the information before it, that the rule of law in Poland has been systematically damaged by the cumulative impact of all the legislative changes that have taken place over the last two years.</w:t>
      </w:r>
    </w:p>
    <w:p w14:paraId="77FC6C17" w14:textId="77777777" w:rsidR="005D30B0" w:rsidRPr="00525831" w:rsidRDefault="005D30B0" w:rsidP="005D30B0">
      <w:pPr>
        <w:spacing w:after="120"/>
        <w:ind w:left="567"/>
        <w:rPr>
          <w:rFonts w:ascii="Times New Roman" w:eastAsia="Calibri" w:hAnsi="Times New Roman"/>
          <w:szCs w:val="24"/>
        </w:rPr>
      </w:pPr>
      <w:r w:rsidRPr="00525831">
        <w:rPr>
          <w:rFonts w:ascii="Times New Roman" w:eastAsia="Calibri" w:hAnsi="Times New Roman"/>
          <w:szCs w:val="24"/>
        </w:rPr>
        <w:t>On 20 March 2018, F</w:t>
      </w:r>
      <w:r>
        <w:rPr>
          <w:rFonts w:ascii="Times New Roman" w:eastAsia="Calibri" w:hAnsi="Times New Roman"/>
          <w:szCs w:val="24"/>
        </w:rPr>
        <w:t xml:space="preserve">irst </w:t>
      </w:r>
      <w:r w:rsidRPr="00525831">
        <w:rPr>
          <w:rFonts w:ascii="Times New Roman" w:eastAsia="Calibri" w:hAnsi="Times New Roman"/>
          <w:szCs w:val="24"/>
        </w:rPr>
        <w:t>V</w:t>
      </w:r>
      <w:r>
        <w:rPr>
          <w:rFonts w:ascii="Times New Roman" w:eastAsia="Calibri" w:hAnsi="Times New Roman"/>
          <w:szCs w:val="24"/>
        </w:rPr>
        <w:t>ice-</w:t>
      </w:r>
      <w:r w:rsidRPr="00525831">
        <w:rPr>
          <w:rFonts w:ascii="Times New Roman" w:eastAsia="Calibri" w:hAnsi="Times New Roman"/>
          <w:szCs w:val="24"/>
        </w:rPr>
        <w:t>P</w:t>
      </w:r>
      <w:r>
        <w:rPr>
          <w:rFonts w:ascii="Times New Roman" w:eastAsia="Calibri" w:hAnsi="Times New Roman"/>
          <w:szCs w:val="24"/>
        </w:rPr>
        <w:t>resident</w:t>
      </w:r>
      <w:r w:rsidRPr="00525831">
        <w:rPr>
          <w:rFonts w:ascii="Times New Roman" w:eastAsia="Calibri" w:hAnsi="Times New Roman"/>
          <w:szCs w:val="24"/>
        </w:rPr>
        <w:t xml:space="preserve"> Timmermans further updated the General Affairs Council on developments concerning the rule of law in Poland, as a follow-up to his presentation of 27 February 2018. F</w:t>
      </w:r>
      <w:r>
        <w:rPr>
          <w:rFonts w:ascii="Times New Roman" w:eastAsia="Calibri" w:hAnsi="Times New Roman"/>
          <w:szCs w:val="24"/>
        </w:rPr>
        <w:t xml:space="preserve">irst </w:t>
      </w:r>
      <w:r w:rsidRPr="00525831">
        <w:rPr>
          <w:rFonts w:ascii="Times New Roman" w:eastAsia="Calibri" w:hAnsi="Times New Roman"/>
          <w:szCs w:val="24"/>
        </w:rPr>
        <w:t>V</w:t>
      </w:r>
      <w:r>
        <w:rPr>
          <w:rFonts w:ascii="Times New Roman" w:eastAsia="Calibri" w:hAnsi="Times New Roman"/>
          <w:szCs w:val="24"/>
        </w:rPr>
        <w:t>ice-</w:t>
      </w:r>
      <w:r w:rsidRPr="00525831">
        <w:rPr>
          <w:rFonts w:ascii="Times New Roman" w:eastAsia="Calibri" w:hAnsi="Times New Roman"/>
          <w:szCs w:val="24"/>
        </w:rPr>
        <w:t>P</w:t>
      </w:r>
      <w:r>
        <w:rPr>
          <w:rFonts w:ascii="Times New Roman" w:eastAsia="Calibri" w:hAnsi="Times New Roman"/>
          <w:szCs w:val="24"/>
        </w:rPr>
        <w:t>resident Timmermans</w:t>
      </w:r>
      <w:r w:rsidRPr="00525831">
        <w:rPr>
          <w:rFonts w:ascii="Times New Roman" w:eastAsia="Calibri" w:hAnsi="Times New Roman"/>
          <w:szCs w:val="24"/>
        </w:rPr>
        <w:t xml:space="preserve"> noted that whilst the high-level dialogue between the Commission and the Polish authorities is continuing, Poland is pressing on with its judicial reform agenda without taking into account the Commission's fourth Rule of Law Recommendation. A broad majority of intervening Member States expressed continued support for the work of the Commission in the dialogue with Poland. On the same day Poland submitted </w:t>
      </w:r>
      <w:r>
        <w:rPr>
          <w:rFonts w:ascii="Times New Roman" w:eastAsia="Calibri" w:hAnsi="Times New Roman"/>
          <w:szCs w:val="24"/>
        </w:rPr>
        <w:t>its</w:t>
      </w:r>
      <w:r w:rsidRPr="00525831">
        <w:rPr>
          <w:rFonts w:ascii="Times New Roman" w:eastAsia="Calibri" w:hAnsi="Times New Roman"/>
          <w:szCs w:val="24"/>
        </w:rPr>
        <w:t xml:space="preserve"> reply to the </w:t>
      </w:r>
      <w:r>
        <w:rPr>
          <w:rFonts w:ascii="Times New Roman" w:eastAsia="Calibri" w:hAnsi="Times New Roman"/>
          <w:szCs w:val="24"/>
        </w:rPr>
        <w:t xml:space="preserve">Commission's fourth </w:t>
      </w:r>
      <w:r w:rsidRPr="00525831">
        <w:rPr>
          <w:rFonts w:ascii="Times New Roman" w:eastAsia="Calibri" w:hAnsi="Times New Roman"/>
          <w:szCs w:val="24"/>
        </w:rPr>
        <w:t>Recommendation which re</w:t>
      </w:r>
      <w:r>
        <w:rPr>
          <w:rFonts w:ascii="Times New Roman" w:eastAsia="Calibri" w:hAnsi="Times New Roman"/>
          <w:szCs w:val="24"/>
        </w:rPr>
        <w:t>jects</w:t>
      </w:r>
      <w:r w:rsidRPr="00525831">
        <w:rPr>
          <w:rFonts w:ascii="Times New Roman" w:eastAsia="Calibri" w:hAnsi="Times New Roman"/>
          <w:szCs w:val="24"/>
        </w:rPr>
        <w:t xml:space="preserve"> the arguments of the Recommendation and does not contain any measures to address the Commission's concerns.</w:t>
      </w:r>
    </w:p>
    <w:p w14:paraId="29CB9E73" w14:textId="77777777" w:rsidR="005D30B0" w:rsidRPr="00525831" w:rsidRDefault="005D30B0" w:rsidP="005D30B0">
      <w:pPr>
        <w:spacing w:after="120"/>
        <w:ind w:left="567"/>
        <w:rPr>
          <w:rFonts w:ascii="Times New Roman" w:eastAsia="Calibri" w:hAnsi="Times New Roman"/>
          <w:szCs w:val="24"/>
        </w:rPr>
      </w:pPr>
      <w:r w:rsidRPr="00525831">
        <w:rPr>
          <w:rFonts w:ascii="Times New Roman" w:eastAsia="Calibri" w:hAnsi="Times New Roman"/>
          <w:szCs w:val="24"/>
        </w:rPr>
        <w:t>On 22 and 30 March 2018, the parliamentary majority submitted three draft laws to the Sejm, amending the law on the Supreme Court, the law on the Ordinary Courts Organisation, the law on the National Council for the Judiciary, and one of the laws on the Constitutional Tribunal. These draft</w:t>
      </w:r>
      <w:r>
        <w:rPr>
          <w:rFonts w:ascii="Times New Roman" w:eastAsia="Calibri" w:hAnsi="Times New Roman"/>
          <w:szCs w:val="24"/>
        </w:rPr>
        <w:t xml:space="preserve"> laws</w:t>
      </w:r>
      <w:r w:rsidRPr="00525831">
        <w:rPr>
          <w:rFonts w:ascii="Times New Roman" w:eastAsia="Calibri" w:hAnsi="Times New Roman"/>
          <w:szCs w:val="24"/>
        </w:rPr>
        <w:t xml:space="preserve"> were adopted on 12 April</w:t>
      </w:r>
      <w:r>
        <w:rPr>
          <w:rFonts w:ascii="Times New Roman" w:eastAsia="Calibri" w:hAnsi="Times New Roman"/>
          <w:szCs w:val="24"/>
        </w:rPr>
        <w:t xml:space="preserve"> 2018</w:t>
      </w:r>
      <w:r w:rsidRPr="00525831">
        <w:rPr>
          <w:rFonts w:ascii="Times New Roman" w:eastAsia="Calibri" w:hAnsi="Times New Roman"/>
          <w:szCs w:val="24"/>
        </w:rPr>
        <w:t xml:space="preserve"> by the Sejm</w:t>
      </w:r>
      <w:r>
        <w:rPr>
          <w:rFonts w:ascii="Times New Roman" w:eastAsia="Calibri" w:hAnsi="Times New Roman"/>
          <w:szCs w:val="24"/>
        </w:rPr>
        <w:t xml:space="preserve">, approved on 16 April 2018 by the Senate, and </w:t>
      </w:r>
      <w:r w:rsidRPr="005664AE">
        <w:rPr>
          <w:rFonts w:ascii="Times New Roman" w:eastAsia="Calibri" w:hAnsi="Times New Roman"/>
          <w:szCs w:val="24"/>
        </w:rPr>
        <w:t>signed by the President of the Republic on 3 May 2018</w:t>
      </w:r>
      <w:r w:rsidRPr="00525831">
        <w:rPr>
          <w:rFonts w:ascii="Times New Roman" w:eastAsia="Calibri" w:hAnsi="Times New Roman"/>
          <w:szCs w:val="24"/>
        </w:rPr>
        <w:t>.</w:t>
      </w:r>
      <w:r>
        <w:rPr>
          <w:rFonts w:ascii="Times New Roman" w:eastAsia="Calibri" w:hAnsi="Times New Roman"/>
          <w:szCs w:val="24"/>
        </w:rPr>
        <w:t xml:space="preserve"> </w:t>
      </w:r>
      <w:r w:rsidRPr="005664AE">
        <w:rPr>
          <w:rFonts w:ascii="Times New Roman" w:eastAsia="Calibri" w:hAnsi="Times New Roman"/>
          <w:szCs w:val="24"/>
        </w:rPr>
        <w:t>On 4 May 2018, a new draft law amending the Supreme Court Law and certain other laws</w:t>
      </w:r>
      <w:r>
        <w:rPr>
          <w:rFonts w:ascii="Times New Roman" w:eastAsia="Calibri" w:hAnsi="Times New Roman"/>
          <w:szCs w:val="24"/>
        </w:rPr>
        <w:t>,</w:t>
      </w:r>
      <w:r w:rsidRPr="005664AE">
        <w:rPr>
          <w:rFonts w:ascii="Times New Roman" w:eastAsia="Calibri" w:hAnsi="Times New Roman"/>
          <w:szCs w:val="24"/>
        </w:rPr>
        <w:t xml:space="preserve"> </w:t>
      </w:r>
      <w:r>
        <w:rPr>
          <w:rFonts w:ascii="Times New Roman" w:eastAsia="Calibri" w:hAnsi="Times New Roman"/>
          <w:szCs w:val="24"/>
        </w:rPr>
        <w:t>relating</w:t>
      </w:r>
      <w:r w:rsidRPr="005664AE">
        <w:rPr>
          <w:rFonts w:ascii="Times New Roman" w:eastAsia="Calibri" w:hAnsi="Times New Roman"/>
          <w:szCs w:val="24"/>
        </w:rPr>
        <w:t xml:space="preserve"> to the extraordinary appeal </w:t>
      </w:r>
      <w:r>
        <w:rPr>
          <w:rFonts w:ascii="Times New Roman" w:eastAsia="Calibri" w:hAnsi="Times New Roman"/>
          <w:szCs w:val="24"/>
        </w:rPr>
        <w:t xml:space="preserve">procedure </w:t>
      </w:r>
      <w:r w:rsidRPr="005664AE">
        <w:rPr>
          <w:rFonts w:ascii="Times New Roman" w:eastAsia="Calibri" w:hAnsi="Times New Roman"/>
          <w:szCs w:val="24"/>
        </w:rPr>
        <w:t>and the assistant judges</w:t>
      </w:r>
      <w:r>
        <w:rPr>
          <w:rFonts w:ascii="Times New Roman" w:eastAsia="Calibri" w:hAnsi="Times New Roman"/>
          <w:szCs w:val="24"/>
        </w:rPr>
        <w:t>,</w:t>
      </w:r>
      <w:r w:rsidRPr="005664AE">
        <w:rPr>
          <w:rFonts w:ascii="Times New Roman" w:eastAsia="Calibri" w:hAnsi="Times New Roman"/>
          <w:szCs w:val="24"/>
        </w:rPr>
        <w:t xml:space="preserve"> </w:t>
      </w:r>
      <w:r>
        <w:rPr>
          <w:rFonts w:ascii="Times New Roman" w:eastAsia="Calibri" w:hAnsi="Times New Roman"/>
          <w:szCs w:val="24"/>
        </w:rPr>
        <w:t>was</w:t>
      </w:r>
      <w:r w:rsidRPr="005664AE">
        <w:rPr>
          <w:rFonts w:ascii="Times New Roman" w:eastAsia="Calibri" w:hAnsi="Times New Roman"/>
          <w:szCs w:val="24"/>
        </w:rPr>
        <w:t xml:space="preserve"> introduced in the Sejm by </w:t>
      </w:r>
      <w:r w:rsidRPr="00525831">
        <w:rPr>
          <w:rFonts w:ascii="Times New Roman" w:eastAsia="Calibri" w:hAnsi="Times New Roman"/>
          <w:szCs w:val="24"/>
        </w:rPr>
        <w:t>the parliamentary majority.</w:t>
      </w:r>
    </w:p>
    <w:p w14:paraId="038A716E" w14:textId="77777777" w:rsidR="005D30B0" w:rsidRDefault="005D30B0" w:rsidP="005D30B0">
      <w:pPr>
        <w:spacing w:after="120"/>
        <w:ind w:left="567"/>
        <w:rPr>
          <w:rFonts w:ascii="Times New Roman" w:eastAsia="Calibri" w:hAnsi="Times New Roman"/>
          <w:szCs w:val="24"/>
        </w:rPr>
      </w:pPr>
      <w:r w:rsidRPr="00525831">
        <w:rPr>
          <w:rFonts w:ascii="Times New Roman" w:eastAsia="Calibri" w:hAnsi="Times New Roman"/>
          <w:szCs w:val="24"/>
        </w:rPr>
        <w:t>On 9 April 2018, F</w:t>
      </w:r>
      <w:r>
        <w:rPr>
          <w:rFonts w:ascii="Times New Roman" w:eastAsia="Calibri" w:hAnsi="Times New Roman"/>
          <w:szCs w:val="24"/>
        </w:rPr>
        <w:t xml:space="preserve">irst </w:t>
      </w:r>
      <w:r w:rsidRPr="00525831">
        <w:rPr>
          <w:rFonts w:ascii="Times New Roman" w:eastAsia="Calibri" w:hAnsi="Times New Roman"/>
          <w:szCs w:val="24"/>
        </w:rPr>
        <w:t>V</w:t>
      </w:r>
      <w:r>
        <w:rPr>
          <w:rFonts w:ascii="Times New Roman" w:eastAsia="Calibri" w:hAnsi="Times New Roman"/>
          <w:szCs w:val="24"/>
        </w:rPr>
        <w:t>ice-</w:t>
      </w:r>
      <w:r w:rsidRPr="00525831">
        <w:rPr>
          <w:rFonts w:ascii="Times New Roman" w:eastAsia="Calibri" w:hAnsi="Times New Roman"/>
          <w:szCs w:val="24"/>
        </w:rPr>
        <w:t>P</w:t>
      </w:r>
      <w:r>
        <w:rPr>
          <w:rFonts w:ascii="Times New Roman" w:eastAsia="Calibri" w:hAnsi="Times New Roman"/>
          <w:szCs w:val="24"/>
        </w:rPr>
        <w:t>resident</w:t>
      </w:r>
      <w:r w:rsidRPr="00525831">
        <w:rPr>
          <w:rFonts w:ascii="Times New Roman" w:eastAsia="Calibri" w:hAnsi="Times New Roman"/>
          <w:szCs w:val="24"/>
        </w:rPr>
        <w:t xml:space="preserve"> Timmermans visited Poland where he discussed rule of law matters with Polish </w:t>
      </w:r>
      <w:r>
        <w:rPr>
          <w:rFonts w:ascii="Times New Roman" w:eastAsia="Calibri" w:hAnsi="Times New Roman"/>
          <w:szCs w:val="24"/>
        </w:rPr>
        <w:t>authorities (</w:t>
      </w:r>
      <w:r w:rsidRPr="00525831">
        <w:rPr>
          <w:rFonts w:ascii="Times New Roman" w:eastAsia="Calibri" w:hAnsi="Times New Roman"/>
          <w:szCs w:val="24"/>
        </w:rPr>
        <w:t>including the Prime Minister</w:t>
      </w:r>
      <w:r>
        <w:rPr>
          <w:rFonts w:ascii="Times New Roman" w:eastAsia="Calibri" w:hAnsi="Times New Roman"/>
          <w:szCs w:val="24"/>
        </w:rPr>
        <w:t>,</w:t>
      </w:r>
      <w:r w:rsidRPr="00525831">
        <w:rPr>
          <w:rFonts w:ascii="Times New Roman" w:eastAsia="Calibri" w:hAnsi="Times New Roman"/>
          <w:szCs w:val="24"/>
        </w:rPr>
        <w:t xml:space="preserve"> the Foreign Minister</w:t>
      </w:r>
      <w:r>
        <w:rPr>
          <w:rFonts w:ascii="Times New Roman" w:eastAsia="Calibri" w:hAnsi="Times New Roman"/>
          <w:szCs w:val="24"/>
        </w:rPr>
        <w:t xml:space="preserve">, the </w:t>
      </w:r>
      <w:r w:rsidRPr="002804A3">
        <w:rPr>
          <w:rFonts w:ascii="Times New Roman" w:eastAsia="Calibri" w:hAnsi="Times New Roman"/>
          <w:szCs w:val="24"/>
        </w:rPr>
        <w:t>First President of the Supreme Court</w:t>
      </w:r>
      <w:r>
        <w:rPr>
          <w:rFonts w:ascii="Times New Roman" w:eastAsia="Calibri" w:hAnsi="Times New Roman"/>
          <w:szCs w:val="24"/>
        </w:rPr>
        <w:t>,</w:t>
      </w:r>
      <w:r w:rsidRPr="002804A3">
        <w:rPr>
          <w:rFonts w:ascii="Times New Roman" w:eastAsia="Calibri" w:hAnsi="Times New Roman"/>
          <w:szCs w:val="24"/>
        </w:rPr>
        <w:t xml:space="preserve"> as well as the Ombudsman</w:t>
      </w:r>
      <w:r>
        <w:rPr>
          <w:rFonts w:ascii="Times New Roman" w:eastAsia="Calibri" w:hAnsi="Times New Roman"/>
          <w:szCs w:val="24"/>
        </w:rPr>
        <w:t xml:space="preserve">) and other </w:t>
      </w:r>
      <w:r w:rsidRPr="00525831">
        <w:rPr>
          <w:rFonts w:ascii="Times New Roman" w:eastAsia="Calibri" w:hAnsi="Times New Roman"/>
          <w:szCs w:val="24"/>
        </w:rPr>
        <w:t>stakeholders. The Commission welcomed the fact that there is now a genuine dialogue with Polish authorities and stressed that it is urgent to find solutions.</w:t>
      </w:r>
    </w:p>
    <w:p w14:paraId="62BB02CC" w14:textId="03BAB641" w:rsidR="007C5886" w:rsidRPr="001322B2" w:rsidRDefault="005D30B0" w:rsidP="001322B2">
      <w:pPr>
        <w:spacing w:after="120"/>
        <w:ind w:left="567"/>
        <w:rPr>
          <w:rFonts w:ascii="Times New Roman" w:eastAsia="Calibri" w:hAnsi="Times New Roman"/>
          <w:szCs w:val="24"/>
        </w:rPr>
      </w:pPr>
      <w:r>
        <w:rPr>
          <w:rFonts w:ascii="Times New Roman" w:eastAsia="Calibri" w:hAnsi="Times New Roman"/>
          <w:szCs w:val="24"/>
        </w:rPr>
        <w:t xml:space="preserve">On 17 April 2018, First Vice-President Timmermans </w:t>
      </w:r>
      <w:r w:rsidRPr="004929B2">
        <w:rPr>
          <w:rFonts w:ascii="Times New Roman" w:eastAsia="Calibri" w:hAnsi="Times New Roman"/>
          <w:szCs w:val="24"/>
        </w:rPr>
        <w:t xml:space="preserve">updated the General Affairs Council as regards the situation of the rule of law, welcoming a recent intensification in the dialogue with Poland and </w:t>
      </w:r>
      <w:r>
        <w:rPr>
          <w:rFonts w:ascii="Times New Roman" w:eastAsia="Calibri" w:hAnsi="Times New Roman"/>
          <w:szCs w:val="24"/>
        </w:rPr>
        <w:t xml:space="preserve">the encouraging </w:t>
      </w:r>
      <w:r w:rsidRPr="004929B2">
        <w:rPr>
          <w:rFonts w:ascii="Times New Roman" w:eastAsia="Calibri" w:hAnsi="Times New Roman"/>
          <w:szCs w:val="24"/>
        </w:rPr>
        <w:t xml:space="preserve">discussions during </w:t>
      </w:r>
      <w:r>
        <w:rPr>
          <w:rFonts w:ascii="Times New Roman" w:eastAsia="Calibri" w:hAnsi="Times New Roman"/>
          <w:szCs w:val="24"/>
        </w:rPr>
        <w:t xml:space="preserve">his visit </w:t>
      </w:r>
      <w:r w:rsidRPr="004929B2">
        <w:rPr>
          <w:rFonts w:ascii="Times New Roman" w:eastAsia="Calibri" w:hAnsi="Times New Roman"/>
          <w:szCs w:val="24"/>
        </w:rPr>
        <w:t xml:space="preserve">to </w:t>
      </w:r>
      <w:r>
        <w:rPr>
          <w:rFonts w:ascii="Times New Roman" w:eastAsia="Calibri" w:hAnsi="Times New Roman"/>
          <w:szCs w:val="24"/>
        </w:rPr>
        <w:t>Poland</w:t>
      </w:r>
      <w:r w:rsidRPr="004929B2">
        <w:rPr>
          <w:rFonts w:ascii="Times New Roman" w:eastAsia="Calibri" w:hAnsi="Times New Roman"/>
          <w:szCs w:val="24"/>
        </w:rPr>
        <w:t xml:space="preserve">. However, </w:t>
      </w:r>
      <w:r>
        <w:rPr>
          <w:rFonts w:ascii="Times New Roman" w:eastAsia="Calibri" w:hAnsi="Times New Roman"/>
          <w:szCs w:val="24"/>
        </w:rPr>
        <w:t>First Vice-President Timmermans</w:t>
      </w:r>
      <w:r w:rsidRPr="004929B2">
        <w:rPr>
          <w:rFonts w:ascii="Times New Roman" w:eastAsia="Calibri" w:hAnsi="Times New Roman"/>
          <w:szCs w:val="24"/>
        </w:rPr>
        <w:t xml:space="preserve"> stressed that despite the recent legislative amendments</w:t>
      </w:r>
      <w:r>
        <w:rPr>
          <w:rFonts w:ascii="Times New Roman" w:eastAsia="Calibri" w:hAnsi="Times New Roman"/>
          <w:szCs w:val="24"/>
        </w:rPr>
        <w:t xml:space="preserve">, further </w:t>
      </w:r>
      <w:r w:rsidRPr="004929B2">
        <w:rPr>
          <w:rFonts w:ascii="Times New Roman" w:eastAsia="Calibri" w:hAnsi="Times New Roman"/>
          <w:szCs w:val="24"/>
        </w:rPr>
        <w:t>tangible and concrete solutions to the Commissi</w:t>
      </w:r>
      <w:r>
        <w:rPr>
          <w:rFonts w:ascii="Times New Roman" w:eastAsia="Calibri" w:hAnsi="Times New Roman"/>
          <w:szCs w:val="24"/>
        </w:rPr>
        <w:t xml:space="preserve">on's concerns are still needed. He </w:t>
      </w:r>
      <w:r w:rsidRPr="004929B2">
        <w:rPr>
          <w:rFonts w:ascii="Times New Roman" w:eastAsia="Calibri" w:hAnsi="Times New Roman"/>
          <w:szCs w:val="24"/>
        </w:rPr>
        <w:t xml:space="preserve">committed to provide a further assessment to </w:t>
      </w:r>
      <w:r>
        <w:rPr>
          <w:rFonts w:ascii="Times New Roman" w:eastAsia="Calibri" w:hAnsi="Times New Roman"/>
          <w:szCs w:val="24"/>
        </w:rPr>
        <w:t>M</w:t>
      </w:r>
      <w:r w:rsidRPr="004929B2">
        <w:rPr>
          <w:rFonts w:ascii="Times New Roman" w:eastAsia="Calibri" w:hAnsi="Times New Roman"/>
          <w:szCs w:val="24"/>
        </w:rPr>
        <w:t xml:space="preserve">inisters </w:t>
      </w:r>
      <w:r>
        <w:rPr>
          <w:rFonts w:ascii="Times New Roman" w:eastAsia="Calibri" w:hAnsi="Times New Roman"/>
          <w:szCs w:val="24"/>
        </w:rPr>
        <w:t xml:space="preserve">at the </w:t>
      </w:r>
      <w:r w:rsidRPr="004929B2">
        <w:rPr>
          <w:rFonts w:ascii="Times New Roman" w:eastAsia="Calibri" w:hAnsi="Times New Roman"/>
          <w:szCs w:val="24"/>
        </w:rPr>
        <w:t xml:space="preserve">next General Affairs Council </w:t>
      </w:r>
      <w:r>
        <w:rPr>
          <w:rFonts w:ascii="Times New Roman" w:eastAsia="Calibri" w:hAnsi="Times New Roman"/>
          <w:szCs w:val="24"/>
        </w:rPr>
        <w:t>on 14</w:t>
      </w:r>
      <w:r w:rsidRPr="004929B2">
        <w:rPr>
          <w:rFonts w:ascii="Times New Roman" w:eastAsia="Calibri" w:hAnsi="Times New Roman"/>
          <w:szCs w:val="24"/>
        </w:rPr>
        <w:t xml:space="preserve"> May</w:t>
      </w:r>
      <w:r>
        <w:rPr>
          <w:rFonts w:ascii="Times New Roman" w:eastAsia="Calibri" w:hAnsi="Times New Roman"/>
          <w:szCs w:val="24"/>
        </w:rPr>
        <w:t xml:space="preserve"> 2018</w:t>
      </w:r>
      <w:r w:rsidRPr="004929B2">
        <w:rPr>
          <w:rFonts w:ascii="Times New Roman" w:eastAsia="Calibri" w:hAnsi="Times New Roman"/>
          <w:szCs w:val="24"/>
        </w:rPr>
        <w:t>.</w:t>
      </w:r>
    </w:p>
    <w:sectPr w:rsidR="007C5886" w:rsidRPr="001322B2" w:rsidSect="0044154D">
      <w:footerReference w:type="even" r:id="rId8"/>
      <w:footerReference w:type="default" r:id="rId9"/>
      <w:footnotePr>
        <w:numRestart w:val="eachSect"/>
      </w:footnotePr>
      <w:pgSz w:w="11906" w:h="16838" w:code="9"/>
      <w:pgMar w:top="1021" w:right="1418"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14D6" w14:textId="77777777" w:rsidR="00B2476D" w:rsidRDefault="00B2476D">
      <w:r>
        <w:separator/>
      </w:r>
    </w:p>
  </w:endnote>
  <w:endnote w:type="continuationSeparator" w:id="0">
    <w:p w14:paraId="5A848CA9" w14:textId="77777777" w:rsidR="00B2476D" w:rsidRDefault="00B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F034" w14:textId="77777777"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F01BF60" w14:textId="77777777" w:rsidR="00B2476D" w:rsidRDefault="00B24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FDC" w14:textId="09B53DD7"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D96">
      <w:rPr>
        <w:rStyle w:val="PageNumber"/>
        <w:noProof/>
      </w:rPr>
      <w:t>2</w:t>
    </w:r>
    <w:r>
      <w:rPr>
        <w:rStyle w:val="PageNumber"/>
      </w:rPr>
      <w:fldChar w:fldCharType="end"/>
    </w:r>
  </w:p>
  <w:p w14:paraId="1D943177" w14:textId="77777777" w:rsidR="00B2476D" w:rsidRPr="008A6623" w:rsidRDefault="00B2476D" w:rsidP="008A662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09972" w14:textId="77777777" w:rsidR="00B2476D" w:rsidRDefault="00B2476D">
      <w:r>
        <w:separator/>
      </w:r>
    </w:p>
  </w:footnote>
  <w:footnote w:type="continuationSeparator" w:id="0">
    <w:p w14:paraId="7C271BA7" w14:textId="77777777" w:rsidR="00B2476D" w:rsidRDefault="00B2476D">
      <w:r>
        <w:continuationSeparator/>
      </w:r>
    </w:p>
  </w:footnote>
  <w:footnote w:id="1">
    <w:p w14:paraId="23247A30" w14:textId="77777777" w:rsidR="005D30B0" w:rsidRPr="00FF1F82" w:rsidRDefault="005D30B0" w:rsidP="005D30B0">
      <w:pPr>
        <w:pStyle w:val="FootnoteText"/>
        <w:spacing w:after="120"/>
        <w:ind w:left="284" w:hanging="284"/>
        <w:rPr>
          <w:rFonts w:ascii="Times New Roman" w:hAnsi="Times New Roman"/>
          <w:sz w:val="18"/>
          <w:szCs w:val="18"/>
        </w:rPr>
      </w:pPr>
      <w:r>
        <w:rPr>
          <w:rStyle w:val="FootnoteReference"/>
        </w:rPr>
        <w:footnoteRef/>
      </w:r>
      <w:r>
        <w:tab/>
      </w:r>
      <w:r w:rsidRPr="00FF1F82">
        <w:rPr>
          <w:rFonts w:ascii="Times New Roman" w:hAnsi="Times New Roman"/>
          <w:sz w:val="18"/>
          <w:szCs w:val="18"/>
        </w:rPr>
        <w:t>P8_TA(2017)0442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676F8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C7B6C"/>
    <w:multiLevelType w:val="hybridMultilevel"/>
    <w:tmpl w:val="DF0ED71E"/>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8084908"/>
    <w:multiLevelType w:val="hybridMultilevel"/>
    <w:tmpl w:val="DF4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91362"/>
    <w:multiLevelType w:val="hybridMultilevel"/>
    <w:tmpl w:val="947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15:restartNumberingAfterBreak="0">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9"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32B09"/>
    <w:multiLevelType w:val="hybridMultilevel"/>
    <w:tmpl w:val="8B5262BA"/>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15:restartNumberingAfterBreak="0">
    <w:nsid w:val="2E414132"/>
    <w:multiLevelType w:val="hybridMultilevel"/>
    <w:tmpl w:val="85F6CA42"/>
    <w:lvl w:ilvl="0" w:tplc="F5FA3DF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9B55C0"/>
    <w:multiLevelType w:val="hybridMultilevel"/>
    <w:tmpl w:val="E2D81D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5" w15:restartNumberingAfterBreak="0">
    <w:nsid w:val="315B2A44"/>
    <w:multiLevelType w:val="hybridMultilevel"/>
    <w:tmpl w:val="A12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38012B17"/>
    <w:multiLevelType w:val="hybridMultilevel"/>
    <w:tmpl w:val="6294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A31AD4"/>
    <w:multiLevelType w:val="hybridMultilevel"/>
    <w:tmpl w:val="D9E6F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46256A"/>
    <w:multiLevelType w:val="hybridMultilevel"/>
    <w:tmpl w:val="92E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7" w15:restartNumberingAfterBreak="0">
    <w:nsid w:val="4B856B29"/>
    <w:multiLevelType w:val="hybridMultilevel"/>
    <w:tmpl w:val="BA8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2E555D2"/>
    <w:multiLevelType w:val="hybridMultilevel"/>
    <w:tmpl w:val="D60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7CA19AB"/>
    <w:multiLevelType w:val="hybridMultilevel"/>
    <w:tmpl w:val="C8B0A7A2"/>
    <w:lvl w:ilvl="0" w:tplc="EF3C7C0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2"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3" w15:restartNumberingAfterBreak="0">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C2DF4"/>
    <w:multiLevelType w:val="hybridMultilevel"/>
    <w:tmpl w:val="3B189378"/>
    <w:lvl w:ilvl="0" w:tplc="D660C1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B07113"/>
    <w:multiLevelType w:val="hybridMultilevel"/>
    <w:tmpl w:val="101E8BF0"/>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8" w15:restartNumberingAfterBreak="0">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15:restartNumberingAfterBreak="0">
    <w:nsid w:val="62E663AD"/>
    <w:multiLevelType w:val="hybridMultilevel"/>
    <w:tmpl w:val="586EC636"/>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635D452D"/>
    <w:multiLevelType w:val="hybridMultilevel"/>
    <w:tmpl w:val="3F04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9BE7756"/>
    <w:multiLevelType w:val="hybridMultilevel"/>
    <w:tmpl w:val="6282A95C"/>
    <w:lvl w:ilvl="0" w:tplc="0BEC9D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FA71A9"/>
    <w:multiLevelType w:val="hybridMultilevel"/>
    <w:tmpl w:val="749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9" w15:restartNumberingAfterBreak="0">
    <w:nsid w:val="6D4C3A0C"/>
    <w:multiLevelType w:val="hybridMultilevel"/>
    <w:tmpl w:val="1DC6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4B34532"/>
    <w:multiLevelType w:val="hybridMultilevel"/>
    <w:tmpl w:val="2C029300"/>
    <w:lvl w:ilvl="0" w:tplc="08090017">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62"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5"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6" w15:restartNumberingAfterBreak="0">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7" w15:restartNumberingAfterBreak="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D02020F"/>
    <w:multiLevelType w:val="hybridMultilevel"/>
    <w:tmpl w:val="60866108"/>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3"/>
  </w:num>
  <w:num w:numId="2">
    <w:abstractNumId w:val="3"/>
  </w:num>
  <w:num w:numId="3">
    <w:abstractNumId w:val="65"/>
  </w:num>
  <w:num w:numId="4">
    <w:abstractNumId w:val="21"/>
  </w:num>
  <w:num w:numId="5">
    <w:abstractNumId w:val="58"/>
  </w:num>
  <w:num w:numId="6">
    <w:abstractNumId w:val="18"/>
  </w:num>
  <w:num w:numId="7">
    <w:abstractNumId w:val="12"/>
  </w:num>
  <w:num w:numId="8">
    <w:abstractNumId w:val="29"/>
  </w:num>
  <w:num w:numId="9">
    <w:abstractNumId w:val="64"/>
  </w:num>
  <w:num w:numId="10">
    <w:abstractNumId w:val="42"/>
  </w:num>
  <w:num w:numId="11">
    <w:abstractNumId w:val="54"/>
  </w:num>
  <w:num w:numId="12">
    <w:abstractNumId w:val="19"/>
  </w:num>
  <w:num w:numId="13">
    <w:abstractNumId w:val="33"/>
  </w:num>
  <w:num w:numId="14">
    <w:abstractNumId w:val="62"/>
  </w:num>
  <w:num w:numId="15">
    <w:abstractNumId w:val="28"/>
  </w:num>
  <w:num w:numId="16">
    <w:abstractNumId w:val="69"/>
  </w:num>
  <w:num w:numId="17">
    <w:abstractNumId w:val="63"/>
  </w:num>
  <w:num w:numId="18">
    <w:abstractNumId w:val="38"/>
  </w:num>
  <w:num w:numId="19">
    <w:abstractNumId w:val="40"/>
  </w:num>
  <w:num w:numId="20">
    <w:abstractNumId w:val="57"/>
  </w:num>
  <w:num w:numId="21">
    <w:abstractNumId w:val="7"/>
  </w:num>
  <w:num w:numId="22">
    <w:abstractNumId w:val="8"/>
  </w:num>
  <w:num w:numId="23">
    <w:abstractNumId w:val="27"/>
  </w:num>
  <w:num w:numId="24">
    <w:abstractNumId w:val="67"/>
  </w:num>
  <w:num w:numId="25">
    <w:abstractNumId w:val="31"/>
  </w:num>
  <w:num w:numId="26">
    <w:abstractNumId w:val="26"/>
  </w:num>
  <w:num w:numId="27">
    <w:abstractNumId w:val="60"/>
  </w:num>
  <w:num w:numId="28">
    <w:abstractNumId w:val="16"/>
  </w:num>
  <w:num w:numId="29">
    <w:abstractNumId w:val="0"/>
  </w:num>
  <w:num w:numId="30">
    <w:abstractNumId w:val="11"/>
  </w:num>
  <w:num w:numId="31">
    <w:abstractNumId w:val="47"/>
  </w:num>
  <w:num w:numId="32">
    <w:abstractNumId w:val="10"/>
  </w:num>
  <w:num w:numId="33">
    <w:abstractNumId w:val="24"/>
  </w:num>
  <w:num w:numId="34">
    <w:abstractNumId w:val="41"/>
  </w:num>
  <w:num w:numId="35">
    <w:abstractNumId w:val="36"/>
  </w:num>
  <w:num w:numId="36">
    <w:abstractNumId w:val="14"/>
  </w:num>
  <w:num w:numId="37">
    <w:abstractNumId w:val="32"/>
  </w:num>
  <w:num w:numId="38">
    <w:abstractNumId w:val="49"/>
  </w:num>
  <w:num w:numId="39">
    <w:abstractNumId w:val="9"/>
  </w:num>
  <w:num w:numId="40">
    <w:abstractNumId w:val="51"/>
  </w:num>
  <w:num w:numId="41">
    <w:abstractNumId w:val="66"/>
  </w:num>
  <w:num w:numId="42">
    <w:abstractNumId w:val="48"/>
  </w:num>
  <w:num w:numId="43">
    <w:abstractNumId w:val="44"/>
  </w:num>
  <w:num w:numId="44">
    <w:abstractNumId w:val="43"/>
  </w:num>
  <w:num w:numId="45">
    <w:abstractNumId w:val="21"/>
  </w:num>
  <w:num w:numId="46">
    <w:abstractNumId w:val="21"/>
  </w:num>
  <w:num w:numId="47">
    <w:abstractNumId w:val="21"/>
  </w:num>
  <w:num w:numId="48">
    <w:abstractNumId w:val="4"/>
  </w:num>
  <w:num w:numId="49">
    <w:abstractNumId w:val="20"/>
  </w:num>
  <w:num w:numId="50">
    <w:abstractNumId w:val="17"/>
  </w:num>
  <w:num w:numId="51">
    <w:abstractNumId w:val="53"/>
  </w:num>
  <w:num w:numId="52">
    <w:abstractNumId w:val="23"/>
  </w:num>
  <w:num w:numId="53">
    <w:abstractNumId w:val="37"/>
  </w:num>
  <w:num w:numId="54">
    <w:abstractNumId w:val="59"/>
  </w:num>
  <w:num w:numId="55">
    <w:abstractNumId w:val="52"/>
  </w:num>
  <w:num w:numId="56">
    <w:abstractNumId w:val="56"/>
  </w:num>
  <w:num w:numId="57">
    <w:abstractNumId w:val="22"/>
  </w:num>
  <w:num w:numId="58">
    <w:abstractNumId w:val="45"/>
  </w:num>
  <w:num w:numId="59">
    <w:abstractNumId w:val="61"/>
  </w:num>
  <w:num w:numId="60">
    <w:abstractNumId w:val="25"/>
  </w:num>
  <w:num w:numId="61">
    <w:abstractNumId w:val="39"/>
  </w:num>
  <w:num w:numId="62">
    <w:abstractNumId w:val="30"/>
  </w:num>
  <w:num w:numId="63">
    <w:abstractNumId w:val="35"/>
  </w:num>
  <w:num w:numId="64">
    <w:abstractNumId w:val="5"/>
  </w:num>
  <w:num w:numId="65">
    <w:abstractNumId w:val="34"/>
  </w:num>
  <w:num w:numId="66">
    <w:abstractNumId w:val="6"/>
  </w:num>
  <w:num w:numId="67">
    <w:abstractNumId w:val="55"/>
  </w:num>
  <w:num w:numId="68">
    <w:abstractNumId w:val="46"/>
  </w:num>
  <w:num w:numId="69">
    <w:abstractNumId w:val="50"/>
  </w:num>
  <w:num w:numId="70">
    <w:abstractNumId w:val="2"/>
  </w:num>
  <w:num w:numId="71">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17"/>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6E95"/>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CEF"/>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766"/>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0"/>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B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779"/>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72"/>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631"/>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1FD8"/>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5A"/>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50"/>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3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08B"/>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6AB8"/>
    <w:rsid w:val="004173EB"/>
    <w:rsid w:val="00417875"/>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2CA"/>
    <w:rsid w:val="00437330"/>
    <w:rsid w:val="004378EC"/>
    <w:rsid w:val="004379D0"/>
    <w:rsid w:val="00440018"/>
    <w:rsid w:val="0044040B"/>
    <w:rsid w:val="00440604"/>
    <w:rsid w:val="00440DFC"/>
    <w:rsid w:val="00440E5B"/>
    <w:rsid w:val="00440FD7"/>
    <w:rsid w:val="0044129B"/>
    <w:rsid w:val="004412D1"/>
    <w:rsid w:val="0044130F"/>
    <w:rsid w:val="0044154D"/>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76"/>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1A"/>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8F8"/>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19"/>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607"/>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776"/>
    <w:rsid w:val="004F0C08"/>
    <w:rsid w:val="004F0D65"/>
    <w:rsid w:val="004F0D81"/>
    <w:rsid w:val="004F10BF"/>
    <w:rsid w:val="004F14DE"/>
    <w:rsid w:val="004F1AC2"/>
    <w:rsid w:val="004F1FAC"/>
    <w:rsid w:val="004F1FBB"/>
    <w:rsid w:val="004F1FE4"/>
    <w:rsid w:val="004F212A"/>
    <w:rsid w:val="004F217D"/>
    <w:rsid w:val="004F2515"/>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5F4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07A"/>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0C5"/>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D96"/>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0B0"/>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CB7"/>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0E6E"/>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41"/>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B07"/>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8FA"/>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7B"/>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E7C67"/>
    <w:rsid w:val="006E7F35"/>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664"/>
    <w:rsid w:val="006F40BA"/>
    <w:rsid w:val="006F42AE"/>
    <w:rsid w:val="006F4507"/>
    <w:rsid w:val="006F502E"/>
    <w:rsid w:val="006F5608"/>
    <w:rsid w:val="006F560B"/>
    <w:rsid w:val="006F604B"/>
    <w:rsid w:val="006F60F3"/>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B5D"/>
    <w:rsid w:val="00762D6F"/>
    <w:rsid w:val="00763433"/>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562"/>
    <w:rsid w:val="00785A27"/>
    <w:rsid w:val="00785E90"/>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8E7"/>
    <w:rsid w:val="00797CF0"/>
    <w:rsid w:val="00797D7C"/>
    <w:rsid w:val="00797F43"/>
    <w:rsid w:val="007A055C"/>
    <w:rsid w:val="007A0767"/>
    <w:rsid w:val="007A0928"/>
    <w:rsid w:val="007A09A0"/>
    <w:rsid w:val="007A0C8F"/>
    <w:rsid w:val="007A0D76"/>
    <w:rsid w:val="007A111B"/>
    <w:rsid w:val="007A1381"/>
    <w:rsid w:val="007A16F4"/>
    <w:rsid w:val="007A194E"/>
    <w:rsid w:val="007A19B2"/>
    <w:rsid w:val="007A19E0"/>
    <w:rsid w:val="007A1AF9"/>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AD"/>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CC8"/>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04"/>
    <w:rsid w:val="008270CD"/>
    <w:rsid w:val="008273FF"/>
    <w:rsid w:val="0082748B"/>
    <w:rsid w:val="008275F5"/>
    <w:rsid w:val="008276E7"/>
    <w:rsid w:val="00827733"/>
    <w:rsid w:val="00827924"/>
    <w:rsid w:val="00827ACF"/>
    <w:rsid w:val="00827F8D"/>
    <w:rsid w:val="00830030"/>
    <w:rsid w:val="008300C9"/>
    <w:rsid w:val="00830400"/>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7CF"/>
    <w:rsid w:val="0085294E"/>
    <w:rsid w:val="00852A01"/>
    <w:rsid w:val="00852AB5"/>
    <w:rsid w:val="00852BFE"/>
    <w:rsid w:val="00852EC8"/>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02B"/>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1F48"/>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5FBE"/>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68"/>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A0E"/>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54C"/>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79"/>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648"/>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6D"/>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9AB"/>
    <w:rsid w:val="00B35BF4"/>
    <w:rsid w:val="00B35E70"/>
    <w:rsid w:val="00B3614B"/>
    <w:rsid w:val="00B36749"/>
    <w:rsid w:val="00B36803"/>
    <w:rsid w:val="00B36921"/>
    <w:rsid w:val="00B36DE3"/>
    <w:rsid w:val="00B3775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1D0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744"/>
    <w:rsid w:val="00BD6C37"/>
    <w:rsid w:val="00BD6DFD"/>
    <w:rsid w:val="00BD6FDD"/>
    <w:rsid w:val="00BD7460"/>
    <w:rsid w:val="00BD74BF"/>
    <w:rsid w:val="00BD7CA5"/>
    <w:rsid w:val="00BD7EA1"/>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1F8C"/>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8BA"/>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477"/>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09E"/>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429"/>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034"/>
    <w:rsid w:val="00D361A7"/>
    <w:rsid w:val="00D36A01"/>
    <w:rsid w:val="00D36A0C"/>
    <w:rsid w:val="00D36ADA"/>
    <w:rsid w:val="00D36E44"/>
    <w:rsid w:val="00D36F14"/>
    <w:rsid w:val="00D3736D"/>
    <w:rsid w:val="00D37550"/>
    <w:rsid w:val="00D376ED"/>
    <w:rsid w:val="00D37715"/>
    <w:rsid w:val="00D37B46"/>
    <w:rsid w:val="00D37FA9"/>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6E1C"/>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21A"/>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833"/>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B6F"/>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513"/>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0F8A"/>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8B"/>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BC7"/>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354"/>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B0D"/>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54"/>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BC0"/>
    <w:rsid w:val="00ED1CD0"/>
    <w:rsid w:val="00ED20C8"/>
    <w:rsid w:val="00ED21AB"/>
    <w:rsid w:val="00ED22FA"/>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21"/>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5DF"/>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2C6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6BC"/>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08E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AB5C"/>
  <w15:docId w15:val="{50737A01-B508-4778-99DF-C41DA73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F4AE-80F6-41A8-961E-9B194AD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6</TotalTime>
  <Pages>2</Pages>
  <Words>968</Words>
  <Characters>5522</Characters>
  <Application>Microsoft Office Word</Application>
  <DocSecurity>0</DocSecurity>
  <PresentationFormat>Microsoft Word 8.0b</PresentationFormat>
  <Lines>46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6478</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MERVILLE Nicolas (SG)</cp:lastModifiedBy>
  <cp:revision>5</cp:revision>
  <cp:lastPrinted>2018-03-07T16:29:00Z</cp:lastPrinted>
  <dcterms:created xsi:type="dcterms:W3CDTF">2018-05-23T08:48:00Z</dcterms:created>
  <dcterms:modified xsi:type="dcterms:W3CDTF">2018-05-23T14:39:00Z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