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5F" w:rsidRDefault="00292A5F" w:rsidP="00292A5F">
      <w:pPr>
        <w:spacing w:after="240"/>
        <w:jc w:val="center"/>
        <w:rPr>
          <w:szCs w:val="20"/>
        </w:rPr>
      </w:pPr>
      <w:r>
        <w:rPr>
          <w:b/>
        </w:rPr>
        <w:t xml:space="preserve">SPECIAL LEGISLATIVE PROCEDURE – Non-legislative enactment </w:t>
      </w:r>
    </w:p>
    <w:p w:rsidR="00292A5F" w:rsidRDefault="00292A5F" w:rsidP="00292A5F">
      <w:pPr>
        <w:spacing w:after="600"/>
        <w:jc w:val="center"/>
        <w:rPr>
          <w:b/>
          <w:i/>
        </w:rPr>
      </w:pPr>
      <w:r>
        <w:rPr>
          <w:b/>
          <w:bCs/>
        </w:rPr>
        <w:t xml:space="preserve">Follow up to the </w:t>
      </w:r>
      <w:r>
        <w:rPr>
          <w:b/>
        </w:rPr>
        <w:t xml:space="preserve">European Parliament legislative resolution of 19 April 2018 </w:t>
      </w:r>
      <w:r>
        <w:rPr>
          <w:b/>
        </w:rPr>
        <w:br/>
      </w:r>
      <w:proofErr w:type="gramStart"/>
      <w:r>
        <w:rPr>
          <w:b/>
        </w:rPr>
        <w:t>on the proposal for a Council Decision on guidelines for the employment</w:t>
      </w:r>
      <w:proofErr w:type="gramEnd"/>
      <w:r>
        <w:rPr>
          <w:b/>
        </w:rPr>
        <w:t xml:space="preserve"> policies </w:t>
      </w:r>
      <w:r>
        <w:rPr>
          <w:b/>
        </w:rPr>
        <w:br/>
        <w:t>of the Member States</w:t>
      </w:r>
    </w:p>
    <w:p w:rsidR="00292A5F" w:rsidRDefault="00292A5F" w:rsidP="00292A5F">
      <w:pPr>
        <w:spacing w:after="600"/>
        <w:jc w:val="center"/>
        <w:rPr>
          <w:b/>
        </w:rPr>
      </w:pPr>
      <w:r>
        <w:rPr>
          <w:b/>
        </w:rPr>
        <w:t>2017/0305 (NLE)</w:t>
      </w:r>
    </w:p>
    <w:p w:rsidR="00292A5F" w:rsidRDefault="00292A5F" w:rsidP="00292A5F">
      <w:pPr>
        <w:spacing w:after="240"/>
        <w:ind w:left="567" w:hanging="567"/>
      </w:pPr>
      <w:r>
        <w:rPr>
          <w:b/>
        </w:rPr>
        <w:t>1.</w:t>
      </w:r>
      <w:r>
        <w:rPr>
          <w:b/>
        </w:rPr>
        <w:tab/>
        <w:t xml:space="preserve">Rapporteur: </w:t>
      </w:r>
      <w:proofErr w:type="spellStart"/>
      <w:r>
        <w:t>Miroslavs</w:t>
      </w:r>
      <w:proofErr w:type="spellEnd"/>
      <w:r>
        <w:t xml:space="preserve"> MITROFANOVS (Greens/LV)</w:t>
      </w:r>
    </w:p>
    <w:p w:rsidR="00292A5F" w:rsidRDefault="00292A5F" w:rsidP="00292A5F">
      <w:pPr>
        <w:spacing w:after="240"/>
        <w:ind w:left="567" w:hanging="567"/>
        <w:rPr>
          <w:i/>
        </w:rPr>
      </w:pPr>
      <w:r>
        <w:rPr>
          <w:b/>
        </w:rPr>
        <w:t>2.</w:t>
      </w:r>
      <w:r>
        <w:rPr>
          <w:b/>
        </w:rPr>
        <w:tab/>
        <w:t xml:space="preserve">EP reference number: </w:t>
      </w:r>
      <w:r>
        <w:rPr>
          <w:bCs/>
          <w:lang w:val="en-IE"/>
        </w:rPr>
        <w:t xml:space="preserve">A8-0140/2018 </w:t>
      </w:r>
      <w:r>
        <w:rPr>
          <w:b/>
        </w:rPr>
        <w:t xml:space="preserve">/ </w:t>
      </w:r>
      <w:r>
        <w:t>P8_TA-</w:t>
      </w:r>
      <w:proofErr w:type="gramStart"/>
      <w:r>
        <w:t>PROV(</w:t>
      </w:r>
      <w:proofErr w:type="gramEnd"/>
      <w:r>
        <w:t>2018)0181</w:t>
      </w:r>
    </w:p>
    <w:p w:rsidR="00292A5F" w:rsidRDefault="00292A5F" w:rsidP="00292A5F">
      <w:pPr>
        <w:spacing w:after="240"/>
        <w:ind w:left="567" w:hanging="567"/>
      </w:pPr>
      <w:r>
        <w:rPr>
          <w:b/>
        </w:rPr>
        <w:t>3.</w:t>
      </w:r>
      <w:r>
        <w:rPr>
          <w:b/>
        </w:rPr>
        <w:tab/>
        <w:t>Date of adoption of the resolution:</w:t>
      </w:r>
      <w:r>
        <w:t xml:space="preserve"> 19 April 2018</w:t>
      </w:r>
    </w:p>
    <w:p w:rsidR="00292A5F" w:rsidRDefault="00292A5F" w:rsidP="00292A5F">
      <w:pPr>
        <w:spacing w:after="240"/>
        <w:ind w:left="567" w:hanging="567"/>
      </w:pPr>
      <w:r>
        <w:rPr>
          <w:b/>
        </w:rPr>
        <w:t>4.</w:t>
      </w:r>
      <w:r>
        <w:rPr>
          <w:b/>
        </w:rPr>
        <w:tab/>
        <w:t xml:space="preserve">Subject: </w:t>
      </w:r>
      <w:r>
        <w:t>Guidelines for the employment policies of the Member States</w:t>
      </w:r>
    </w:p>
    <w:p w:rsidR="00292A5F" w:rsidRDefault="00292A5F" w:rsidP="00292A5F">
      <w:pPr>
        <w:spacing w:after="240"/>
        <w:ind w:left="567" w:hanging="567"/>
        <w:rPr>
          <w:b/>
        </w:rPr>
      </w:pPr>
      <w:r>
        <w:rPr>
          <w:b/>
        </w:rPr>
        <w:t>5.</w:t>
      </w:r>
      <w:r>
        <w:rPr>
          <w:b/>
        </w:rPr>
        <w:tab/>
      </w:r>
      <w:proofErr w:type="spellStart"/>
      <w:r>
        <w:rPr>
          <w:b/>
        </w:rPr>
        <w:t>Interinstitutional</w:t>
      </w:r>
      <w:proofErr w:type="spellEnd"/>
      <w:r>
        <w:rPr>
          <w:b/>
        </w:rPr>
        <w:t xml:space="preserve"> reference number:</w:t>
      </w:r>
      <w:r>
        <w:t xml:space="preserve"> 2017/0305 (NLE)</w:t>
      </w:r>
    </w:p>
    <w:p w:rsidR="00292A5F" w:rsidRDefault="00292A5F" w:rsidP="00292A5F">
      <w:pPr>
        <w:spacing w:after="240"/>
        <w:ind w:left="567" w:hanging="567"/>
      </w:pPr>
      <w:r>
        <w:rPr>
          <w:b/>
        </w:rPr>
        <w:t>6.</w:t>
      </w:r>
      <w:r>
        <w:rPr>
          <w:b/>
        </w:rPr>
        <w:tab/>
        <w:t>Legal basis:</w:t>
      </w:r>
      <w:r>
        <w:t xml:space="preserve"> Article 148(2) of the Treaty on the Functioning of the European Union</w:t>
      </w:r>
    </w:p>
    <w:p w:rsidR="00292A5F" w:rsidRDefault="00292A5F" w:rsidP="00292A5F">
      <w:pPr>
        <w:spacing w:after="240"/>
        <w:ind w:left="567" w:right="-28" w:hanging="567"/>
        <w:rPr>
          <w:i/>
          <w:lang w:val="en-IE"/>
        </w:rPr>
      </w:pPr>
      <w:r>
        <w:rPr>
          <w:b/>
        </w:rPr>
        <w:t>7.</w:t>
      </w:r>
      <w:r>
        <w:rPr>
          <w:b/>
        </w:rPr>
        <w:tab/>
        <w:t xml:space="preserve">Competent Parliamentary Committee: </w:t>
      </w:r>
      <w:r>
        <w:rPr>
          <w:lang w:val="en-IE"/>
        </w:rPr>
        <w:t>Committee on Employment and Social Affairs (EMPL)</w:t>
      </w:r>
    </w:p>
    <w:p w:rsidR="00292A5F" w:rsidRDefault="00292A5F" w:rsidP="00292A5F">
      <w:pPr>
        <w:spacing w:after="240"/>
        <w:ind w:left="567" w:hanging="567"/>
      </w:pPr>
      <w:r>
        <w:rPr>
          <w:b/>
        </w:rPr>
        <w:t>8.</w:t>
      </w:r>
      <w:r>
        <w:rPr>
          <w:b/>
        </w:rPr>
        <w:tab/>
        <w:t>Commission's position:</w:t>
      </w:r>
      <w:r>
        <w:t xml:space="preserve"> The European Parliament adopted 37 amendments. Most of the amendments proposed by the European Parliament are broad in their approach and redundant in nature as they stress </w:t>
      </w:r>
      <w:proofErr w:type="gramStart"/>
      <w:r>
        <w:t>issues which</w:t>
      </w:r>
      <w:proofErr w:type="gramEnd"/>
      <w:r>
        <w:t xml:space="preserve"> are already part of the guidelines. Furthermore, some amendments are not fully in line with the Commission's position. The European Parliament resolution is more socially ambitious than the Commission's original proposal while covering broadly the same policy areas. The Commission could nevertheless accept the inclusion of wording from the European Parliament position into the final text in a number of specific cases.</w:t>
      </w:r>
    </w:p>
    <w:p w:rsidR="00292A5F" w:rsidRDefault="00292A5F" w:rsidP="00292A5F">
      <w:pPr>
        <w:spacing w:after="240"/>
        <w:ind w:left="567" w:hanging="567"/>
      </w:pPr>
      <w:r>
        <w:rPr>
          <w:b/>
        </w:rPr>
        <w:t>9.</w:t>
      </w:r>
      <w:r>
        <w:rPr>
          <w:b/>
        </w:rPr>
        <w:tab/>
        <w:t xml:space="preserve">Outlook for amendment of the proposal: </w:t>
      </w:r>
      <w:r>
        <w:t xml:space="preserve">The Council Committees (Employment Committee – EMCO and Social Protection Committee – SPC) have finalised their work on the guidelines (5, 6, 7 and 8) and the amendments made by the European Parliament. </w:t>
      </w:r>
      <w:r>
        <w:rPr>
          <w:lang w:val="en-IE"/>
        </w:rPr>
        <w:t>On May 25, a</w:t>
      </w:r>
      <w:r>
        <w:t xml:space="preserve">n agreement </w:t>
      </w:r>
      <w:proofErr w:type="gramStart"/>
      <w:r>
        <w:t>was reached</w:t>
      </w:r>
      <w:proofErr w:type="gramEnd"/>
      <w:r>
        <w:t xml:space="preserve"> in the Social Questions Working Party (SQWP)</w:t>
      </w:r>
      <w:r>
        <w:rPr>
          <w:lang w:val="en-IE"/>
        </w:rPr>
        <w:t xml:space="preserve"> on the compromise proposal</w:t>
      </w:r>
      <w:r>
        <w:t xml:space="preserve">. </w:t>
      </w:r>
      <w:r>
        <w:rPr>
          <w:lang w:val="en-IE"/>
        </w:rPr>
        <w:t xml:space="preserve">Member States agreed to add wording </w:t>
      </w:r>
      <w:r>
        <w:t xml:space="preserve">on </w:t>
      </w:r>
      <w:r>
        <w:rPr>
          <w:bCs/>
          <w:iCs/>
        </w:rPr>
        <w:t xml:space="preserve">child poverty; wording on </w:t>
      </w:r>
      <w:r>
        <w:rPr>
          <w:bCs/>
        </w:rPr>
        <w:t>childcare</w:t>
      </w:r>
      <w:r>
        <w:rPr>
          <w:bCs/>
          <w:iCs/>
        </w:rPr>
        <w:t xml:space="preserve"> including </w:t>
      </w:r>
      <w:r>
        <w:rPr>
          <w:bCs/>
          <w:iCs/>
          <w:lang w:val="en-US"/>
        </w:rPr>
        <w:t>investment in early childhood education and care;</w:t>
      </w:r>
      <w:r>
        <w:rPr>
          <w:bCs/>
        </w:rPr>
        <w:t xml:space="preserve"> </w:t>
      </w:r>
      <w:r>
        <w:rPr>
          <w:bCs/>
          <w:iCs/>
        </w:rPr>
        <w:t xml:space="preserve">a reference to </w:t>
      </w:r>
      <w:r>
        <w:t xml:space="preserve">the potential of </w:t>
      </w:r>
      <w:r>
        <w:rPr>
          <w:bCs/>
        </w:rPr>
        <w:t xml:space="preserve">people with disabilities; wording on </w:t>
      </w:r>
      <w:r>
        <w:rPr>
          <w:bCs/>
          <w:iCs/>
        </w:rPr>
        <w:t xml:space="preserve">tackling discrimination; wording on </w:t>
      </w:r>
      <w:r>
        <w:rPr>
          <w:bCs/>
          <w:iCs/>
          <w:lang w:val="en-US"/>
        </w:rPr>
        <w:t xml:space="preserve">the role of the European Social Fund (ESF) to </w:t>
      </w:r>
      <w:r>
        <w:rPr>
          <w:bCs/>
          <w:iCs/>
        </w:rPr>
        <w:t xml:space="preserve">upskill the workforce; and a reference to the role of civil society. </w:t>
      </w:r>
      <w:r>
        <w:rPr>
          <w:bCs/>
        </w:rPr>
        <w:t xml:space="preserve">A paragraph </w:t>
      </w:r>
      <w:proofErr w:type="gramStart"/>
      <w:r>
        <w:rPr>
          <w:bCs/>
        </w:rPr>
        <w:t>was introduced</w:t>
      </w:r>
      <w:proofErr w:type="gramEnd"/>
      <w:r>
        <w:rPr>
          <w:bCs/>
        </w:rPr>
        <w:t xml:space="preserve"> to mention the</w:t>
      </w:r>
      <w:r>
        <w:rPr>
          <w:b/>
          <w:bCs/>
        </w:rPr>
        <w:t xml:space="preserve"> </w:t>
      </w:r>
      <w:r>
        <w:rPr>
          <w:bCs/>
          <w:iCs/>
        </w:rPr>
        <w:t>policy dialogue between the European Parliament, the Council and the Commission on the guidelines.</w:t>
      </w:r>
    </w:p>
    <w:p w:rsidR="008765BE" w:rsidRDefault="00292A5F" w:rsidP="00292A5F">
      <w:r>
        <w:rPr>
          <w:b/>
        </w:rPr>
        <w:t>10.</w:t>
      </w:r>
      <w:r>
        <w:rPr>
          <w:b/>
        </w:rPr>
        <w:tab/>
        <w:t xml:space="preserve">Outlook for the adoption of the proposal: </w:t>
      </w:r>
      <w:r>
        <w:t>The Bulgarian Presidency envisages the adoption during the Employment, Social Policy, Health and Consumer Affairs Council (EPSCO) in June 2018.</w:t>
      </w:r>
      <w:r>
        <w:rPr>
          <w:b/>
        </w:rPr>
        <w:br w:type="page"/>
      </w:r>
      <w:bookmarkStart w:id="0" w:name="_GoBack"/>
      <w:bookmarkEnd w:id="0"/>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5F"/>
    <w:rsid w:val="00292A5F"/>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8AF8-A93F-40C9-9128-8AAE1AAA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Company>European Parliament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2018-07-12T12:25:00Z</dcterms:created>
  <dcterms:modified xsi:type="dcterms:W3CDTF">2018-07-12T12:27:00Z</dcterms:modified>
</cp:coreProperties>
</file>