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7C8" w:rsidRPr="00D276FB" w:rsidRDefault="00B357C8" w:rsidP="00B357C8">
      <w:pPr>
        <w:spacing w:after="600"/>
        <w:jc w:val="center"/>
        <w:rPr>
          <w:rFonts w:ascii="Times New Roman" w:hAnsi="Times New Roman"/>
          <w:b/>
        </w:rPr>
      </w:pPr>
      <w:r w:rsidRPr="00D276FB">
        <w:rPr>
          <w:rFonts w:ascii="Times New Roman" w:hAnsi="Times New Roman"/>
          <w:b/>
        </w:rPr>
        <w:t>Suite donnée à la résolution non législative du Parlement européen du 30 mai 2018</w:t>
      </w:r>
      <w:r w:rsidRPr="00D276FB">
        <w:rPr>
          <w:rFonts w:ascii="Times New Roman" w:hAnsi="Times New Roman"/>
          <w:b/>
          <w:bCs/>
        </w:rPr>
        <w:br/>
      </w:r>
      <w:r w:rsidRPr="00D276FB">
        <w:rPr>
          <w:rFonts w:ascii="Times New Roman" w:hAnsi="Times New Roman"/>
          <w:b/>
        </w:rPr>
        <w:t>sur le rapport annuel sur la mise en œuvre de la politique commerciale commune</w:t>
      </w:r>
    </w:p>
    <w:p w:rsidR="00B357C8" w:rsidRPr="00D276FB" w:rsidRDefault="00B357C8" w:rsidP="00B357C8">
      <w:pPr>
        <w:spacing w:after="600"/>
        <w:ind w:right="-28"/>
        <w:jc w:val="center"/>
        <w:rPr>
          <w:rFonts w:ascii="Times New Roman" w:hAnsi="Times New Roman"/>
          <w:b/>
        </w:rPr>
      </w:pPr>
      <w:r w:rsidRPr="00D276FB">
        <w:rPr>
          <w:rFonts w:ascii="Times New Roman" w:hAnsi="Times New Roman"/>
          <w:b/>
          <w:color w:val="000000"/>
        </w:rPr>
        <w:t>2017/2070 (</w:t>
      </w:r>
      <w:r w:rsidRPr="00D276FB">
        <w:rPr>
          <w:rFonts w:ascii="Times New Roman" w:hAnsi="Times New Roman"/>
          <w:b/>
        </w:rPr>
        <w:t>INI)</w:t>
      </w:r>
    </w:p>
    <w:p w:rsidR="00B357C8" w:rsidRPr="00D276FB" w:rsidRDefault="00B357C8" w:rsidP="00B357C8">
      <w:pPr>
        <w:ind w:left="567" w:right="-28" w:hanging="567"/>
        <w:rPr>
          <w:rFonts w:ascii="Times New Roman" w:hAnsi="Times New Roman"/>
          <w:b/>
          <w:szCs w:val="24"/>
        </w:rPr>
      </w:pPr>
      <w:r w:rsidRPr="00D276FB">
        <w:rPr>
          <w:rFonts w:ascii="Times New Roman" w:hAnsi="Times New Roman"/>
          <w:b/>
        </w:rPr>
        <w:t>1.</w:t>
      </w:r>
      <w:r w:rsidRPr="00D276FB">
        <w:tab/>
      </w:r>
      <w:r w:rsidRPr="00D276FB">
        <w:rPr>
          <w:rFonts w:ascii="Times New Roman" w:hAnsi="Times New Roman"/>
          <w:b/>
        </w:rPr>
        <w:t xml:space="preserve">Rapporteure: </w:t>
      </w:r>
      <w:r w:rsidRPr="00D276FB">
        <w:rPr>
          <w:rFonts w:ascii="Times New Roman" w:hAnsi="Times New Roman"/>
        </w:rPr>
        <w:t>Tokia SAÏFI (PPE/FR)</w:t>
      </w:r>
    </w:p>
    <w:p w:rsidR="00B357C8" w:rsidRPr="00D276FB" w:rsidRDefault="00B357C8" w:rsidP="00B357C8">
      <w:pPr>
        <w:ind w:left="567" w:right="-28" w:hanging="567"/>
        <w:rPr>
          <w:rFonts w:ascii="Times New Roman" w:hAnsi="Times New Roman"/>
          <w:b/>
          <w:i/>
          <w:szCs w:val="24"/>
        </w:rPr>
      </w:pPr>
      <w:r w:rsidRPr="00D276FB">
        <w:rPr>
          <w:rFonts w:ascii="Times New Roman" w:hAnsi="Times New Roman"/>
          <w:b/>
        </w:rPr>
        <w:t>2.</w:t>
      </w:r>
      <w:r w:rsidRPr="00D276FB">
        <w:tab/>
      </w:r>
      <w:r w:rsidRPr="00D276FB">
        <w:rPr>
          <w:rFonts w:ascii="Times New Roman" w:hAnsi="Times New Roman"/>
          <w:b/>
        </w:rPr>
        <w:t xml:space="preserve">Numéro de référence du PE: </w:t>
      </w:r>
      <w:bookmarkStart w:id="0" w:name="_GoBack"/>
      <w:r w:rsidRPr="00D276FB">
        <w:rPr>
          <w:rFonts w:ascii="Times New Roman" w:hAnsi="Times New Roman"/>
        </w:rPr>
        <w:t xml:space="preserve">A8-0166/2018 </w:t>
      </w:r>
      <w:bookmarkEnd w:id="0"/>
      <w:r w:rsidRPr="00D276FB">
        <w:rPr>
          <w:rFonts w:ascii="Times New Roman" w:hAnsi="Times New Roman"/>
        </w:rPr>
        <w:t>/ P8_TA-PROV(2018)0230</w:t>
      </w:r>
    </w:p>
    <w:p w:rsidR="00B357C8" w:rsidRPr="00D276FB" w:rsidRDefault="00B357C8" w:rsidP="00B357C8">
      <w:pPr>
        <w:ind w:left="567" w:right="-28" w:hanging="567"/>
        <w:rPr>
          <w:rFonts w:ascii="Times New Roman" w:hAnsi="Times New Roman"/>
          <w:szCs w:val="24"/>
        </w:rPr>
      </w:pPr>
      <w:r w:rsidRPr="00D276FB">
        <w:rPr>
          <w:rFonts w:ascii="Times New Roman" w:hAnsi="Times New Roman"/>
          <w:b/>
        </w:rPr>
        <w:t>3.</w:t>
      </w:r>
      <w:r w:rsidRPr="00D276FB">
        <w:tab/>
      </w:r>
      <w:r w:rsidRPr="00D276FB">
        <w:rPr>
          <w:rFonts w:ascii="Times New Roman" w:hAnsi="Times New Roman"/>
          <w:b/>
        </w:rPr>
        <w:t>Date d’adoption de la résolution:</w:t>
      </w:r>
      <w:r w:rsidRPr="00D276FB">
        <w:rPr>
          <w:rFonts w:ascii="Times New Roman" w:hAnsi="Times New Roman"/>
        </w:rPr>
        <w:t xml:space="preserve"> 30 mai 2018</w:t>
      </w:r>
    </w:p>
    <w:p w:rsidR="00B357C8" w:rsidRPr="00D276FB" w:rsidRDefault="00B357C8" w:rsidP="00B357C8">
      <w:pPr>
        <w:ind w:left="567" w:right="-28" w:hanging="567"/>
        <w:rPr>
          <w:rFonts w:ascii="Times New Roman" w:hAnsi="Times New Roman"/>
          <w:szCs w:val="24"/>
        </w:rPr>
      </w:pPr>
      <w:r w:rsidRPr="00D276FB">
        <w:rPr>
          <w:rFonts w:ascii="Times New Roman" w:hAnsi="Times New Roman"/>
          <w:b/>
        </w:rPr>
        <w:t>4.</w:t>
      </w:r>
      <w:r w:rsidRPr="00D276FB">
        <w:tab/>
      </w:r>
      <w:r w:rsidRPr="00D276FB">
        <w:rPr>
          <w:rFonts w:ascii="Times New Roman" w:hAnsi="Times New Roman"/>
          <w:b/>
        </w:rPr>
        <w:t>Objet:</w:t>
      </w:r>
      <w:r w:rsidRPr="00D276FB">
        <w:rPr>
          <w:rFonts w:ascii="Times New Roman" w:hAnsi="Times New Roman"/>
        </w:rPr>
        <w:t xml:space="preserve"> rapport annuel sur la mise en œuvre de la politique commerciale commune</w:t>
      </w:r>
    </w:p>
    <w:p w:rsidR="00B357C8" w:rsidRPr="00D276FB" w:rsidRDefault="00B357C8" w:rsidP="00B357C8">
      <w:pPr>
        <w:ind w:left="567" w:right="-28" w:hanging="567"/>
        <w:rPr>
          <w:rFonts w:ascii="Times New Roman" w:hAnsi="Times New Roman"/>
          <w:i/>
          <w:szCs w:val="24"/>
        </w:rPr>
      </w:pPr>
      <w:r w:rsidRPr="00D276FB">
        <w:rPr>
          <w:rFonts w:ascii="Times New Roman" w:hAnsi="Times New Roman"/>
          <w:b/>
        </w:rPr>
        <w:t>5.</w:t>
      </w:r>
      <w:r w:rsidRPr="00D276FB">
        <w:tab/>
      </w:r>
      <w:r w:rsidRPr="00D276FB">
        <w:rPr>
          <w:rFonts w:ascii="Times New Roman" w:hAnsi="Times New Roman"/>
          <w:b/>
        </w:rPr>
        <w:t>Commission parlementaire compétente</w:t>
      </w:r>
      <w:r w:rsidRPr="00D276FB">
        <w:rPr>
          <w:b/>
        </w:rPr>
        <w:t>:</w:t>
      </w:r>
      <w:r w:rsidRPr="00D276FB">
        <w:t xml:space="preserve"> </w:t>
      </w:r>
      <w:r w:rsidRPr="00D276FB">
        <w:rPr>
          <w:rFonts w:ascii="Times New Roman" w:hAnsi="Times New Roman"/>
        </w:rPr>
        <w:t>commission du commerce international (INTA)</w:t>
      </w:r>
    </w:p>
    <w:p w:rsidR="00B357C8" w:rsidRPr="00D276FB" w:rsidRDefault="00B357C8" w:rsidP="00B357C8">
      <w:pPr>
        <w:widowControl w:val="0"/>
        <w:ind w:left="567" w:right="-28" w:hanging="567"/>
        <w:rPr>
          <w:rFonts w:ascii="Times New Roman" w:hAnsi="Times New Roman"/>
          <w:szCs w:val="24"/>
        </w:rPr>
      </w:pPr>
      <w:r w:rsidRPr="00D276FB">
        <w:rPr>
          <w:rFonts w:ascii="Times New Roman" w:hAnsi="Times New Roman"/>
          <w:b/>
        </w:rPr>
        <w:t>6.</w:t>
      </w:r>
      <w:r w:rsidRPr="00D276FB">
        <w:tab/>
      </w:r>
      <w:r w:rsidRPr="00D276FB">
        <w:rPr>
          <w:rFonts w:ascii="Times New Roman" w:hAnsi="Times New Roman"/>
          <w:b/>
        </w:rPr>
        <w:t>Analyse/évaluation succincte de la résolution et des demandes qu’elle contient:</w:t>
      </w:r>
      <w:r w:rsidRPr="00D276FB">
        <w:rPr>
          <w:rFonts w:ascii="Times New Roman" w:hAnsi="Times New Roman"/>
        </w:rPr>
        <w:t xml:space="preserve"> </w:t>
      </w:r>
    </w:p>
    <w:p w:rsidR="00B357C8" w:rsidRPr="00D276FB" w:rsidRDefault="00B357C8" w:rsidP="00B357C8">
      <w:pPr>
        <w:widowControl w:val="0"/>
        <w:spacing w:after="120"/>
        <w:ind w:right="-28"/>
        <w:rPr>
          <w:rFonts w:ascii="Times New Roman" w:hAnsi="Times New Roman"/>
          <w:szCs w:val="24"/>
        </w:rPr>
      </w:pPr>
      <w:r w:rsidRPr="00D276FB">
        <w:rPr>
          <w:rFonts w:ascii="Times New Roman" w:hAnsi="Times New Roman"/>
        </w:rPr>
        <w:t>La résolution demande que la politique commerciale de l’Union prenne en considération l’évolution du contexte international depuis la publication de la stratégie «Le commerce pour tous» (paragraphes 1 et 2) ainsi que l’impact du Brexit (paragraphe 4). Elle souligne l’importance croissante des services, appelle à la protection des données à caractère personnel dans les accords commerciaux ainsi qu’à la promotion de la stratégie de l’Union pour le commerce numérique (paragraphe 3). En outre, la résolution demande que soit clarifiée la future architecture des accords de libre-échange (ALE) sur la base de l’avis 2/15 de la Cour de justice de l’Union européenne (paragraphe 5). Il y a lieu de soutenir le rôle central de l’Organisation mondiale du commerce (OMC) au sein du système commercial mondial (paragraphe 7) et de relancer les négociations plurilatérales sur le commerce des services et les biens environnementaux (paragraphe 8). La résolution demande de faire progresser les négociations bilatérales sur des accords d’investissement avec la Chine (paragraphe 10), Hong Kong et Taïwan (paragraphe 13).</w:t>
      </w:r>
    </w:p>
    <w:p w:rsidR="00B357C8" w:rsidRPr="00D276FB" w:rsidRDefault="00B357C8" w:rsidP="00B357C8">
      <w:pPr>
        <w:widowControl w:val="0"/>
        <w:spacing w:after="120"/>
        <w:ind w:right="-28"/>
        <w:rPr>
          <w:rFonts w:ascii="Times New Roman" w:hAnsi="Times New Roman"/>
          <w:szCs w:val="24"/>
        </w:rPr>
      </w:pPr>
      <w:r w:rsidRPr="00D276FB">
        <w:rPr>
          <w:rFonts w:ascii="Times New Roman" w:hAnsi="Times New Roman"/>
        </w:rPr>
        <w:t>Elle demande que la mise en œuvre de la politique commerciale devienne une partie intégrante de la stratégie commerciale de l’Union (paragraphes 22 et 34) et énumère un certain nombre d’actions que la Commission doit entreprendre en la matière, comme aborder les difficultés de mise en œuvre avec les partenaires commerciaux de l’Union concernés (paragraphe 34), recourir aux procédures de règlement des différends disponibles (paragraphe 23) ou aider les entreprises de l’Union à faire un meilleur usage des ALE existants (paragraphes 17, 25 et 33).</w:t>
      </w:r>
    </w:p>
    <w:p w:rsidR="00B357C8" w:rsidRPr="00D276FB" w:rsidRDefault="00B357C8" w:rsidP="00B357C8">
      <w:pPr>
        <w:widowControl w:val="0"/>
        <w:spacing w:after="120"/>
        <w:ind w:right="-28"/>
        <w:rPr>
          <w:rFonts w:ascii="Times New Roman" w:hAnsi="Times New Roman"/>
          <w:szCs w:val="24"/>
        </w:rPr>
      </w:pPr>
      <w:r w:rsidRPr="00D276FB">
        <w:rPr>
          <w:rFonts w:ascii="Times New Roman" w:hAnsi="Times New Roman"/>
        </w:rPr>
        <w:t xml:space="preserve">La résolution se félicite de la publication par la Commission du premier rapport sur la mise en œuvre des ALE et demande un certain nombre d’améliorations, telles que des études plus approfondies et complètes sur la mise en œuvre des accords, comprenant une analyse économétrique et qualitative, des recommandations et des informations sur le contexte (paragraphe 30); une coopération plus étroite avec les États membres et les pays partenaires afin d’obtenir plus de données et d’informations sur la mise en œuvre des accords; des informations relatives à l’impact des ALE sur la croissance, l’emploi, les services, le commerce et les flux d’investissement (paragraphe 32); une analyse spécifiquement consacrée aux petites et moyennes entreprises (PME) (paragraphe 39); des données sur le recours aux dispositions relatives aux marchés publics dans les ALE ainsi que des informations sur les retombées positives de la protection des indications géographiques (IG) (paragraphes 42 et 43). Il convient d’associer davantage les États membres, le Parlement européen, les parlements nationaux, les acteurs économiques, les </w:t>
      </w:r>
      <w:r w:rsidRPr="00D276FB">
        <w:rPr>
          <w:rFonts w:ascii="Times New Roman" w:hAnsi="Times New Roman"/>
        </w:rPr>
        <w:lastRenderedPageBreak/>
        <w:t>représentants de la société civile ainsi que les partenaires sociaux au suivi de la politique commerciale (paragraphe 64).</w:t>
      </w:r>
    </w:p>
    <w:p w:rsidR="00B357C8" w:rsidRPr="00D276FB" w:rsidRDefault="00B357C8" w:rsidP="00B357C8">
      <w:pPr>
        <w:widowControl w:val="0"/>
        <w:spacing w:after="120"/>
        <w:ind w:right="-28"/>
        <w:rPr>
          <w:rFonts w:ascii="Times New Roman" w:hAnsi="Times New Roman"/>
          <w:szCs w:val="24"/>
        </w:rPr>
      </w:pPr>
      <w:r w:rsidRPr="00D276FB">
        <w:rPr>
          <w:rFonts w:ascii="Times New Roman" w:hAnsi="Times New Roman"/>
        </w:rPr>
        <w:t>Dans le cadre de l’évaluation de la politique commerciale de l’Union, la résolution demande de réaliser une étude sur les effets cumulatifs des accords commerciaux (paragraphe 27) et d’améliorer la qualité des études d’impact effectuées pour chaque accord commercial (paragraphe 65).</w:t>
      </w:r>
    </w:p>
    <w:p w:rsidR="00B357C8" w:rsidRPr="00D276FB" w:rsidRDefault="00B357C8" w:rsidP="00B357C8">
      <w:pPr>
        <w:spacing w:after="120"/>
        <w:ind w:right="-28"/>
        <w:rPr>
          <w:rFonts w:ascii="Times New Roman" w:hAnsi="Times New Roman"/>
          <w:szCs w:val="24"/>
        </w:rPr>
      </w:pPr>
      <w:r w:rsidRPr="00D276FB">
        <w:rPr>
          <w:rFonts w:ascii="Times New Roman" w:hAnsi="Times New Roman"/>
        </w:rPr>
        <w:t>La résolution demande d’atténuer les effets négatifs liés au commerce à l’aide de politiques d’accompagnement et de renforcer l’efficacité du Fonds européen d’ajustement à la mondialisation (paragraphe 28).</w:t>
      </w:r>
    </w:p>
    <w:p w:rsidR="00B357C8" w:rsidRPr="00D276FB" w:rsidRDefault="00B357C8" w:rsidP="00B357C8">
      <w:pPr>
        <w:widowControl w:val="0"/>
        <w:spacing w:after="120"/>
        <w:ind w:right="-28"/>
        <w:rPr>
          <w:rFonts w:ascii="Times New Roman" w:hAnsi="Times New Roman"/>
          <w:szCs w:val="24"/>
        </w:rPr>
      </w:pPr>
      <w:r w:rsidRPr="00D276FB">
        <w:rPr>
          <w:rFonts w:ascii="Times New Roman" w:hAnsi="Times New Roman"/>
        </w:rPr>
        <w:t>Tout en saluant l’introduction de chapitres spécifiques consacrés aux PME dans les ALE en cours de négociation (paragraphe 40), la résolution demande plus de soutien en faveur des PME à l’aide d’une boîte à outils actualisée (paragraphe 38), notamment un outil d’orientation sur les règles d’origine (paragraphe 40).</w:t>
      </w:r>
    </w:p>
    <w:p w:rsidR="00B357C8" w:rsidRPr="00D276FB" w:rsidRDefault="00B357C8" w:rsidP="00B357C8">
      <w:pPr>
        <w:widowControl w:val="0"/>
        <w:spacing w:after="120"/>
        <w:ind w:right="-28"/>
        <w:rPr>
          <w:rFonts w:ascii="Times New Roman" w:hAnsi="Times New Roman"/>
          <w:szCs w:val="24"/>
        </w:rPr>
      </w:pPr>
      <w:r w:rsidRPr="00D276FB">
        <w:rPr>
          <w:rFonts w:ascii="Times New Roman" w:hAnsi="Times New Roman"/>
        </w:rPr>
        <w:t xml:space="preserve">La résolution demande une analyse plus approfondie du suivi du </w:t>
      </w:r>
      <w:r w:rsidRPr="00D276FB">
        <w:rPr>
          <w:rFonts w:ascii="Times New Roman" w:hAnsi="Times New Roman"/>
          <w:color w:val="666666"/>
        </w:rPr>
        <w:t>système de préférences généralisées (SPG)</w:t>
      </w:r>
      <w:r w:rsidRPr="00D276FB">
        <w:rPr>
          <w:rFonts w:ascii="Times New Roman" w:hAnsi="Times New Roman"/>
        </w:rPr>
        <w:t xml:space="preserve"> (paragraphe 45) ainsi qu’une méthode de suivi pour la mise en œuvre des dispositions relatives au commerce et au développement durable (paragraphe 46). Elle demande en outre l’inclusion d’un chapitre consacré à la dimension de genre dans les futurs accords de commerce et d’investissement de l’Union (paragraphes 50 et 51). Il y a lieu de renforcer la responsabilité sociale des entreprises dans la politique commerciale de l’Union (paragraphe 54). La résolution préconise un soutien en faveur de la zone de libre-échange continentale en Afrique (paragraphe 56); demande une proposition visant à interdire l’importation des biens produits en ayant recours au travail des enfants ou au travail forcé (paragraphe 57); appelle à un dialogue avec les partenaires dans le cadre des accords de partenariat économique (APE) (paragraphe 58); demande que soient convoquées en temps utile les institutions de la société civile des États du Cariforum (paragraphe 59).</w:t>
      </w:r>
    </w:p>
    <w:p w:rsidR="00B357C8" w:rsidRPr="00D276FB" w:rsidRDefault="00B357C8" w:rsidP="00B357C8">
      <w:pPr>
        <w:widowControl w:val="0"/>
        <w:spacing w:after="120"/>
        <w:ind w:right="-28"/>
        <w:rPr>
          <w:rFonts w:ascii="Times New Roman" w:hAnsi="Times New Roman"/>
          <w:szCs w:val="24"/>
        </w:rPr>
      </w:pPr>
      <w:r w:rsidRPr="00D276FB">
        <w:rPr>
          <w:rFonts w:ascii="Times New Roman" w:hAnsi="Times New Roman"/>
        </w:rPr>
        <w:t>La résolution demande un système transparent et performant d’étiquetage de «traçabilité sociale et environnementale» (paragraphe 60), la publication des projets de mandat (paragraphes 61 et 63) ainsi qu’une stratégie de communication pour la politique commerciale (paragraphe 62).</w:t>
      </w:r>
    </w:p>
    <w:p w:rsidR="00B357C8" w:rsidRPr="00D276FB" w:rsidRDefault="00B357C8" w:rsidP="00B357C8">
      <w:pPr>
        <w:widowControl w:val="0"/>
        <w:spacing w:before="240"/>
        <w:ind w:left="567" w:right="-28" w:hanging="567"/>
        <w:rPr>
          <w:rFonts w:ascii="Times New Roman" w:hAnsi="Times New Roman"/>
          <w:b/>
          <w:szCs w:val="24"/>
        </w:rPr>
      </w:pPr>
      <w:r w:rsidRPr="00D276FB">
        <w:rPr>
          <w:rFonts w:ascii="Times New Roman" w:hAnsi="Times New Roman"/>
          <w:b/>
        </w:rPr>
        <w:t>7.</w:t>
      </w:r>
      <w:r w:rsidRPr="00D276FB">
        <w:tab/>
      </w:r>
      <w:r w:rsidRPr="00D276FB">
        <w:rPr>
          <w:rFonts w:ascii="Times New Roman" w:hAnsi="Times New Roman"/>
          <w:b/>
        </w:rPr>
        <w:t>Réponse à ces demandes et aperçu des mesures que la Commission a prises ou envisage de prendre:</w:t>
      </w:r>
      <w:r w:rsidRPr="00D276FB">
        <w:rPr>
          <w:rFonts w:ascii="Times New Roman" w:hAnsi="Times New Roman"/>
        </w:rPr>
        <w:t xml:space="preserve"> </w:t>
      </w:r>
    </w:p>
    <w:p w:rsidR="00B357C8" w:rsidRPr="00D276FB" w:rsidRDefault="00B357C8" w:rsidP="00B357C8">
      <w:pPr>
        <w:widowControl w:val="0"/>
        <w:spacing w:after="120"/>
        <w:ind w:right="-28"/>
        <w:rPr>
          <w:rFonts w:ascii="Times New Roman" w:hAnsi="Times New Roman"/>
          <w:szCs w:val="24"/>
        </w:rPr>
      </w:pPr>
      <w:r w:rsidRPr="00D276FB">
        <w:rPr>
          <w:rFonts w:ascii="Times New Roman" w:hAnsi="Times New Roman"/>
          <w:b/>
        </w:rPr>
        <w:t>Paragraphe 3</w:t>
      </w:r>
      <w:r w:rsidRPr="00D276FB">
        <w:rPr>
          <w:rFonts w:ascii="Times New Roman" w:hAnsi="Times New Roman"/>
        </w:rPr>
        <w:t>: la facilitation du commerce numérique est une caractéristique importante de la politique commerciale de l’Union. L’accord de principe conclu récemment avec le Mexique illustre l’approche ambitieuse actuelle de l’Union en matière de commerce numérique. Le 31 janvier 2018, la Commission a approuvé des dispositions horizontales concernant les flux transfrontières de données et la protection des données à caractère personnel dans le cadre des négociations commerciales qui interdisent les entraves protectionnistes aux flux transfrontières de données, dans le strict respect des règles de l’Union relatives à la protection des données et à la confidentialité des données. La Commission propose d’inclure ces dispositions horizontales dans les négociations commerciales actuellement en cours avec le Chili et l’Indonésie et, ultérieurement, avec l’Australie et la Nouvelle-Zélande.</w:t>
      </w:r>
    </w:p>
    <w:p w:rsidR="00B357C8" w:rsidRPr="00D276FB" w:rsidRDefault="00B357C8" w:rsidP="00B357C8">
      <w:pPr>
        <w:widowControl w:val="0"/>
        <w:spacing w:after="120"/>
        <w:ind w:right="-28"/>
        <w:rPr>
          <w:rFonts w:ascii="Times New Roman" w:hAnsi="Times New Roman"/>
          <w:szCs w:val="24"/>
        </w:rPr>
      </w:pPr>
      <w:r w:rsidRPr="00D276FB">
        <w:rPr>
          <w:rFonts w:ascii="Times New Roman" w:hAnsi="Times New Roman"/>
          <w:b/>
        </w:rPr>
        <w:t>Paragraphe 4</w:t>
      </w:r>
      <w:r w:rsidRPr="00D276FB">
        <w:rPr>
          <w:rFonts w:ascii="Times New Roman" w:hAnsi="Times New Roman"/>
        </w:rPr>
        <w:t xml:space="preserve">: la Commission partage l’analyse du Parlement selon laquelle le retrait du Royaume-Uni de l’Union aura des répercussions sur les conditions commerciales applicables aux deux parties. L’Union maintiendra ses droits et obligations dans ses relations bilatérales avec les pays tiers et s’efforce actuellement de trouver une solution à la répartition des engagements communs dans le cadre de l’OMC qui permette de maintenir l’actuel niveau d’accès au marché dont bénéficient les autres membres de l’OMC. La </w:t>
      </w:r>
      <w:r w:rsidRPr="00D276FB">
        <w:rPr>
          <w:rFonts w:ascii="Times New Roman" w:hAnsi="Times New Roman"/>
        </w:rPr>
        <w:lastRenderedPageBreak/>
        <w:t>politique commerciale de l’Union donne de bons résultats, avantageux pour les travailleurs, les consommateurs et les entreprises. Elle est également en mesure d’intégrer de nouvelles évolutions, telles que le retrait de l’Union de la part du Royaume-Uni, et de s’y adapter.</w:t>
      </w:r>
    </w:p>
    <w:p w:rsidR="00B357C8" w:rsidRPr="00D276FB" w:rsidRDefault="00B357C8" w:rsidP="00B357C8">
      <w:pPr>
        <w:widowControl w:val="0"/>
        <w:spacing w:after="120"/>
        <w:ind w:right="-28"/>
        <w:rPr>
          <w:rFonts w:ascii="Times New Roman" w:hAnsi="Times New Roman"/>
          <w:szCs w:val="24"/>
        </w:rPr>
      </w:pPr>
      <w:r w:rsidRPr="00D276FB">
        <w:rPr>
          <w:rFonts w:ascii="Times New Roman" w:hAnsi="Times New Roman"/>
          <w:b/>
        </w:rPr>
        <w:t>Paragraphe 5</w:t>
      </w:r>
      <w:r w:rsidRPr="00D276FB">
        <w:rPr>
          <w:rFonts w:ascii="Times New Roman" w:hAnsi="Times New Roman"/>
        </w:rPr>
        <w:t>: compte tenu de la clarification apportée par l’avis 2/15 de la Cour de justice de l’Union européenne, la Commission envisage de recommander que les futurs accords commerciaux couvrant des domaines relevant de la compétence exclusive de l’Union soient conclus par l’Union séparément des accords mixtes relatifs à la protection des investissements négociés avec les mêmes pays partenaires. La Commission continue de tenir le Parlement européen informé à tous les stades du processus de négociation, comme prévu dans l’actuel accord-cadre sur les relations avec le Parlement européen.</w:t>
      </w:r>
    </w:p>
    <w:p w:rsidR="00B357C8" w:rsidRPr="00D276FB" w:rsidRDefault="00B357C8" w:rsidP="00B357C8">
      <w:pPr>
        <w:widowControl w:val="0"/>
        <w:spacing w:after="120"/>
        <w:ind w:right="-28"/>
        <w:rPr>
          <w:rFonts w:ascii="Times New Roman" w:hAnsi="Times New Roman"/>
          <w:szCs w:val="24"/>
        </w:rPr>
      </w:pPr>
      <w:r w:rsidRPr="00D276FB">
        <w:rPr>
          <w:rFonts w:ascii="Times New Roman" w:hAnsi="Times New Roman"/>
          <w:b/>
        </w:rPr>
        <w:t>Paragraphe 7</w:t>
      </w:r>
      <w:r w:rsidRPr="00D276FB">
        <w:rPr>
          <w:rFonts w:ascii="Times New Roman" w:hAnsi="Times New Roman"/>
        </w:rPr>
        <w:t>: la Commission partage l’avis exprimé en ce qui concerne le rôle central de l’OMC et le système commercial multilatéral fondé sur des règles. Elle réaffirme l’importance que revêtent le soutien et le renforcement de l’OMC par une modernisation de l’organisation, reposant sur: une extension de l’agenda de négociation afin d’y inclure les questions relatives aux conditions de concurrence équitable; un assouplissement des processus de négociation; une sortie de l’impasse due au blocage de l’organe d’appel; et une efficacité et une transparence plus grandes pour les travaux réguliers de l’OMC.</w:t>
      </w:r>
    </w:p>
    <w:p w:rsidR="00B357C8" w:rsidRPr="00D276FB" w:rsidRDefault="00B357C8" w:rsidP="00B357C8">
      <w:pPr>
        <w:widowControl w:val="0"/>
        <w:spacing w:after="120"/>
        <w:ind w:right="-28"/>
        <w:rPr>
          <w:rFonts w:ascii="Times New Roman" w:hAnsi="Times New Roman"/>
          <w:szCs w:val="24"/>
        </w:rPr>
      </w:pPr>
      <w:r w:rsidRPr="00D276FB">
        <w:rPr>
          <w:rFonts w:ascii="Times New Roman" w:hAnsi="Times New Roman"/>
          <w:b/>
        </w:rPr>
        <w:t>Paragraphe 8</w:t>
      </w:r>
      <w:r w:rsidRPr="00D276FB">
        <w:rPr>
          <w:rFonts w:ascii="Times New Roman" w:hAnsi="Times New Roman"/>
        </w:rPr>
        <w:t>: la Commission maintient son engagement en faveur d’accords ambitieux sur le commerce des services et les biens environnementaux. Elle déplore l’interruption de ces négociations depuis novembre 2016 mais, compte tenu des progrès considérables accomplis depuis lors, reste optimiste quant au fait que ces accords pourraient être conclus rapidement en cas de reprise des négociations.</w:t>
      </w:r>
    </w:p>
    <w:p w:rsidR="00B357C8" w:rsidRPr="00D276FB" w:rsidRDefault="00B357C8" w:rsidP="00B357C8">
      <w:pPr>
        <w:widowControl w:val="0"/>
        <w:spacing w:after="120"/>
        <w:ind w:right="-28"/>
        <w:rPr>
          <w:rFonts w:ascii="Times New Roman" w:hAnsi="Times New Roman"/>
          <w:szCs w:val="24"/>
        </w:rPr>
      </w:pPr>
      <w:r w:rsidRPr="00D276FB">
        <w:rPr>
          <w:rFonts w:ascii="Times New Roman" w:hAnsi="Times New Roman"/>
          <w:b/>
        </w:rPr>
        <w:t>Paragraphe 9</w:t>
      </w:r>
      <w:r w:rsidRPr="00D276FB">
        <w:rPr>
          <w:rFonts w:ascii="Times New Roman" w:hAnsi="Times New Roman"/>
        </w:rPr>
        <w:t>: les négociations commerciales avec l’Australie et la Nouvelle-Zélande ont été entamées en juin 2018.</w:t>
      </w:r>
    </w:p>
    <w:p w:rsidR="00B357C8" w:rsidRPr="00D276FB" w:rsidRDefault="00B357C8" w:rsidP="00B357C8">
      <w:pPr>
        <w:spacing w:after="120"/>
        <w:rPr>
          <w:rFonts w:ascii="Times New Roman" w:hAnsi="Times New Roman"/>
          <w:iCs/>
          <w:szCs w:val="24"/>
        </w:rPr>
      </w:pPr>
      <w:r w:rsidRPr="00D276FB">
        <w:rPr>
          <w:rFonts w:ascii="Times New Roman" w:hAnsi="Times New Roman"/>
          <w:b/>
        </w:rPr>
        <w:t>Paragraphe 10</w:t>
      </w:r>
      <w:r w:rsidRPr="00D276FB">
        <w:rPr>
          <w:rFonts w:ascii="Times New Roman" w:hAnsi="Times New Roman"/>
        </w:rPr>
        <w:t>: les négociations bilatérales sur l’accord global d’investissement avec la Chine constituent une priorité absolue définie dans la stratégie de l’Union concernant la Chine. Lors de ces négociations, la Commission a pour objectif principal d’apporter une valeur ajoutée considérable au cadre de relations bilatérales existant. Comme dans tous les accords de commerce et d’investissement, l’Union propose d’inclure des chapitres ambitieux sur les investissements et le développement durable.</w:t>
      </w:r>
    </w:p>
    <w:p w:rsidR="00B357C8" w:rsidRPr="00D276FB" w:rsidRDefault="00B357C8" w:rsidP="00B357C8">
      <w:pPr>
        <w:widowControl w:val="0"/>
        <w:spacing w:after="120"/>
        <w:ind w:right="-28"/>
        <w:rPr>
          <w:rFonts w:ascii="Times New Roman" w:hAnsi="Times New Roman"/>
          <w:szCs w:val="24"/>
        </w:rPr>
      </w:pPr>
      <w:r w:rsidRPr="00D276FB">
        <w:rPr>
          <w:rFonts w:ascii="Times New Roman" w:hAnsi="Times New Roman"/>
          <w:b/>
        </w:rPr>
        <w:t>Paragraphe 11</w:t>
      </w:r>
      <w:r w:rsidRPr="00D276FB">
        <w:rPr>
          <w:rFonts w:ascii="Times New Roman" w:hAnsi="Times New Roman"/>
        </w:rPr>
        <w:t>: dans les ALE et les accords conclus dans le cadre de l’OMC (AGCS), l’Union applique depuis longtemps une approche visant à protéger la fourniture de services publics. Aucun ALE de l’Union ne contraint les pouvoirs publics à privatiser ou à déréglementer un quelconque service public à quelque niveau de gouvernement que ce soit. De même, les ALE de l’Union n’exigent pas des autorités des États membres de l’Union qu’elles étendent les subventions nationales aux fournisseurs de services étrangers. Les autorités des États membres de l’Union se réservent le droit de renationaliser des services publics fournis par le secteur privé. Les fournisseurs de services étrangers ne bénéficient pas d’un droit général qui les autorise à investir dans les services publics ou à fournir ces services. L’Union a systématiquement instauré, à l’échelle européenne, une exception à l’octroi de l’accès au marché en ce qui concerne la fourniture de services considérés comme des services d’utilité publique. En outre, l’Union exclut systématiquement de tout engagement les services de gestion de l’eau, les services financés par le secteur public tels que la santé, les services sociaux et l’éducation, de même que les services cinématographiques, les services de télévision et tout autre service audiovisuel.</w:t>
      </w:r>
    </w:p>
    <w:p w:rsidR="00B357C8" w:rsidRPr="00D276FB" w:rsidRDefault="00B357C8" w:rsidP="00B357C8">
      <w:pPr>
        <w:widowControl w:val="0"/>
        <w:spacing w:after="120"/>
        <w:ind w:right="-28"/>
        <w:rPr>
          <w:rFonts w:ascii="Times New Roman" w:hAnsi="Times New Roman"/>
          <w:szCs w:val="24"/>
        </w:rPr>
      </w:pPr>
      <w:r w:rsidRPr="00D276FB">
        <w:rPr>
          <w:rFonts w:ascii="Times New Roman" w:hAnsi="Times New Roman"/>
          <w:b/>
        </w:rPr>
        <w:t>Paragraphe 12</w:t>
      </w:r>
      <w:r w:rsidRPr="00D276FB">
        <w:rPr>
          <w:rFonts w:ascii="Times New Roman" w:hAnsi="Times New Roman"/>
        </w:rPr>
        <w:t>: le Conseil peut réexaminer et actualiser à tout moment ses directives de négociation.</w:t>
      </w:r>
    </w:p>
    <w:p w:rsidR="00B357C8" w:rsidRPr="00D276FB" w:rsidRDefault="00B357C8" w:rsidP="00B357C8">
      <w:pPr>
        <w:spacing w:after="120"/>
        <w:rPr>
          <w:rFonts w:ascii="Times New Roman" w:hAnsi="Times New Roman"/>
          <w:szCs w:val="24"/>
        </w:rPr>
      </w:pPr>
      <w:r w:rsidRPr="00D276FB">
        <w:rPr>
          <w:rFonts w:ascii="Times New Roman" w:hAnsi="Times New Roman"/>
          <w:b/>
        </w:rPr>
        <w:t>Paragraphe 13</w:t>
      </w:r>
      <w:r w:rsidRPr="00D276FB">
        <w:rPr>
          <w:rFonts w:ascii="Times New Roman" w:hAnsi="Times New Roman"/>
        </w:rPr>
        <w:t>: des groupes de travail bilatéraux ont été mis en place avec Hong Kong et Taïwan, dans le cadre desquels des experts en investissement se sont réunis à plusieurs reprises.</w:t>
      </w:r>
      <w:r w:rsidRPr="00D276FB">
        <w:t xml:space="preserve"> </w:t>
      </w:r>
      <w:r w:rsidRPr="00D276FB">
        <w:rPr>
          <w:rFonts w:ascii="Times New Roman" w:hAnsi="Times New Roman"/>
        </w:rPr>
        <w:t>Au terme de son évaluation interne, la Commission décidera de l’opportunité d’entamer des négociations sur des accords d’investissement avec Hong Kong et Taïwan. Il convient de rappeler que la décision finale quant à l’engagement de négociations appartient au Conseil.</w:t>
      </w:r>
    </w:p>
    <w:p w:rsidR="00B357C8" w:rsidRPr="00D276FB" w:rsidRDefault="00B357C8" w:rsidP="00B357C8">
      <w:pPr>
        <w:widowControl w:val="0"/>
        <w:spacing w:after="120"/>
        <w:ind w:right="-28"/>
        <w:rPr>
          <w:rFonts w:ascii="Times New Roman" w:hAnsi="Times New Roman"/>
          <w:szCs w:val="24"/>
        </w:rPr>
      </w:pPr>
      <w:r w:rsidRPr="00D276FB">
        <w:rPr>
          <w:rFonts w:ascii="Times New Roman" w:hAnsi="Times New Roman"/>
          <w:b/>
        </w:rPr>
        <w:t>Paragraphe 14</w:t>
      </w:r>
      <w:r w:rsidRPr="00D276FB">
        <w:rPr>
          <w:rFonts w:ascii="Times New Roman" w:hAnsi="Times New Roman"/>
        </w:rPr>
        <w:t>: la Commission remercie le Parlement européen de soutenir les efforts qu’elle déploie pour réformer le système international de règlement du contentieux des investissements. La Commission est pleinement engagée dans le processus en cours au sein de la commission des Nations unies pour le droit commercial international. Il s’agit d’un processus transparent dans lequel les États et la société civile envisagent la manière dont il convient de réformer multilatéralement le système actuel de règlement du contentieux des investissements. Un grand nombre d’idées examinées au cours de ce processus reflètent les craintes soulevées par le Parlement européen.</w:t>
      </w:r>
    </w:p>
    <w:p w:rsidR="00B357C8" w:rsidRPr="00D276FB" w:rsidRDefault="00B357C8" w:rsidP="00B357C8">
      <w:pPr>
        <w:widowControl w:val="0"/>
        <w:spacing w:after="120"/>
        <w:ind w:right="-28"/>
        <w:rPr>
          <w:rFonts w:ascii="Times New Roman" w:hAnsi="Times New Roman"/>
          <w:szCs w:val="24"/>
        </w:rPr>
      </w:pPr>
      <w:r w:rsidRPr="00D276FB">
        <w:rPr>
          <w:rFonts w:ascii="Times New Roman" w:hAnsi="Times New Roman"/>
          <w:b/>
        </w:rPr>
        <w:t>Paragraphe 15</w:t>
      </w:r>
      <w:r w:rsidRPr="00D276FB">
        <w:rPr>
          <w:rFonts w:ascii="Times New Roman" w:hAnsi="Times New Roman"/>
        </w:rPr>
        <w:t>: la ratification de la convention de Maurice sur la transparence dans l’arbitrage entre investisseurs et États fondé sur des traités est actuellement bloquée au niveau du Conseil, et des mesures doivent être prises en conséquence. La Commission œuvre en ce sens mais une action de la part du Conseil est indispensable. La Commission prend acte de la proposition concernant le règlement (UE) nº 1219/2012. Elle souhaite souligner qu’elle s’est engagée à publier un rapport complet sur l’application de ce règlement d’ici à 2020, comprenant une vue d’ensemble des autorisations demandées et accordées, conformément à l’article 15 dudit règlement.</w:t>
      </w:r>
    </w:p>
    <w:p w:rsidR="00B357C8" w:rsidRPr="00D276FB" w:rsidRDefault="00B357C8" w:rsidP="00B357C8">
      <w:pPr>
        <w:widowControl w:val="0"/>
        <w:spacing w:after="120"/>
        <w:ind w:right="-28"/>
        <w:rPr>
          <w:rFonts w:ascii="Times New Roman" w:hAnsi="Times New Roman"/>
          <w:szCs w:val="24"/>
        </w:rPr>
      </w:pPr>
      <w:r w:rsidRPr="00D276FB">
        <w:rPr>
          <w:rFonts w:ascii="Times New Roman" w:hAnsi="Times New Roman"/>
          <w:b/>
        </w:rPr>
        <w:t>Paragraphe 16</w:t>
      </w:r>
      <w:r w:rsidRPr="00D276FB">
        <w:rPr>
          <w:rFonts w:ascii="Times New Roman" w:hAnsi="Times New Roman"/>
        </w:rPr>
        <w:t>: en collaboration avec le SEAE et les États membres de l’Union, la Commission prépare les délibérations au sein des Nations unies sur un éventuel futur traité contraignant sur les entreprises et les droits de l’homme. Des réunions préparatoires sont actuellement organisées avec des experts sur différentes questions ainsi qu’avec des organisations de la société civile.</w:t>
      </w:r>
    </w:p>
    <w:p w:rsidR="00B357C8" w:rsidRPr="00D276FB" w:rsidRDefault="00B357C8" w:rsidP="00B357C8">
      <w:pPr>
        <w:spacing w:after="120"/>
        <w:ind w:right="-28"/>
        <w:rPr>
          <w:rFonts w:ascii="Times New Roman" w:hAnsi="Times New Roman"/>
        </w:rPr>
      </w:pPr>
      <w:r w:rsidRPr="00D276FB">
        <w:rPr>
          <w:rFonts w:ascii="Times New Roman" w:hAnsi="Times New Roman"/>
          <w:b/>
        </w:rPr>
        <w:t>Paragraphe 17</w:t>
      </w:r>
      <w:r w:rsidRPr="00D276FB">
        <w:rPr>
          <w:rFonts w:ascii="Times New Roman" w:hAnsi="Times New Roman"/>
        </w:rPr>
        <w:t>: à la suite de la réforme de 2011, de nouvelles règles d’origine ont été progressivement introduites dans les nouveaux ALE, qui prennent en considération les intérêts offensifs et défensifs de l’Union ainsi que l’intégration de l’industrie de l’Union dans les chaînes de valeur mondiales. En outre, l’Union a récemment modernisé ses règles de procédure en renonçant aux certificats gouvernementaux et en instaurant un système d’autocertification de l’origine par les exportateurs. En outre, la Commission poursuit ses efforts afin de débloquer le processus de révision de la convention régionale sur les règles d’origine paneuro-méditerranéennes. Un rapport sur les règles d’origine sous la forme d’un document de travail des services de la Commission est prévu pour la fin 2018.</w:t>
      </w:r>
    </w:p>
    <w:p w:rsidR="00B357C8" w:rsidRPr="00D276FB" w:rsidRDefault="00B357C8" w:rsidP="00B357C8">
      <w:pPr>
        <w:spacing w:after="120"/>
        <w:rPr>
          <w:rFonts w:ascii="Times New Roman" w:hAnsi="Times New Roman"/>
        </w:rPr>
      </w:pPr>
      <w:r w:rsidRPr="00D276FB">
        <w:rPr>
          <w:rFonts w:ascii="Times New Roman" w:hAnsi="Times New Roman"/>
          <w:b/>
        </w:rPr>
        <w:t>Paragraphe 19</w:t>
      </w:r>
      <w:r w:rsidRPr="00D276FB">
        <w:rPr>
          <w:rFonts w:ascii="Times New Roman" w:hAnsi="Times New Roman"/>
        </w:rPr>
        <w:t>: comme souligné dans la communication de 2015 intitulée «Le commerce pour tous», la Commission est résolue à faire en sorte que les ALE prévoient une ouverture de marché efficace tout en tenant compte des besoins asymétriques particuliers des pays en développement. Les accords de commerce et d’investissement de l’Union qui améliorent l’accès aux biens, aux services, aux investissements et aux marchés publics de l’Union, et qui incluent des engagements contraignants ainsi que des mécanismes de suivi des normes sociales et environnementales constituent les principaux instruments permettant de garantir des conditions équitables dans les marchés des pays tiers.</w:t>
      </w:r>
    </w:p>
    <w:p w:rsidR="00B357C8" w:rsidRPr="00D276FB" w:rsidRDefault="00B357C8" w:rsidP="00B357C8">
      <w:pPr>
        <w:widowControl w:val="0"/>
        <w:spacing w:after="120"/>
        <w:ind w:right="-28"/>
        <w:rPr>
          <w:rFonts w:ascii="Times New Roman" w:hAnsi="Times New Roman"/>
          <w:szCs w:val="24"/>
        </w:rPr>
      </w:pPr>
      <w:r w:rsidRPr="00D276FB">
        <w:rPr>
          <w:rFonts w:ascii="Times New Roman" w:hAnsi="Times New Roman"/>
          <w:b/>
        </w:rPr>
        <w:t>Paragraphe 20</w:t>
      </w:r>
      <w:r w:rsidRPr="00D276FB">
        <w:rPr>
          <w:rFonts w:ascii="Times New Roman" w:hAnsi="Times New Roman"/>
        </w:rPr>
        <w:t>: la Commission continuera de suivre de près l’application d’instruments de défense commerciale de la part de pays tiers à l’encontre des exportations de l’Union et, au besoin, interviendra pour éviter toute restriction non justifiée de l’accès au marché ainsi que tout problème systémique potentiel.</w:t>
      </w:r>
    </w:p>
    <w:p w:rsidR="00B357C8" w:rsidRPr="00D276FB" w:rsidRDefault="00B357C8" w:rsidP="00B357C8">
      <w:pPr>
        <w:widowControl w:val="0"/>
        <w:spacing w:after="120"/>
        <w:ind w:right="-28"/>
        <w:rPr>
          <w:rFonts w:ascii="Times New Roman" w:hAnsi="Times New Roman"/>
          <w:szCs w:val="24"/>
        </w:rPr>
      </w:pPr>
      <w:r w:rsidRPr="00D276FB">
        <w:rPr>
          <w:rFonts w:ascii="Times New Roman" w:hAnsi="Times New Roman"/>
          <w:b/>
        </w:rPr>
        <w:t>Paragraphes 22 et 24</w:t>
      </w:r>
      <w:r w:rsidRPr="00D276FB">
        <w:rPr>
          <w:rFonts w:ascii="Times New Roman" w:hAnsi="Times New Roman"/>
        </w:rPr>
        <w:t>: la publication du premier rapport annuel sur la mise en œuvre des ALE illustre les actions que la Commission a entreprises pour améliorer la transparence et la responsabilité de ses activités dans le cadre de la mise en œuvre de plus de deux douzaines d’accords commerciaux bilatéraux et régionaux. Dans le même temps, l’amélioration de la mise en œuvre demeure une responsabilité conjointe de la Commission, des États membres, du Parlement européen et des acteurs concernés. C’est pourquoi la Commission s’attelle à renforcer le réseau et les synergies créés avec les États membres, les délégations de l’Union et les acteurs concernés.</w:t>
      </w:r>
    </w:p>
    <w:p w:rsidR="00B357C8" w:rsidRPr="00D276FB" w:rsidRDefault="00B357C8" w:rsidP="00B357C8">
      <w:pPr>
        <w:widowControl w:val="0"/>
        <w:spacing w:after="120"/>
        <w:ind w:right="-28"/>
        <w:rPr>
          <w:rFonts w:ascii="Times New Roman" w:hAnsi="Times New Roman"/>
          <w:szCs w:val="24"/>
        </w:rPr>
      </w:pPr>
      <w:r w:rsidRPr="00D276FB">
        <w:rPr>
          <w:rFonts w:ascii="Times New Roman" w:hAnsi="Times New Roman"/>
          <w:b/>
        </w:rPr>
        <w:t>Paragraphe 23</w:t>
      </w:r>
      <w:r w:rsidRPr="00D276FB">
        <w:rPr>
          <w:rFonts w:ascii="Times New Roman" w:hAnsi="Times New Roman"/>
        </w:rPr>
        <w:t>: la Commission recourt aux procédures de règlement des différends, tant dans le cadre de l’OMC que des ALE, lorsque cela s’avère nécessaire. En 2018, l’Union a engagé à ce jour deux procédures de règlement de différends devant l’OMC: la première concerne les mesures des États-Unis visant les produits en acier et en aluminium (DS548) et la seconde les mesures de la Chine relatives au transfert de technologie (DS549). La Commission contrôle en permanence le respect des engagements de la part des partenaires commerciaux et n’hésite pas à recourir aux procédures de règlement des différends pertinentes lorsque la situation le justifie. Le mécanisme de règlement des différends dans le cadre du commerce et du développement durable comprend le recours à une procédure devant un panel indépendant qui génère un rapport public assorti de recommandations. L’exécution des engagements est garantie par le contrôle exercé par des organes gouvernementaux ad hoc (comité «commerce et développement durable» et comité du commerce) et par des structures de la société civile (groupes consultatifs internes et forums de la société civile). Comme illustré dans le document informel de la Commission (en anglais) intitulé «Analyse et perspectives d’amélioration de la mise en œuvre et de l’application des chapitres relatifs au commerce et au développement durable dans les accords de libre-échange de l’Union européenne», qui comprend un plan d’action en 15 points, la Commission envisage d’améliorer le respect des règles de mise en œuvre en recourant davantage aux instruments et mécanismes existants. Si les résultats des contrôles et des analyses renforcés portant sur le respect des engagements en matière de commerce et de développement durable pris par plusieurs pays partenaires dans le cadre des ALE ne devaient pas être satisfaisants, la Commission estime alors qu’il y a lieu d’engager des procédures de règlement de différends.</w:t>
      </w:r>
    </w:p>
    <w:p w:rsidR="00B357C8" w:rsidRPr="00D276FB" w:rsidRDefault="00B357C8" w:rsidP="00B357C8">
      <w:pPr>
        <w:spacing w:after="120"/>
        <w:rPr>
          <w:rFonts w:ascii="Times New Roman" w:hAnsi="Times New Roman"/>
        </w:rPr>
      </w:pPr>
      <w:r w:rsidRPr="00D276FB">
        <w:rPr>
          <w:rFonts w:ascii="Times New Roman" w:hAnsi="Times New Roman"/>
          <w:b/>
        </w:rPr>
        <w:t>Paragraphes 25 et 40</w:t>
      </w:r>
      <w:r w:rsidRPr="00D276FB">
        <w:rPr>
          <w:rFonts w:ascii="Times New Roman" w:hAnsi="Times New Roman"/>
        </w:rPr>
        <w:t>: la Commission développe actuellement un outil en ligne qui aidera les utilisateurs des ALE à évaluer l’origine de leurs produits d’un point de vue procédural. Bien qu’un tel outil ne puisse être garant d’une sécurité juridique, il pourrait fournir aux PME des lignes directrices utiles. Un outil d’orientation pilote sur les règles d’origine a été lancé. Une version plus complète devrait être disponible pour la fin 2018.</w:t>
      </w:r>
    </w:p>
    <w:p w:rsidR="00B357C8" w:rsidRPr="00D276FB" w:rsidRDefault="00B357C8" w:rsidP="00B357C8">
      <w:pPr>
        <w:spacing w:after="120"/>
        <w:rPr>
          <w:rFonts w:ascii="Times New Roman" w:hAnsi="Times New Roman"/>
          <w:szCs w:val="24"/>
        </w:rPr>
      </w:pPr>
      <w:r w:rsidRPr="00D276FB">
        <w:rPr>
          <w:rFonts w:ascii="Times New Roman" w:hAnsi="Times New Roman"/>
          <w:b/>
        </w:rPr>
        <w:t>Paragraphe 27</w:t>
      </w:r>
      <w:r w:rsidRPr="00D276FB">
        <w:rPr>
          <w:rFonts w:ascii="Times New Roman" w:hAnsi="Times New Roman"/>
        </w:rPr>
        <w:t>: la Commission analyse en détail les répercussions des instruments de politique commerciale proposés sur l’ensemble des secteurs de l’économie à travers l’Union, en tenant compte des autres politiques existantes. Les analyses d’impact (AI) et les évaluations de l’impact sur le développement durable (SIA) garantissent que tous les impacts pertinents (économiques, sociaux, environnementaux et droits de l’homme) sont analysés. Par manque de ressources, il n’est pas possible pour la Commission d’évaluer tous les impacts territoriaux potentiels dans l’ensemble de l’Union. Des évaluations systématiques de l’impact territorial augmenteraient sensiblement le coût des études, de même que le temps nécessaire pour les réaliser. Cependant, lorsque cela est pertinent, les principaux impacts au niveau régional seront évalués dans le cadre des SIA. La Commission encourage également tous les États membres de l’Union à compléter les AI et les SIA réalisées au niveau de l’Union par des analyses d’impact à l’échelon national et par d’autres études pertinentes.</w:t>
      </w:r>
    </w:p>
    <w:p w:rsidR="00B357C8" w:rsidRPr="00D276FB" w:rsidRDefault="00B357C8" w:rsidP="00B357C8">
      <w:pPr>
        <w:widowControl w:val="0"/>
        <w:spacing w:after="120"/>
        <w:ind w:right="-28"/>
        <w:rPr>
          <w:rFonts w:ascii="Times New Roman" w:hAnsi="Times New Roman"/>
          <w:szCs w:val="24"/>
        </w:rPr>
      </w:pPr>
      <w:r w:rsidRPr="00D276FB">
        <w:rPr>
          <w:rFonts w:ascii="Times New Roman" w:hAnsi="Times New Roman"/>
          <w:b/>
        </w:rPr>
        <w:t>Paragraphe 28</w:t>
      </w:r>
      <w:r w:rsidRPr="00D276FB">
        <w:rPr>
          <w:rFonts w:ascii="Times New Roman" w:hAnsi="Times New Roman"/>
        </w:rPr>
        <w:t>: atténuer les effets perturbateurs de l’évolution technologique et d’une économie mondiale plus que jamais interdépendante en investissant dans le capital humain et en renforçant la dimension sociale de l’Union a toujours constitué une priorité absolue de la Commission Juncker. Le prochain budget à long terme de l’Union pour la période 2021-2027 reflète cet engagement dans la mesure où la Commission propose de créer le «Fonds social européen plus» ainsi qu’un Fonds européen d’ajustement à la mondialisation renforcé et plus efficace.</w:t>
      </w:r>
    </w:p>
    <w:p w:rsidR="00B357C8" w:rsidRPr="00D276FB" w:rsidRDefault="00B357C8" w:rsidP="00B357C8">
      <w:pPr>
        <w:widowControl w:val="0"/>
        <w:spacing w:after="120"/>
        <w:ind w:right="-28"/>
        <w:rPr>
          <w:rFonts w:ascii="Times New Roman" w:hAnsi="Times New Roman"/>
          <w:szCs w:val="24"/>
        </w:rPr>
      </w:pPr>
      <w:r w:rsidRPr="00D276FB">
        <w:rPr>
          <w:rFonts w:ascii="Times New Roman" w:hAnsi="Times New Roman"/>
          <w:b/>
        </w:rPr>
        <w:t>Paragraphe 30</w:t>
      </w:r>
      <w:r w:rsidRPr="00D276FB">
        <w:rPr>
          <w:rFonts w:ascii="Times New Roman" w:hAnsi="Times New Roman"/>
        </w:rPr>
        <w:t>: alors que le premier rapport annuel sur la mise en œuvre des ALE, complété par le document de travail détaillé des services de la Commission, fournit déjà un ensemble étendu de données, constatations et conclusions horizontales, la Commission examine actuellement le moyen d’approfondir davantage encore les analyses qualitatives et quantitatives pour l’édition 2018. La Commission collabore avec Eurostat, les États membres, les délégations de l’Union et les partenaires ALE afin d’accéder aux données sur les exportations de l’Union. Des difficultés peuvent parfois se poser étant donné que différents partenaires ALE utilisent différents systèmes pour la compilation des données, de sorte que les chiffres ne sont pas facilement comparables.</w:t>
      </w:r>
    </w:p>
    <w:p w:rsidR="00B357C8" w:rsidRPr="00D276FB" w:rsidRDefault="00B357C8" w:rsidP="00B357C8">
      <w:pPr>
        <w:widowControl w:val="0"/>
        <w:spacing w:after="120"/>
        <w:ind w:right="-28"/>
        <w:rPr>
          <w:rFonts w:ascii="Times New Roman" w:hAnsi="Times New Roman"/>
          <w:szCs w:val="24"/>
        </w:rPr>
      </w:pPr>
      <w:r w:rsidRPr="00D276FB">
        <w:rPr>
          <w:rFonts w:ascii="Times New Roman" w:hAnsi="Times New Roman"/>
          <w:b/>
        </w:rPr>
        <w:t>Paragraphes 31 et 33</w:t>
      </w:r>
      <w:r w:rsidRPr="00D276FB">
        <w:rPr>
          <w:rFonts w:ascii="Times New Roman" w:hAnsi="Times New Roman"/>
        </w:rPr>
        <w:t>: avant de tirer des conclusions sur l’utilisation des préférences commerciales, il convient de garder à l’esprit que, contrairement aux données sur les importations de l’Union, les données provenant des partenaires commerciaux de l’Union ne sont pas harmonisées et dépendent des méthodes utilisées par les autorités du pays partenaire. C’est pourquoi, pour une région ou un pays donné, les informations sur les exportations de l’Union et les informations sur les importations de l’Union ne sont pas comparables. En outre, certains partenaires ALE de l’Union ont décidé de manière unilatérale d’appliquer des droits «nuls» sur certains produits en lieu et place des taux consolidés à l’OMC supérieurs à zéro. Dans ce cas de figure, des exportateurs de l’Union pourraient préférer exporter sur la base de l’application de droits nuls, en vertu du principe de la nation la plus favorisée (auquel cas les règles d’origine ne s’appliquent pas), et non sur la base des préférences ALE. La Commission est consciente que cette situation n’est pas satisfaisante. La DG Trade examine d’autres moyens éventuels et plus pertinents d’évaluer l’utilisation des ALE par les entreprises de l’Union. À cet effet, et pour soutenir les efforts des États membres dans la mise en œuvre des ALE, la DG Trade a récemment publié un rapport complet qui recense, par pays partenaire, par catégorie de produits et par État membre, les gains réalisés au niveau des exportations de l’Union (compte tenu de l’abandon des droits à l’importation). L’accès aux données des États membres, tant au niveau des entreprises que des transactions, permettrait de réaliser une analyse plus complète.</w:t>
      </w:r>
    </w:p>
    <w:p w:rsidR="00B357C8" w:rsidRPr="00D276FB" w:rsidRDefault="00B357C8" w:rsidP="00B357C8">
      <w:pPr>
        <w:widowControl w:val="0"/>
        <w:spacing w:after="120"/>
        <w:ind w:right="-28"/>
        <w:rPr>
          <w:rFonts w:ascii="Times New Roman" w:hAnsi="Times New Roman"/>
          <w:szCs w:val="24"/>
        </w:rPr>
      </w:pPr>
      <w:r w:rsidRPr="00D276FB">
        <w:rPr>
          <w:rFonts w:ascii="Times New Roman" w:hAnsi="Times New Roman"/>
          <w:b/>
        </w:rPr>
        <w:t>Paragraphe 32</w:t>
      </w:r>
      <w:r w:rsidRPr="00D276FB">
        <w:rPr>
          <w:rFonts w:ascii="Times New Roman" w:hAnsi="Times New Roman"/>
        </w:rPr>
        <w:t xml:space="preserve">: les partenaires ALE de l’Union (via leurs autorités douanières) sont les seuls à pouvoir fournir les données relatives aux exportations de l’Union sur leur territoire. C’est pourquoi la Commission s’efforce d’inscrire dans les ALE en cours de négociation des clauses contraignantes imposant l’élaboration de rapports périodiques. </w:t>
      </w:r>
    </w:p>
    <w:p w:rsidR="00B357C8" w:rsidRPr="00D276FB" w:rsidRDefault="00B357C8" w:rsidP="00B357C8">
      <w:pPr>
        <w:widowControl w:val="0"/>
        <w:spacing w:after="120"/>
        <w:ind w:right="-28"/>
        <w:rPr>
          <w:rFonts w:ascii="Times New Roman" w:hAnsi="Times New Roman"/>
          <w:szCs w:val="24"/>
        </w:rPr>
      </w:pPr>
      <w:r w:rsidRPr="00D276FB">
        <w:rPr>
          <w:rFonts w:ascii="Times New Roman" w:hAnsi="Times New Roman"/>
          <w:b/>
        </w:rPr>
        <w:t>Paragraphe 36</w:t>
      </w:r>
      <w:r w:rsidRPr="00D276FB">
        <w:rPr>
          <w:rFonts w:ascii="Times New Roman" w:hAnsi="Times New Roman"/>
        </w:rPr>
        <w:t>: la Commission s’acquitte de ses responsabilités en s’assurant que les partenaires ALE mettent en œuvre les engagements pris dans le cadre des accords de libre-échange. Dans le cas d’accords importants, les délégations de l’Union analysent, avec l’aide de consultants externes, l’évolution législative et administrative dans le pays partenaire. En ce qui concerne le commerce et le développement durable (CDD), la Commission suit le plan d’action en 15 points visant à améliorer la mise en œuvre et l’application des dispositions en matière de CDD. Dans le cadre d’un projet pilote mené conjointement avec la Suède, un manuel est élaboré afin de faciliter l’orientation des premières phases de la mise en œuvre des dispositions CDD en Équateur, sur la base duquel devrait être développé un outil d’orientation général destiné à faciliter la mise en œuvre du chapitre consacré au commerce et au développement durable qui figurera dans tous les futurs ALE.</w:t>
      </w:r>
    </w:p>
    <w:p w:rsidR="00B357C8" w:rsidRPr="00D276FB" w:rsidRDefault="00B357C8" w:rsidP="00B357C8">
      <w:pPr>
        <w:widowControl w:val="0"/>
        <w:spacing w:after="120"/>
        <w:ind w:right="-28"/>
        <w:rPr>
          <w:rFonts w:ascii="Times New Roman" w:hAnsi="Times New Roman"/>
          <w:szCs w:val="24"/>
        </w:rPr>
      </w:pPr>
      <w:r w:rsidRPr="00D276FB">
        <w:rPr>
          <w:rFonts w:ascii="Times New Roman" w:hAnsi="Times New Roman"/>
          <w:b/>
        </w:rPr>
        <w:t>Paragraphes 38 et 39</w:t>
      </w:r>
      <w:r w:rsidRPr="00D276FB">
        <w:rPr>
          <w:rFonts w:ascii="Times New Roman" w:hAnsi="Times New Roman"/>
        </w:rPr>
        <w:t>: la sensibilisation des acteurs économiques sur les accords commerciaux existants et à venir est une priorité pour la Commission. Cette dernière réfléchit à la manière dont la stratégie d’internationalisation des PME peut être davantage développée. En 2018, la Commission a lancé un projet de deux ans dont l’objectif est de contribuer à la sensibilisation des PME européennes à l’égard des accords commerciaux. Une collaboration étroite est prévue avec les structures et les réseaux existant à l’échelon national et européen, y compris avec le réseau Entreprise Europe. Le projet permettra également de moderniser et d’améliorer des outils en ligne existants fournissant des informations aux entreprises, à savoir la base de données de l’Union sur l’accès au marché et le Trade Helpdesk de l’Union, qui seront combinés en un portail unique. Alors que la promotion commerciale relève au premier chef de la responsabilité des États membres, lesquels fourniront aux PME nationales les outils d’internationalisation appropriés, la Commission assiste les États membres en fournissant des informations complémentaires par l’intermédiaire, par exemple, de la base de données sur l’accès au marché et du mécanisme de facilitation des investissements et des échanges dans le cadre du partenariat Euromed. Les délégations de l’UE font déjà la promotion de l’Union en tant que partenaire commercial et assurent la coordination parallèlement aux États membres. Les travaux en cours se reflèteront dans le prochain rapport sur la mise en œuvre des ALE.</w:t>
      </w:r>
    </w:p>
    <w:p w:rsidR="00B357C8" w:rsidRPr="00D276FB" w:rsidRDefault="00B357C8" w:rsidP="00B357C8">
      <w:pPr>
        <w:widowControl w:val="0"/>
        <w:spacing w:after="120"/>
        <w:ind w:right="-28"/>
        <w:rPr>
          <w:rFonts w:ascii="Times New Roman" w:hAnsi="Times New Roman"/>
          <w:szCs w:val="24"/>
        </w:rPr>
      </w:pPr>
      <w:r w:rsidRPr="00D276FB">
        <w:rPr>
          <w:rFonts w:ascii="Times New Roman" w:hAnsi="Times New Roman"/>
          <w:b/>
        </w:rPr>
        <w:t>Paragraphe 41</w:t>
      </w:r>
      <w:r w:rsidRPr="00D276FB">
        <w:rPr>
          <w:rFonts w:ascii="Times New Roman" w:hAnsi="Times New Roman"/>
        </w:rPr>
        <w:t>: la protection élevée et le strict respect des indications géographiques de l’Union constituent un point d’intérêt essentiel de la politique commerciale de l’Union auquel la Commission continuera d’accorder la priorité au cours des négociations sur les ALE. La Commission continuera d’œuvrer en faveur d’une application efficace des ALE afin d’en garantir les bénéfices pour la protection et le respect des indications géographiques répertoriées, conformément aux dispositions et aux compromis qui ont été convenus dans les ALE respectifs. La Commission utilise pleinement la structure institutionnelle mise en place pour les accords, y compris par l’intermédiaire du sous-comité consacré aux indications géographiques, afin de répondre aux préoccupations concernant le respect des indications géographiques.</w:t>
      </w:r>
    </w:p>
    <w:p w:rsidR="00B357C8" w:rsidRPr="00D276FB" w:rsidRDefault="00B357C8" w:rsidP="00B357C8">
      <w:pPr>
        <w:widowControl w:val="0"/>
        <w:spacing w:after="120"/>
        <w:ind w:right="-28"/>
        <w:rPr>
          <w:rFonts w:ascii="Times New Roman" w:hAnsi="Times New Roman"/>
          <w:szCs w:val="24"/>
        </w:rPr>
      </w:pPr>
      <w:r w:rsidRPr="00D276FB">
        <w:rPr>
          <w:rFonts w:ascii="Times New Roman" w:hAnsi="Times New Roman"/>
          <w:b/>
        </w:rPr>
        <w:t>Paragraphe 42</w:t>
      </w:r>
      <w:r w:rsidRPr="00D276FB">
        <w:rPr>
          <w:rFonts w:ascii="Times New Roman" w:hAnsi="Times New Roman"/>
        </w:rPr>
        <w:t>: la proposition de la Commission relative à un instrument international sur les marchés publics vise à garantir un plus grand accès aux marchés publics des pays tiers en encourageant les partenaires commerciaux à négocier des accords de marchés publics. L’objectif de l’Union est toujours celui de favoriser un marché intérieur ouvert, accessible sans discrimination aux acteurs tant nationaux qu’étrangers, tout en prévenant les distorsions du marché dans le respect plein et entier des règles européennes et internationales. La Commission appelle dès lors à une adoption rapide de la proposition visant à promouvoir l’ouverture et des conditions équitables dans l’accès aux marchés publics du monde entier.</w:t>
      </w:r>
    </w:p>
    <w:p w:rsidR="00B357C8" w:rsidRPr="00D276FB" w:rsidRDefault="00B357C8" w:rsidP="00B357C8">
      <w:pPr>
        <w:widowControl w:val="0"/>
        <w:spacing w:after="120"/>
        <w:ind w:right="-28"/>
        <w:rPr>
          <w:rFonts w:ascii="Times New Roman" w:hAnsi="Times New Roman"/>
          <w:szCs w:val="24"/>
        </w:rPr>
      </w:pPr>
      <w:r w:rsidRPr="00D276FB">
        <w:rPr>
          <w:rFonts w:ascii="Times New Roman" w:hAnsi="Times New Roman"/>
          <w:b/>
        </w:rPr>
        <w:t>Paragraphe 43</w:t>
      </w:r>
      <w:r w:rsidRPr="00D276FB">
        <w:rPr>
          <w:rFonts w:ascii="Times New Roman" w:hAnsi="Times New Roman"/>
        </w:rPr>
        <w:t>: certains pays tiers ne collectent pas de données sur les marchés publics; c’est pourquoi la possibilité d’évaluer dans quelle mesure l’accès aux marchés publics a été renforcé dépend des engagements pris dans les ALE en ce qui concerne l’échange de statistiques. Cependant, même ce type de données ne peut fournir d’informations que sur les marchés publics remportés par les acteurs de l’Union. Elles ne donnent aucune indication sur les éventuelles difficultés d’accès et ne permettent pas de savoir si les acteurs de l’Union ayant pris part à la procédure d’appel d’offres n’ont pas remporté le marché par manque de compétitivité. La base de données sur l’accès au marché donne certaines informations sur les problèmes auxquels les entreprises sont confrontées dans des pays tiers. L’importance économique des droits de propriété intellectuelle (DPI) tant au niveau de l’emploi que de la contribution au PIB de l’Union a été réaffirmée par un rapport conjoint de l’OEB/EUIPO publié en octobre 2016. Quelque 20 % des ventes de produits bénéficiant d’indications géographiques de l’Union sont exportées en dehors de l’Union. Entre 25 % et 30 % des produits agricoles transformés sont couverts par des indications géographiques, tandis que 80 % des exportations de vin et près de la totalité des exportations de spiritueux sont couvertes par des indications géographiques. Au-delà des indicateurs économiques, les indications géographiques créent des opportunités de croissance et d’emploi, jouent un rôle crucial dans le développement rural, attirent le tourisme et préservent le patrimoine, la diversité régionale et les traditions. Ces aspects sont importants pour les PME et les entrepreneurs qui produisent dans une zone géographique particulière, dans laquelle les caractéristiques ou la réputation d’un produit dépendent essentiellement de l’origine géographique.</w:t>
      </w:r>
    </w:p>
    <w:p w:rsidR="00B357C8" w:rsidRPr="00D276FB" w:rsidRDefault="00B357C8" w:rsidP="00B357C8">
      <w:pPr>
        <w:widowControl w:val="0"/>
        <w:spacing w:after="120"/>
        <w:ind w:right="-28"/>
        <w:rPr>
          <w:rFonts w:ascii="Times New Roman" w:hAnsi="Times New Roman"/>
          <w:szCs w:val="24"/>
        </w:rPr>
      </w:pPr>
      <w:r w:rsidRPr="00D276FB">
        <w:rPr>
          <w:rFonts w:ascii="Times New Roman" w:hAnsi="Times New Roman"/>
          <w:b/>
        </w:rPr>
        <w:t>Paragraphe 45</w:t>
      </w:r>
      <w:r w:rsidRPr="00D276FB">
        <w:rPr>
          <w:rFonts w:ascii="Times New Roman" w:hAnsi="Times New Roman"/>
        </w:rPr>
        <w:t>: le deuxième rapport SPG biennal, adopté le 19 janvier 2018, montre les avantages d’une coopération accrue avec les pays bénéficiaires, la société civile, les organisations internationales et les autorités des États membres dans le suivi du SPG+. Le renforcement du suivi n’a pas uniquement amélioré la collecte des données; il a également accentué la pression sur les pays bénéficiaires afin qu’ils progressent dans la mise en œuvre efficace des conventions relevant du SPG+.</w:t>
      </w:r>
    </w:p>
    <w:p w:rsidR="00B357C8" w:rsidRPr="00D276FB" w:rsidRDefault="00B357C8" w:rsidP="00B357C8">
      <w:pPr>
        <w:widowControl w:val="0"/>
        <w:spacing w:after="120"/>
        <w:ind w:right="-28"/>
        <w:rPr>
          <w:rFonts w:ascii="Times New Roman" w:hAnsi="Times New Roman"/>
          <w:szCs w:val="24"/>
        </w:rPr>
      </w:pPr>
      <w:r w:rsidRPr="00D276FB">
        <w:rPr>
          <w:rFonts w:ascii="Times New Roman" w:hAnsi="Times New Roman"/>
          <w:b/>
        </w:rPr>
        <w:t>Paragraphe 46</w:t>
      </w:r>
      <w:r w:rsidRPr="00D276FB">
        <w:rPr>
          <w:rFonts w:ascii="Times New Roman" w:hAnsi="Times New Roman"/>
        </w:rPr>
        <w:t>: la mise en œuvre et le respect des chapitres ayant trait au commerce et au développement durable constituent l’une des priorités de la Commission. L’approche adoptée s’articule autour de trois axes: des engagements contraignants de la part des parties, des structures associant les organisations de la société civile dans l’exécution de ces engagements, et un mécanisme de règlement des différends spécifique faisant appel à un arbitrage indépendant. Le dialogue et la coopération s’ajoutent ainsi aux efforts de suivi étroit afin de garantir le respect de ces chapitres comme proposé dans le plan d’action en 15 points présenté par la Commission en février 2018.</w:t>
      </w:r>
    </w:p>
    <w:p w:rsidR="00B357C8" w:rsidRPr="00D276FB" w:rsidRDefault="00B357C8" w:rsidP="00B357C8">
      <w:pPr>
        <w:widowControl w:val="0"/>
        <w:spacing w:after="120"/>
        <w:ind w:right="-28"/>
        <w:rPr>
          <w:rFonts w:ascii="Times New Roman" w:hAnsi="Times New Roman"/>
          <w:szCs w:val="24"/>
        </w:rPr>
      </w:pPr>
      <w:r w:rsidRPr="00D276FB">
        <w:rPr>
          <w:rFonts w:ascii="Times New Roman" w:hAnsi="Times New Roman"/>
          <w:b/>
        </w:rPr>
        <w:t>Paragraphes 50 et 51</w:t>
      </w:r>
      <w:r w:rsidRPr="00D276FB">
        <w:rPr>
          <w:rFonts w:ascii="Times New Roman" w:hAnsi="Times New Roman"/>
        </w:rPr>
        <w:t>: la politique commerciale de l’Union contribue à l’engagement de la Commission en faveur de l’égalité hommes-femmes, notamment par l’intermédiaire des évaluations de l’impact sur le développement durable, du SPG et des chapitres consacrés au commerce et au développement durable dans les ALE de l’Union. Les dispositions proposées relatives au commerce et à l’égalité hommes-femmes dans le cadre de l’actualisation de l’accord d’association UE-Chili contribueront, d’une part, à une meilleure compréhension des contraintes et des opportunités rencontrées par les femmes dans le domaine du commerce et, d’autre part, à l’échange de bonnes pratiques visant à favoriser la participation des femmes aux échanges commerciaux internationaux et à aider ces dernières à en tirer profit. En outre, la Commission lance actuellement une étude avec le Centre du commerce international afin de collecter des données sur la participation des femmes aux échanges commerciaux hors Union européenne dans un certain nombre d’États membres de l’Union. Cette étude aidera à comprendre l’implication des femmes dans les échanges commerciaux hors Union européenne ainsi que les obstacles qu’elles rencontrent. La Commission s’efforce de faire prendre conscience de l’importance de l’égalité entre les hommes et les femmes par l’intermédiaire des examens des politiques commerciales réalisés dans le cadre de l’OMC.</w:t>
      </w:r>
    </w:p>
    <w:p w:rsidR="00B357C8" w:rsidRPr="00D276FB" w:rsidRDefault="00B357C8" w:rsidP="00B357C8">
      <w:pPr>
        <w:widowControl w:val="0"/>
        <w:spacing w:after="120"/>
        <w:ind w:right="-28"/>
        <w:rPr>
          <w:rFonts w:ascii="Times New Roman" w:hAnsi="Times New Roman"/>
          <w:szCs w:val="24"/>
        </w:rPr>
      </w:pPr>
      <w:r w:rsidRPr="00D276FB">
        <w:rPr>
          <w:rFonts w:ascii="Times New Roman" w:hAnsi="Times New Roman"/>
          <w:b/>
        </w:rPr>
        <w:t>Paragraphe 53</w:t>
      </w:r>
      <w:r w:rsidRPr="00D276FB">
        <w:rPr>
          <w:rFonts w:ascii="Times New Roman" w:hAnsi="Times New Roman"/>
        </w:rPr>
        <w:t>: la Commission rappelle que le règlement sur les minerais de conflit est déjà entré en vigueur. Les exigences à l’égard des importateurs de l’Union seront applicables à compter du 1</w:t>
      </w:r>
      <w:r w:rsidRPr="00D276FB">
        <w:rPr>
          <w:rFonts w:ascii="Times New Roman" w:hAnsi="Times New Roman"/>
          <w:vertAlign w:val="superscript"/>
        </w:rPr>
        <w:t>er</w:t>
      </w:r>
      <w:r w:rsidRPr="00D276FB">
        <w:rPr>
          <w:rFonts w:ascii="Times New Roman" w:hAnsi="Times New Roman"/>
        </w:rPr>
        <w:t> janvier 2021. La Commission convient de l’importance de préparer la mise en œuvre de ce règlement et de progresser rapidement au niveau des mesures d’accompagnement. Elle considère qu’il est important de faciliter les efforts que les PME consentent pour concevoir et mettre en œuvre des actions qui leur permettront de s’acquitter de leur devoir de diligence à l’égard de la chaîne d’approvisionnement de minerais et déploiera des mesures de soutien spécifiques d’ici à 2019.</w:t>
      </w:r>
    </w:p>
    <w:p w:rsidR="00B357C8" w:rsidRPr="00D276FB" w:rsidRDefault="00B357C8" w:rsidP="00B357C8">
      <w:pPr>
        <w:widowControl w:val="0"/>
        <w:spacing w:after="120"/>
        <w:ind w:right="-28"/>
        <w:rPr>
          <w:rFonts w:ascii="Times New Roman" w:hAnsi="Times New Roman"/>
          <w:szCs w:val="24"/>
        </w:rPr>
      </w:pPr>
      <w:r w:rsidRPr="00D276FB">
        <w:rPr>
          <w:rFonts w:ascii="Times New Roman" w:hAnsi="Times New Roman"/>
          <w:b/>
        </w:rPr>
        <w:t>Paragraphe 54</w:t>
      </w:r>
      <w:r w:rsidRPr="00D276FB">
        <w:rPr>
          <w:rFonts w:ascii="Times New Roman" w:hAnsi="Times New Roman"/>
        </w:rPr>
        <w:t>: tous les accords de commerce et d’investissement conclus récemment contiennent des dispositions particulières engageant les parties à promouvoir la responsabilité sociale et le comportement responsable des entreprises en se référant à des instruments internationalement approuvés dans le domaine. Alors que de nouvelles négociations sont engagées, et conformément aux directives de négociation, la Commission vise à accorder plus de poids à ces dispositions. Comme proposé dans le non-document de la Commission intitulé (en anglais) «Commentaires et marche à suivre en vue de l’amélioration de la mise en œuvre et de l’application des chapitres consacrés au commerce et au développement durable dans les accords de libre-échange de l’Union», cette approche renforcée se traduira par des activités visant à mettre en œuvre les dispositions en matière de CDD. En collaboration avec l’Organisation de coopération et de développement économiques (OCDE) et l’Organisation internationale du travail (OIT), la  Commission a organisé, en 2016 et 2017, des conférences et des ateliers de sensibilisation sur le comportement responsable des entreprises au Costa Rica et au Guatemala, afin de promouvoir des lignes directrices et des bonnes pratiques adoptées en la matière au niveau international. Par ailleurs, la Commission coopère étroitement avec des partenaires à la mise en œuvre du pacte sur la durabilité au Bangladesh, notamment au travers des réunions de suivi de haut niveau organisées en 2014, 2016, 2017 et 2018.</w:t>
      </w:r>
    </w:p>
    <w:p w:rsidR="00B357C8" w:rsidRPr="00D276FB" w:rsidRDefault="00B357C8" w:rsidP="00B357C8">
      <w:pPr>
        <w:widowControl w:val="0"/>
        <w:spacing w:after="120"/>
        <w:ind w:right="-28"/>
        <w:rPr>
          <w:rFonts w:ascii="Times New Roman" w:hAnsi="Times New Roman"/>
          <w:szCs w:val="24"/>
        </w:rPr>
      </w:pPr>
      <w:r w:rsidRPr="00D276FB">
        <w:rPr>
          <w:rFonts w:ascii="Times New Roman" w:hAnsi="Times New Roman"/>
          <w:b/>
        </w:rPr>
        <w:t>Paragraphe 55</w:t>
      </w:r>
      <w:r w:rsidRPr="00D276FB">
        <w:rPr>
          <w:rFonts w:ascii="Times New Roman" w:hAnsi="Times New Roman"/>
        </w:rPr>
        <w:t>: concernant le guide de l’OCDE sur le devoir de diligence applicable aux chaînes d’approvisionnement responsables dans le secteur de l’habillement et de la chaussure, la Commission soutient et finance, ces dernières années, la plupart des travaux de l’OCDE dans le secteur de l’habillement. Maintenant que le guide a été adopté, la Commission se concentre sur la mise en œuvre de ce nouvel instrument par la conception d’activités et d’outils concrets, tels que des formations à destination des PME, des événements de sensibilisation et une aide à l’harmonisation des initiatives collaboratives avec les orientations fournies par ce guide.</w:t>
      </w:r>
    </w:p>
    <w:p w:rsidR="00B357C8" w:rsidRPr="00D276FB" w:rsidRDefault="00B357C8" w:rsidP="00B357C8">
      <w:pPr>
        <w:widowControl w:val="0"/>
        <w:spacing w:after="120"/>
        <w:ind w:right="-28"/>
        <w:rPr>
          <w:rFonts w:ascii="Times New Roman" w:hAnsi="Times New Roman"/>
          <w:szCs w:val="24"/>
        </w:rPr>
      </w:pPr>
      <w:r w:rsidRPr="00D276FB">
        <w:rPr>
          <w:rFonts w:ascii="Times New Roman" w:hAnsi="Times New Roman"/>
          <w:b/>
        </w:rPr>
        <w:t>Paragraphe 56</w:t>
      </w:r>
      <w:r w:rsidRPr="00D276FB">
        <w:rPr>
          <w:rFonts w:ascii="Times New Roman" w:hAnsi="Times New Roman"/>
        </w:rPr>
        <w:t>: la Commission convient pleinement que la politique commerciale et de développement de l’Union doit contribuer à l’échelle mondiale au développement durable, à l’intégration régionale et à l’incorporation des pays en développement dans les chaînes de valeur régionales et, à terme, mondiales, grâce à la diversification économique. L’Union contribue à ces objectifs par la mise en œuvre d’accords de partenariat économique. Le soutien de la Commission en faveur de l’Afrique et de son projet de création d’une zone de libre-échange continentale est manifeste et ce, dès la première phase des négociations et tout au long du programme indicatif pluriannuel panafricain 2014-2017. Ce soutien est sensiblement renforcé dans le cadre du programme indicatif pluriannuel 2018-2020.</w:t>
      </w:r>
    </w:p>
    <w:p w:rsidR="00B357C8" w:rsidRPr="00D276FB" w:rsidRDefault="00B357C8" w:rsidP="00B357C8">
      <w:pPr>
        <w:widowControl w:val="0"/>
        <w:spacing w:after="120"/>
        <w:ind w:right="-28"/>
        <w:rPr>
          <w:rFonts w:ascii="Times New Roman" w:hAnsi="Times New Roman"/>
          <w:szCs w:val="24"/>
        </w:rPr>
      </w:pPr>
      <w:r w:rsidRPr="00D276FB">
        <w:rPr>
          <w:rFonts w:ascii="Times New Roman" w:hAnsi="Times New Roman"/>
          <w:b/>
        </w:rPr>
        <w:t>Paragraphe 57</w:t>
      </w:r>
      <w:r w:rsidRPr="00D276FB">
        <w:rPr>
          <w:rFonts w:ascii="Times New Roman" w:hAnsi="Times New Roman"/>
        </w:rPr>
        <w:t>: la Commission lutte activement contre le travail des enfants et le travail forcé par une approche globale qui implique un engagement et un soutien  associés à des pressions politiques à l’égard des pays concernés pour qu’ils fassent évoluer la situation. La Commission estime que l’interdiction des importations vers le marché de l’Union ne permettra pas de remédier aux causes profondes à l’origine du travail des enfants, parmi lesquelles la pauvreté est la cause la plus criante. Selon les règles de l’OMC, toute interdiction future éventuelle devrait être mondiale et non discriminatoire. Il est en effet probable que les échanges commerciaux soient réorientés vers d’autres importateurs. Comme le travail des enfants se rencontre la plupart du temps dans le secteur agricole, la question de la traçabilité est complexe et coûteuse pour de nombreux pays en développement caractérisés par un taux élevé de travail des enfants.</w:t>
      </w:r>
    </w:p>
    <w:p w:rsidR="00B357C8" w:rsidRPr="00D276FB" w:rsidRDefault="00B357C8" w:rsidP="00B357C8">
      <w:pPr>
        <w:widowControl w:val="0"/>
        <w:spacing w:after="120"/>
        <w:ind w:right="-28"/>
        <w:rPr>
          <w:rFonts w:ascii="Times New Roman" w:hAnsi="Times New Roman"/>
          <w:szCs w:val="24"/>
        </w:rPr>
      </w:pPr>
      <w:r w:rsidRPr="00D276FB">
        <w:rPr>
          <w:rFonts w:ascii="Times New Roman" w:hAnsi="Times New Roman"/>
          <w:b/>
        </w:rPr>
        <w:t>Paragraphe 58</w:t>
      </w:r>
      <w:r w:rsidRPr="00D276FB">
        <w:rPr>
          <w:rFonts w:ascii="Times New Roman" w:hAnsi="Times New Roman"/>
        </w:rPr>
        <w:t>: la Commission est fermement engagée, et impliquée, en faveur du suivi et de l’évaluation des APE, ainsi que de l’instauration d’un dialogue véritable avec les parties concernées. La stratégie actualisée de l’Union en faveur de l’aide pour le commerce prévoit la recherche proactive de synergies entre, d’une part, les programmes de l’aide pour le commerce et, d’autre part, les accords et régimes commerciaux de l’Union. Les plans nationaux de mise en œuvre des APE ainsi que les pactes pour la croissance et l’emploi ont été élaborés de manière à présenter un lien systématique avec l’aide pour le commerce, y compris en provenance des financements au titre du FED. En outre, les instruments d’aide à l’investissement tels que les mécanismes de financement mixte et le plan d’investissement extérieur visent à renforcer la base productive des pays en développement afin de permettre à ces derniers d’exploiter les opportunités commerciales au niveau local, régional et mondial.</w:t>
      </w:r>
    </w:p>
    <w:p w:rsidR="00B357C8" w:rsidRPr="00D276FB" w:rsidRDefault="00B357C8" w:rsidP="00B357C8">
      <w:pPr>
        <w:widowControl w:val="0"/>
        <w:spacing w:after="120"/>
        <w:ind w:right="-28"/>
        <w:rPr>
          <w:rFonts w:ascii="Times New Roman" w:hAnsi="Times New Roman"/>
          <w:szCs w:val="24"/>
        </w:rPr>
      </w:pPr>
      <w:r w:rsidRPr="00D276FB">
        <w:rPr>
          <w:rFonts w:ascii="Times New Roman" w:hAnsi="Times New Roman"/>
          <w:b/>
        </w:rPr>
        <w:t>Paragraphe 59</w:t>
      </w:r>
      <w:r w:rsidRPr="00D276FB">
        <w:rPr>
          <w:rFonts w:ascii="Times New Roman" w:hAnsi="Times New Roman"/>
        </w:rPr>
        <w:t>: concernant les institutions conjointes de la société civile au titre de l’APE «Caraïbes», la Commission rappelle son soutien actif en faveur de la création du comité consultatif mixte (CCM), ainsi que les trois réunions de ce comité qui se sont tenues en 2014, 2016 et 2017. La Commission est dès lors pleinement associée aux travaux du CCM et rappelle que ses conclusions sont présentées au comité «commerce et développement» institué dans le cadre de l’APE «Caraïbes» et prises en compte par ce dernier.</w:t>
      </w:r>
    </w:p>
    <w:p w:rsidR="00B357C8" w:rsidRPr="00D276FB" w:rsidRDefault="00B357C8" w:rsidP="00B357C8">
      <w:pPr>
        <w:widowControl w:val="0"/>
        <w:spacing w:after="120"/>
        <w:ind w:right="-28"/>
        <w:rPr>
          <w:rFonts w:ascii="Times New Roman" w:hAnsi="Times New Roman"/>
          <w:szCs w:val="24"/>
        </w:rPr>
      </w:pPr>
      <w:r w:rsidRPr="00D276FB">
        <w:rPr>
          <w:rFonts w:ascii="Times New Roman" w:hAnsi="Times New Roman"/>
          <w:b/>
        </w:rPr>
        <w:t>Paragraphe 60</w:t>
      </w:r>
      <w:r w:rsidRPr="00D276FB">
        <w:rPr>
          <w:rFonts w:ascii="Times New Roman" w:hAnsi="Times New Roman"/>
        </w:rPr>
        <w:t>: la Commission prend acte de la demande en faveur d’un système d’étiquetage de la traçabilité le long des chaînes de production et renvoie à son rapport concernant d’éventuelles exigences nouvelles en matière d’étiquetage des produits textiles [COM(2013) 656 final], lequel a conclu que les exigences actuelles en matière d’étiquetage des produits textiles étaient adéquates. La Commission poursuit ses efforts en vue d’augmenter le nombre de labels écologiques de l’Union ainsi que les initiatives visant à promouvoir un commerce équitable et éthique, notamment grâce au Prix des villes de l’UE pour le commerce équitable et éthique. Avant d’envisager de nouvelles actions, le plein potentiel des mesures existantes, dont celles menées sur une base volontaire, devrait être réalisé.</w:t>
      </w:r>
    </w:p>
    <w:p w:rsidR="00B357C8" w:rsidRPr="00D276FB" w:rsidRDefault="00B357C8" w:rsidP="00B357C8">
      <w:pPr>
        <w:widowControl w:val="0"/>
        <w:spacing w:after="120"/>
        <w:ind w:right="-28"/>
        <w:rPr>
          <w:rFonts w:ascii="Times New Roman" w:hAnsi="Times New Roman"/>
          <w:szCs w:val="24"/>
        </w:rPr>
      </w:pPr>
      <w:r w:rsidRPr="00D276FB">
        <w:rPr>
          <w:rFonts w:ascii="Times New Roman" w:hAnsi="Times New Roman"/>
          <w:b/>
        </w:rPr>
        <w:t>Paragraphes 61 et 63</w:t>
      </w:r>
      <w:r w:rsidRPr="00D276FB">
        <w:rPr>
          <w:rFonts w:ascii="Times New Roman" w:hAnsi="Times New Roman"/>
        </w:rPr>
        <w:t>: depuis la communication «Le commerce pour tous», la Commission s’est engagée à publier en ligne des textes et des rapports de l’Union sur les cycles de négociation concernant l’ensemble des accords de commerce et d’investissement. Depuis septembre 2017, toutes les recommandations de la Commission  relatives à des directives de négociation en vue d’accords commerciaux sont rendues publiques dès leur adoption par le collège. Ce fut également le cas pour les recommandations de directives de négociation relatives aux accords commerciaux avec l’Australie et la Nouvelle-Zélande. Comme elle s’y est engagée dans la communication «Le commerce pour tous», la Commission encourage le Conseil à rendre publiques les directives de négociation finales (mandats). Depuis 2017, la Commission publie un rapport annuel sur tous les accords commerciaux importants de l’Union, ainsi qu’une synthèse reprenant les points principaux et les travaux en cours.</w:t>
      </w:r>
    </w:p>
    <w:p w:rsidR="00B357C8" w:rsidRPr="00D276FB" w:rsidRDefault="00B357C8" w:rsidP="00B357C8">
      <w:pPr>
        <w:spacing w:after="120"/>
        <w:ind w:right="-28"/>
        <w:rPr>
          <w:rFonts w:ascii="Times New Roman" w:hAnsi="Times New Roman"/>
          <w:szCs w:val="24"/>
        </w:rPr>
      </w:pPr>
      <w:r w:rsidRPr="00D276FB">
        <w:rPr>
          <w:rFonts w:ascii="Times New Roman" w:hAnsi="Times New Roman"/>
          <w:b/>
        </w:rPr>
        <w:t xml:space="preserve">Paragraphe </w:t>
      </w:r>
      <w:r w:rsidRPr="006D3168">
        <w:rPr>
          <w:rFonts w:ascii="Times New Roman" w:hAnsi="Times New Roman"/>
          <w:b/>
          <w:color w:val="000000" w:themeColor="text1"/>
        </w:rPr>
        <w:t>62</w:t>
      </w:r>
      <w:r w:rsidRPr="006D3168">
        <w:rPr>
          <w:rFonts w:ascii="Times New Roman" w:hAnsi="Times New Roman"/>
          <w:color w:val="000000" w:themeColor="text1"/>
        </w:rPr>
        <w:t>: compte</w:t>
      </w:r>
      <w:r w:rsidRPr="00D276FB">
        <w:rPr>
          <w:rFonts w:ascii="Times New Roman" w:hAnsi="Times New Roman"/>
        </w:rPr>
        <w:t xml:space="preserve"> tenu de l’intérêt public sans précédent manifesté ces dernières années à l’égard des politiques commerciales de l’Union, la Commission a considérablement intensifié ses efforts pour communiquer en la matière. Toute initiative importante dans le cadre de la politique commerciale s’accompagne de matériel de communication. Des pages internet, comprenant des fiches d’information dans toutes les langues officielles de l’Union, du matériel visuel et des fiches de questions-réponses sont consacrées aux accords commerciaux. Les représentations de la Commission auprès des États membres aident à élaborer des messages et des articles autour des questions prioritaires et des débats nationaux sur le commerce. Les activités de communication et de sensibilisation sont également centrées sur l’engagement des parties concernées et sur l’interaction avec la société civile. En 2017, la DG Trade a tenu avec la société civile 23 réunions de dialogue sur divers sujets de politique commerciale. En outre, la DG Trade recueille également le conseil des parties concernées par l’intermédiaire du nouveau groupe d’experts sur les accords commerciaux. Depuis le début de son mandat, la commissaire européenne pour le commerce a fait preuve d’un engagement personnel considérable à l’égard des citoyens et de la société civile en prenant part à des dialogues ou à des rencontres bilatérales avec les citoyens et les représentants de la société civile.</w:t>
      </w:r>
    </w:p>
    <w:p w:rsidR="00B357C8" w:rsidRPr="00D276FB" w:rsidRDefault="00B357C8" w:rsidP="00B357C8">
      <w:pPr>
        <w:widowControl w:val="0"/>
        <w:spacing w:after="120"/>
        <w:ind w:right="-28"/>
        <w:rPr>
          <w:rFonts w:ascii="Times New Roman" w:hAnsi="Times New Roman"/>
          <w:szCs w:val="24"/>
        </w:rPr>
      </w:pPr>
      <w:r w:rsidRPr="00D276FB">
        <w:rPr>
          <w:rFonts w:ascii="Times New Roman" w:hAnsi="Times New Roman"/>
          <w:b/>
        </w:rPr>
        <w:t>Paragraphe 64</w:t>
      </w:r>
      <w:r w:rsidRPr="00D276FB">
        <w:rPr>
          <w:rFonts w:ascii="Times New Roman" w:hAnsi="Times New Roman"/>
        </w:rPr>
        <w:t>: la Commission partage l’analyse selon laquelle une mise en œuvre correcte des accords commerciaux exige des efforts conjoints de la part de la Commission, du Parlement européen, des acteurs concernés et des États membres, y compris les ambassades et les représentants du secteur social et économique. Un «partenariat renforcé en matière de mise en œuvre» a été mis sur pied afin de rassembler tous les acteurs concernés et de faciliter les flux d’informations. Ce partenariat repose sur des structures existantes, telles que le comité consultatif «Accès aux marchés», les dialogues avec la société civile, les dialogues avec les citoyens ou encore les rencontres régulières au sein des délégations de l’Union.</w:t>
      </w:r>
    </w:p>
    <w:p w:rsidR="00B357C8" w:rsidRPr="00D276FB" w:rsidRDefault="00B357C8" w:rsidP="00B357C8">
      <w:pPr>
        <w:widowControl w:val="0"/>
        <w:spacing w:after="120"/>
        <w:ind w:right="-28"/>
        <w:rPr>
          <w:rFonts w:ascii="Times New Roman" w:hAnsi="Times New Roman"/>
          <w:szCs w:val="24"/>
        </w:rPr>
      </w:pPr>
      <w:r w:rsidRPr="00D276FB">
        <w:rPr>
          <w:rFonts w:ascii="Times New Roman" w:hAnsi="Times New Roman"/>
          <w:b/>
        </w:rPr>
        <w:t>Paragraphe 65</w:t>
      </w:r>
      <w:r w:rsidRPr="00D276FB">
        <w:rPr>
          <w:rFonts w:ascii="Times New Roman" w:hAnsi="Times New Roman"/>
        </w:rPr>
        <w:t>: la Commission améliore continuellement la qualité de ses évaluations en affinant encore son approche méthodologique et en garantissant des analyses de la plus haute qualité. Ces dernières années, les études d’évaluation se sont améliorées en ce qui concerne l’analyse de l’impact sur les consommateurs et les PME, l’égalité hommes-femmes et les droits de l’homme. Les évaluations tiennent compte des analyses géographiques en fonction des ressources, du temps et des données disponibles. Des sites internet spécifiques et l’engagement de la société civile à tous les stades rendent les SIA particulièrement transparentes.</w:t>
      </w:r>
    </w:p>
    <w:p w:rsidR="00494589" w:rsidRPr="00D276FB" w:rsidRDefault="00B357C8" w:rsidP="00B357C8">
      <w:pPr>
        <w:tabs>
          <w:tab w:val="left" w:pos="5865"/>
        </w:tabs>
        <w:spacing w:after="600"/>
        <w:rPr>
          <w:rFonts w:ascii="Times New Roman" w:hAnsi="Times New Roman"/>
          <w:szCs w:val="24"/>
        </w:rPr>
      </w:pPr>
      <w:r w:rsidRPr="00D276FB">
        <w:rPr>
          <w:rFonts w:ascii="Times New Roman" w:hAnsi="Times New Roman"/>
          <w:b/>
        </w:rPr>
        <w:t>Paragraphe 66</w:t>
      </w:r>
      <w:r w:rsidRPr="00D276FB">
        <w:rPr>
          <w:rFonts w:ascii="Times New Roman" w:hAnsi="Times New Roman"/>
        </w:rPr>
        <w:t>: au cours du premier semestre 2018 se sont tenues trois réunions du groupe d’experts consacré aux accords commerciaux. L’ordre du jour des réunions, les rapports, les documents de travail ainsi que les contributions des organisations membres sont publiés en temps utile. Les points de l’ordre du jour examinés au sein du groupe d’experts reflètent soit des besoins d’expertise spécifiques de la Commission pour les négociations et la mise en œuvre des accords commerciaux, soit des points de préoccupation que les participants souhaiteraient voir aborder lors des discussions en cours ou à venir. Dans la mesure du possible, les sujets sont également débattus à un stade très précoce avant d’être envisagés pour les négociations.</w:t>
      </w:r>
    </w:p>
    <w:sectPr w:rsidR="00494589" w:rsidRPr="00D276FB" w:rsidSect="005A4609">
      <w:footerReference w:type="default" r:id="rId9"/>
      <w:footerReference w:type="first" r:id="rId10"/>
      <w:footnotePr>
        <w:numRestart w:val="eachSect"/>
      </w:footnotePr>
      <w:pgSz w:w="11906" w:h="16838" w:code="9"/>
      <w:pgMar w:top="1021" w:right="1558" w:bottom="1021" w:left="1588" w:header="60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A19" w:rsidRDefault="003C7A19">
      <w:r>
        <w:separator/>
      </w:r>
    </w:p>
  </w:endnote>
  <w:endnote w:type="continuationSeparator" w:id="0">
    <w:p w:rsidR="003C7A19" w:rsidRDefault="003C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UAlbertina">
    <w:panose1 w:val="00000000000000000000"/>
    <w:charset w:val="00"/>
    <w:family w:val="roman"/>
    <w:notTrueType/>
    <w:pitch w:val="default"/>
  </w:font>
  <w:font w:name="EC Square Sans Cond Pro">
    <w:panose1 w:val="020B0506040000020004"/>
    <w:charset w:val="00"/>
    <w:family w:val="swiss"/>
    <w:pitch w:val="variable"/>
    <w:sig w:usb0="A00002BF" w:usb1="500000D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19" w:rsidRDefault="003C7A19">
    <w:pPr>
      <w:pStyle w:val="Footer"/>
      <w:jc w:val="center"/>
    </w:pPr>
    <w:r>
      <w:fldChar w:fldCharType="begin"/>
    </w:r>
    <w:r>
      <w:instrText xml:space="preserve"> PAGE   \* MERGEFORMAT </w:instrText>
    </w:r>
    <w:r>
      <w:fldChar w:fldCharType="separate"/>
    </w:r>
    <w:r w:rsidR="00D61070">
      <w:rPr>
        <w:noProof/>
      </w:rPr>
      <w:t>11</w:t>
    </w:r>
    <w:r>
      <w:rPr>
        <w:noProof/>
      </w:rPr>
      <w:fldChar w:fldCharType="end"/>
    </w:r>
  </w:p>
  <w:p w:rsidR="003C7A19" w:rsidRDefault="003C7A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19" w:rsidRDefault="003C7A19">
    <w:pPr>
      <w:pStyle w:val="Footer"/>
      <w:jc w:val="center"/>
    </w:pPr>
    <w:r>
      <w:fldChar w:fldCharType="begin"/>
    </w:r>
    <w:r>
      <w:instrText xml:space="preserve"> PAGE   \* MERGEFORMAT </w:instrText>
    </w:r>
    <w:r>
      <w:fldChar w:fldCharType="separate"/>
    </w:r>
    <w:r w:rsidR="00D61070">
      <w:rPr>
        <w:noProof/>
      </w:rPr>
      <w:t>1</w:t>
    </w:r>
    <w:r>
      <w:rPr>
        <w:noProof/>
      </w:rPr>
      <w:fldChar w:fldCharType="end"/>
    </w:r>
  </w:p>
  <w:p w:rsidR="003C7A19" w:rsidRDefault="003C7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A19" w:rsidRDefault="003C7A19">
      <w:r>
        <w:separator/>
      </w:r>
    </w:p>
  </w:footnote>
  <w:footnote w:type="continuationSeparator" w:id="0">
    <w:p w:rsidR="003C7A19" w:rsidRDefault="003C7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C76"/>
    <w:multiLevelType w:val="hybridMultilevel"/>
    <w:tmpl w:val="994A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EA507D"/>
    <w:multiLevelType w:val="multilevel"/>
    <w:tmpl w:val="5F385A54"/>
    <w:name w:val="WW8Num2"/>
    <w:lvl w:ilvl="0">
      <w:start w:val="1"/>
      <w:numFmt w:val="bullet"/>
      <w:lvlText w:val="–"/>
      <w:lvlJc w:val="left"/>
      <w:pPr>
        <w:tabs>
          <w:tab w:val="num" w:pos="283"/>
        </w:tabs>
        <w:ind w:left="283" w:hanging="283"/>
      </w:pPr>
      <w:rPr>
        <w:rFonts w:ascii="Times New Roman" w:hAnsi="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10B3F48"/>
    <w:multiLevelType w:val="singleLevel"/>
    <w:tmpl w:val="EFB46688"/>
    <w:name w:val="WW8Num6"/>
    <w:lvl w:ilvl="0">
      <w:start w:val="1"/>
      <w:numFmt w:val="bullet"/>
      <w:pStyle w:val="ListBullet"/>
      <w:lvlText w:val=""/>
      <w:lvlJc w:val="left"/>
      <w:pPr>
        <w:tabs>
          <w:tab w:val="num" w:pos="283"/>
        </w:tabs>
        <w:ind w:left="283" w:hanging="283"/>
      </w:pPr>
      <w:rPr>
        <w:rFonts w:ascii="Symbol" w:hAnsi="Symbol"/>
      </w:rPr>
    </w:lvl>
  </w:abstractNum>
  <w:abstractNum w:abstractNumId="3">
    <w:nsid w:val="02FD5E00"/>
    <w:multiLevelType w:val="hybridMultilevel"/>
    <w:tmpl w:val="23CCA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681E82"/>
    <w:multiLevelType w:val="hybridMultilevel"/>
    <w:tmpl w:val="0316D07C"/>
    <w:lvl w:ilvl="0" w:tplc="010A331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B1A20B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D4D0411"/>
    <w:multiLevelType w:val="hybridMultilevel"/>
    <w:tmpl w:val="673855CC"/>
    <w:lvl w:ilvl="0" w:tplc="FD6CBB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B46F45"/>
    <w:multiLevelType w:val="hybridMultilevel"/>
    <w:tmpl w:val="50D21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BD20DB"/>
    <w:multiLevelType w:val="hybridMultilevel"/>
    <w:tmpl w:val="3BC09D28"/>
    <w:name w:val="WW8Num8"/>
    <w:lvl w:ilvl="0" w:tplc="1ED89A4C">
      <w:start w:val="1"/>
      <w:numFmt w:val="bullet"/>
      <w:pStyle w:val="Briefingspdef"/>
      <w:lvlText w:val=""/>
      <w:lvlJc w:val="left"/>
      <w:pPr>
        <w:tabs>
          <w:tab w:val="num" w:pos="360"/>
        </w:tabs>
        <w:ind w:left="360" w:hanging="360"/>
      </w:pPr>
      <w:rPr>
        <w:rFonts w:ascii="Symbol" w:hAnsi="Symbol" w:hint="default"/>
        <w:sz w:val="20"/>
      </w:rPr>
    </w:lvl>
    <w:lvl w:ilvl="1" w:tplc="E9786584">
      <w:start w:val="1"/>
      <w:numFmt w:val="bullet"/>
      <w:lvlText w:val=""/>
      <w:lvlJc w:val="left"/>
      <w:pPr>
        <w:tabs>
          <w:tab w:val="num" w:pos="1440"/>
        </w:tabs>
        <w:ind w:left="1440" w:hanging="360"/>
      </w:pPr>
      <w:rPr>
        <w:rFonts w:ascii="Symbol" w:hAnsi="Symbol" w:hint="default"/>
        <w:sz w:val="20"/>
      </w:rPr>
    </w:lvl>
    <w:lvl w:ilvl="2" w:tplc="D3E466F6" w:tentative="1">
      <w:start w:val="1"/>
      <w:numFmt w:val="bullet"/>
      <w:lvlText w:val=""/>
      <w:lvlJc w:val="left"/>
      <w:pPr>
        <w:tabs>
          <w:tab w:val="num" w:pos="2160"/>
        </w:tabs>
        <w:ind w:left="2160" w:hanging="360"/>
      </w:pPr>
      <w:rPr>
        <w:rFonts w:ascii="Wingdings" w:hAnsi="Wingdings" w:hint="default"/>
      </w:rPr>
    </w:lvl>
    <w:lvl w:ilvl="3" w:tplc="670E1398" w:tentative="1">
      <w:start w:val="1"/>
      <w:numFmt w:val="bullet"/>
      <w:lvlText w:val=""/>
      <w:lvlJc w:val="left"/>
      <w:pPr>
        <w:tabs>
          <w:tab w:val="num" w:pos="2880"/>
        </w:tabs>
        <w:ind w:left="2880" w:hanging="360"/>
      </w:pPr>
      <w:rPr>
        <w:rFonts w:ascii="Symbol" w:hAnsi="Symbol" w:hint="default"/>
      </w:rPr>
    </w:lvl>
    <w:lvl w:ilvl="4" w:tplc="03E003E2" w:tentative="1">
      <w:start w:val="1"/>
      <w:numFmt w:val="bullet"/>
      <w:lvlText w:val="o"/>
      <w:lvlJc w:val="left"/>
      <w:pPr>
        <w:tabs>
          <w:tab w:val="num" w:pos="3600"/>
        </w:tabs>
        <w:ind w:left="3600" w:hanging="360"/>
      </w:pPr>
      <w:rPr>
        <w:rFonts w:ascii="Courier New" w:hAnsi="Courier New" w:cs="Courier New" w:hint="default"/>
      </w:rPr>
    </w:lvl>
    <w:lvl w:ilvl="5" w:tplc="4FBE7CFE" w:tentative="1">
      <w:start w:val="1"/>
      <w:numFmt w:val="bullet"/>
      <w:lvlText w:val=""/>
      <w:lvlJc w:val="left"/>
      <w:pPr>
        <w:tabs>
          <w:tab w:val="num" w:pos="4320"/>
        </w:tabs>
        <w:ind w:left="4320" w:hanging="360"/>
      </w:pPr>
      <w:rPr>
        <w:rFonts w:ascii="Wingdings" w:hAnsi="Wingdings" w:hint="default"/>
      </w:rPr>
    </w:lvl>
    <w:lvl w:ilvl="6" w:tplc="BB54250A" w:tentative="1">
      <w:start w:val="1"/>
      <w:numFmt w:val="bullet"/>
      <w:lvlText w:val=""/>
      <w:lvlJc w:val="left"/>
      <w:pPr>
        <w:tabs>
          <w:tab w:val="num" w:pos="5040"/>
        </w:tabs>
        <w:ind w:left="5040" w:hanging="360"/>
      </w:pPr>
      <w:rPr>
        <w:rFonts w:ascii="Symbol" w:hAnsi="Symbol" w:hint="default"/>
      </w:rPr>
    </w:lvl>
    <w:lvl w:ilvl="7" w:tplc="546629E2" w:tentative="1">
      <w:start w:val="1"/>
      <w:numFmt w:val="bullet"/>
      <w:lvlText w:val="o"/>
      <w:lvlJc w:val="left"/>
      <w:pPr>
        <w:tabs>
          <w:tab w:val="num" w:pos="5760"/>
        </w:tabs>
        <w:ind w:left="5760" w:hanging="360"/>
      </w:pPr>
      <w:rPr>
        <w:rFonts w:ascii="Courier New" w:hAnsi="Courier New" w:cs="Courier New" w:hint="default"/>
      </w:rPr>
    </w:lvl>
    <w:lvl w:ilvl="8" w:tplc="19BC93F4" w:tentative="1">
      <w:start w:val="1"/>
      <w:numFmt w:val="bullet"/>
      <w:lvlText w:val=""/>
      <w:lvlJc w:val="left"/>
      <w:pPr>
        <w:tabs>
          <w:tab w:val="num" w:pos="6480"/>
        </w:tabs>
        <w:ind w:left="6480" w:hanging="360"/>
      </w:pPr>
      <w:rPr>
        <w:rFonts w:ascii="Wingdings" w:hAnsi="Wingdings" w:hint="default"/>
      </w:rPr>
    </w:lvl>
  </w:abstractNum>
  <w:abstractNum w:abstractNumId="9">
    <w:nsid w:val="130D0618"/>
    <w:multiLevelType w:val="hybridMultilevel"/>
    <w:tmpl w:val="37A2CF10"/>
    <w:lvl w:ilvl="0" w:tplc="F82EC384">
      <w:start w:val="2016"/>
      <w:numFmt w:val="decimal"/>
      <w:lvlText w:val="%1"/>
      <w:lvlJc w:val="left"/>
      <w:pPr>
        <w:ind w:left="840" w:hanging="48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A83C3F"/>
    <w:multiLevelType w:val="singleLevel"/>
    <w:tmpl w:val="54744D6A"/>
    <w:name w:val="WW8Num13"/>
    <w:lvl w:ilvl="0">
      <w:start w:val="1"/>
      <w:numFmt w:val="bullet"/>
      <w:pStyle w:val="ListDash1"/>
      <w:lvlText w:val="–"/>
      <w:lvlJc w:val="left"/>
      <w:pPr>
        <w:tabs>
          <w:tab w:val="num" w:pos="765"/>
        </w:tabs>
        <w:ind w:left="765" w:hanging="283"/>
      </w:pPr>
      <w:rPr>
        <w:rFonts w:ascii="Times New Roman" w:hAnsi="Times New Roman"/>
      </w:rPr>
    </w:lvl>
  </w:abstractNum>
  <w:abstractNum w:abstractNumId="11">
    <w:nsid w:val="14E4220C"/>
    <w:multiLevelType w:val="multilevel"/>
    <w:tmpl w:val="D2ACB8CC"/>
    <w:lvl w:ilvl="0">
      <w:start w:val="1"/>
      <w:numFmt w:val="decimal"/>
      <w:pStyle w:val="Heading1"/>
      <w:lvlText w:val="%1."/>
      <w:lvlJc w:val="left"/>
      <w:pPr>
        <w:tabs>
          <w:tab w:val="num" w:pos="480"/>
        </w:tabs>
        <w:ind w:left="480" w:hanging="480"/>
      </w:pPr>
      <w:rPr>
        <w:b/>
        <w:lang w:val="fr-FR"/>
      </w:rPr>
    </w:lvl>
    <w:lvl w:ilvl="1">
      <w:start w:val="1"/>
      <w:numFmt w:val="decimal"/>
      <w:pStyle w:val="Heading2"/>
      <w:lvlText w:val="%1.%2."/>
      <w:lvlJc w:val="left"/>
      <w:pPr>
        <w:tabs>
          <w:tab w:val="num" w:pos="1167"/>
        </w:tabs>
        <w:ind w:left="1167" w:hanging="600"/>
      </w:pPr>
      <w:rPr>
        <w:lang w:val="en-GB"/>
      </w:rPr>
    </w:lvl>
    <w:lvl w:ilvl="2">
      <w:start w:val="1"/>
      <w:numFmt w:val="decimal"/>
      <w:pStyle w:val="Heading3"/>
      <w:lvlText w:val="%1.%2.%3."/>
      <w:lvlJc w:val="left"/>
      <w:pPr>
        <w:tabs>
          <w:tab w:val="num" w:pos="2062"/>
        </w:tabs>
        <w:ind w:left="2062" w:hanging="840"/>
      </w:pPr>
    </w:lvl>
    <w:lvl w:ilvl="3">
      <w:start w:val="1"/>
      <w:numFmt w:val="decimal"/>
      <w:pStyle w:val="Heading4"/>
      <w:lvlText w:val="%1.%2.%3.%4."/>
      <w:lvlJc w:val="left"/>
      <w:pPr>
        <w:tabs>
          <w:tab w:val="num" w:pos="3022"/>
        </w:tabs>
        <w:ind w:left="3022" w:hanging="9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12">
    <w:nsid w:val="15871932"/>
    <w:multiLevelType w:val="hybridMultilevel"/>
    <w:tmpl w:val="8A124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68407E8"/>
    <w:multiLevelType w:val="hybridMultilevel"/>
    <w:tmpl w:val="424A86AA"/>
    <w:lvl w:ilvl="0" w:tplc="90B27698">
      <w:start w:val="1"/>
      <w:numFmt w:val="decimal"/>
      <w:lvlText w:val="%1."/>
      <w:lvlJc w:val="left"/>
      <w:pPr>
        <w:ind w:left="1080" w:hanging="72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17610807"/>
    <w:multiLevelType w:val="hybridMultilevel"/>
    <w:tmpl w:val="DA3CD6C8"/>
    <w:name w:val="List Bullet"/>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92973D2"/>
    <w:multiLevelType w:val="hybridMultilevel"/>
    <w:tmpl w:val="A2FAFC22"/>
    <w:lvl w:ilvl="0" w:tplc="28A25164">
      <w:start w:val="1"/>
      <w:numFmt w:val="decimal"/>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D5150BD"/>
    <w:multiLevelType w:val="singleLevel"/>
    <w:tmpl w:val="EF0A0136"/>
    <w:lvl w:ilvl="0">
      <w:start w:val="1"/>
      <w:numFmt w:val="bullet"/>
      <w:pStyle w:val="ListBullet4"/>
      <w:lvlText w:val=""/>
      <w:lvlJc w:val="left"/>
      <w:pPr>
        <w:tabs>
          <w:tab w:val="num" w:pos="3163"/>
        </w:tabs>
        <w:ind w:left="3163" w:hanging="283"/>
      </w:pPr>
      <w:rPr>
        <w:rFonts w:ascii="Symbol" w:hAnsi="Symbol"/>
      </w:rPr>
    </w:lvl>
  </w:abstractNum>
  <w:abstractNum w:abstractNumId="17">
    <w:nsid w:val="1F9015B4"/>
    <w:multiLevelType w:val="hybridMultilevel"/>
    <w:tmpl w:val="A7504770"/>
    <w:lvl w:ilvl="0" w:tplc="08090011">
      <w:start w:val="1"/>
      <w:numFmt w:val="decimal"/>
      <w:lvlText w:val="%1)"/>
      <w:lvlJc w:val="left"/>
      <w:pPr>
        <w:ind w:left="360" w:hanging="360"/>
      </w:pPr>
      <w:rPr>
        <w:b/>
      </w:rPr>
    </w:lvl>
    <w:lvl w:ilvl="1" w:tplc="08090011">
      <w:start w:val="1"/>
      <w:numFmt w:val="decimal"/>
      <w:lvlText w:val="%2)"/>
      <w:lvlJc w:val="left"/>
      <w:pPr>
        <w:ind w:left="1440" w:hanging="360"/>
      </w:pPr>
    </w:lvl>
    <w:lvl w:ilvl="2" w:tplc="26702276">
      <w:start w:val="1"/>
      <w:numFmt w:val="bullet"/>
      <w:lvlText w:val="-"/>
      <w:lvlJc w:val="left"/>
      <w:pPr>
        <w:ind w:left="2760" w:hanging="780"/>
      </w:pPr>
      <w:rPr>
        <w:rFonts w:ascii="Times New Roman" w:eastAsia="Calibri" w:hAnsi="Times New Roman" w:cs="Times New Roman"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20081441"/>
    <w:multiLevelType w:val="hybridMultilevel"/>
    <w:tmpl w:val="836C68BA"/>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1991F84"/>
    <w:multiLevelType w:val="hybridMultilevel"/>
    <w:tmpl w:val="32BCE1A0"/>
    <w:lvl w:ilvl="0" w:tplc="01FEB23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28918BE"/>
    <w:multiLevelType w:val="multilevel"/>
    <w:tmpl w:val="4C3E72AA"/>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1E53BC"/>
    <w:multiLevelType w:val="singleLevel"/>
    <w:tmpl w:val="0BFC0FF8"/>
    <w:lvl w:ilvl="0">
      <w:start w:val="1"/>
      <w:numFmt w:val="bullet"/>
      <w:pStyle w:val="ListBullet2"/>
      <w:lvlText w:val=""/>
      <w:lvlJc w:val="left"/>
      <w:pPr>
        <w:tabs>
          <w:tab w:val="num" w:pos="1360"/>
        </w:tabs>
        <w:ind w:left="1360" w:hanging="283"/>
      </w:pPr>
      <w:rPr>
        <w:rFonts w:ascii="Symbol" w:hAnsi="Symbol"/>
      </w:rPr>
    </w:lvl>
  </w:abstractNum>
  <w:abstractNum w:abstractNumId="22">
    <w:nsid w:val="332B3941"/>
    <w:multiLevelType w:val="hybridMultilevel"/>
    <w:tmpl w:val="A7669DDE"/>
    <w:lvl w:ilvl="0" w:tplc="ECA2AED8">
      <w:start w:val="1"/>
      <w:numFmt w:val="decimal"/>
      <w:lvlText w:val="%1."/>
      <w:lvlJc w:val="left"/>
      <w:pPr>
        <w:ind w:left="1353" w:hanging="360"/>
      </w:pPr>
      <w:rPr>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3">
    <w:nsid w:val="34420A3A"/>
    <w:multiLevelType w:val="hybridMultilevel"/>
    <w:tmpl w:val="29BEB162"/>
    <w:styleLink w:val="ImportedStyle1"/>
    <w:lvl w:ilvl="0" w:tplc="85A242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F49AB4">
      <w:start w:val="1"/>
      <w:numFmt w:val="decimal"/>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16727E">
      <w:start w:val="1"/>
      <w:numFmt w:val="lowerRoman"/>
      <w:lvlText w:val="%3."/>
      <w:lvlJc w:val="left"/>
      <w:pPr>
        <w:ind w:left="2084"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8F8B962">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7AB0D6">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627AB6">
      <w:start w:val="1"/>
      <w:numFmt w:val="lowerRoman"/>
      <w:lvlText w:val="%6."/>
      <w:lvlJc w:val="left"/>
      <w:pPr>
        <w:ind w:left="4244"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42ACF7A">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0099F0">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A8AD36">
      <w:start w:val="1"/>
      <w:numFmt w:val="lowerRoman"/>
      <w:lvlText w:val="%9."/>
      <w:lvlJc w:val="left"/>
      <w:pPr>
        <w:ind w:left="6404"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34834FA3"/>
    <w:multiLevelType w:val="multilevel"/>
    <w:tmpl w:val="8DC66598"/>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6615FEF"/>
    <w:multiLevelType w:val="singleLevel"/>
    <w:tmpl w:val="5CD4C666"/>
    <w:lvl w:ilvl="0">
      <w:start w:val="1"/>
      <w:numFmt w:val="bullet"/>
      <w:pStyle w:val="ListDash2"/>
      <w:lvlText w:val="–"/>
      <w:lvlJc w:val="left"/>
      <w:pPr>
        <w:tabs>
          <w:tab w:val="num" w:pos="1360"/>
        </w:tabs>
        <w:ind w:left="1360" w:hanging="283"/>
      </w:pPr>
      <w:rPr>
        <w:rFonts w:ascii="Times New Roman" w:hAnsi="Times New Roman"/>
      </w:rPr>
    </w:lvl>
  </w:abstractNum>
  <w:abstractNum w:abstractNumId="26">
    <w:nsid w:val="36644752"/>
    <w:multiLevelType w:val="hybridMultilevel"/>
    <w:tmpl w:val="BB08B3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6807E46"/>
    <w:multiLevelType w:val="hybridMultilevel"/>
    <w:tmpl w:val="0B344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80E3EE1"/>
    <w:multiLevelType w:val="multilevel"/>
    <w:tmpl w:val="E4201C6C"/>
    <w:styleLink w:val="WWNum1"/>
    <w:lvl w:ilvl="0">
      <w:start w:val="1"/>
      <w:numFmt w:val="decimal"/>
      <w:lvlText w:val="%1)"/>
      <w:lvlJc w:val="left"/>
      <w:rPr>
        <w:b/>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A115290"/>
    <w:multiLevelType w:val="multilevel"/>
    <w:tmpl w:val="E3664658"/>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1324D01"/>
    <w:multiLevelType w:val="hybridMultilevel"/>
    <w:tmpl w:val="E2800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259128D"/>
    <w:multiLevelType w:val="hybridMultilevel"/>
    <w:tmpl w:val="F8DA622E"/>
    <w:lvl w:ilvl="0" w:tplc="032ACD00">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nsid w:val="494F2639"/>
    <w:multiLevelType w:val="hybridMultilevel"/>
    <w:tmpl w:val="03BC8946"/>
    <w:lvl w:ilvl="0" w:tplc="8E40B238">
      <w:numFmt w:val="bullet"/>
      <w:lvlText w:val="-"/>
      <w:lvlJc w:val="left"/>
      <w:pPr>
        <w:ind w:left="720" w:hanging="360"/>
      </w:pPr>
      <w:rPr>
        <w:rFonts w:ascii="Times New Roman" w:eastAsia="Calibri"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596461"/>
    <w:multiLevelType w:val="hybridMultilevel"/>
    <w:tmpl w:val="9DF09A94"/>
    <w:lvl w:ilvl="0" w:tplc="94A62EB0">
      <w:start w:val="1"/>
      <w:numFmt w:val="decimal"/>
      <w:lvlText w:val="%1."/>
      <w:lvlJc w:val="left"/>
      <w:pPr>
        <w:ind w:left="1429" w:hanging="360"/>
      </w:pPr>
      <w:rPr>
        <w:b/>
        <w:i w:val="0"/>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34">
    <w:nsid w:val="4C947BFC"/>
    <w:multiLevelType w:val="hybridMultilevel"/>
    <w:tmpl w:val="A6B0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4632EE"/>
    <w:multiLevelType w:val="hybridMultilevel"/>
    <w:tmpl w:val="6012F114"/>
    <w:lvl w:ilvl="0" w:tplc="08090001">
      <w:start w:val="1"/>
      <w:numFmt w:val="bullet"/>
      <w:pStyle w:val="ListDash"/>
      <w:lvlText w:val="–"/>
      <w:lvlJc w:val="left"/>
      <w:pPr>
        <w:tabs>
          <w:tab w:val="num" w:pos="567"/>
        </w:tabs>
        <w:ind w:left="567" w:hanging="283"/>
      </w:pPr>
      <w:rPr>
        <w:rFonts w:ascii="Times New Roman" w:hAnsi="Times New Roman"/>
      </w:rPr>
    </w:lvl>
    <w:lvl w:ilvl="1" w:tplc="08090003">
      <w:numFmt w:val="bullet"/>
      <w:lvlText w:val="-"/>
      <w:lvlJc w:val="left"/>
      <w:pPr>
        <w:tabs>
          <w:tab w:val="num" w:pos="1724"/>
        </w:tabs>
        <w:ind w:left="1724" w:hanging="360"/>
      </w:pPr>
      <w:rPr>
        <w:rFonts w:ascii="Times New Roman" w:eastAsia="Times New Roman" w:hAnsi="Times New Roman" w:cs="Times New Roman"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6">
    <w:nsid w:val="5358149A"/>
    <w:multiLevelType w:val="hybridMultilevel"/>
    <w:tmpl w:val="C660F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76A32C9"/>
    <w:multiLevelType w:val="multilevel"/>
    <w:tmpl w:val="52224248"/>
    <w:lvl w:ilvl="0">
      <w:start w:val="1"/>
      <w:numFmt w:val="decimal"/>
      <w:lvlRestart w:val="0"/>
      <w:pStyle w:val="Considrant"/>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i w:val="0"/>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5A2450F2"/>
    <w:multiLevelType w:val="singleLevel"/>
    <w:tmpl w:val="E41A6BD2"/>
    <w:lvl w:ilvl="0">
      <w:start w:val="1"/>
      <w:numFmt w:val="bullet"/>
      <w:pStyle w:val="ListDash4"/>
      <w:lvlText w:val="–"/>
      <w:lvlJc w:val="left"/>
      <w:pPr>
        <w:tabs>
          <w:tab w:val="num" w:pos="3163"/>
        </w:tabs>
        <w:ind w:left="3163" w:hanging="283"/>
      </w:pPr>
      <w:rPr>
        <w:rFonts w:ascii="Times New Roman" w:hAnsi="Times New Roman"/>
      </w:rPr>
    </w:lvl>
  </w:abstractNum>
  <w:abstractNum w:abstractNumId="39">
    <w:nsid w:val="5C3073F9"/>
    <w:multiLevelType w:val="hybridMultilevel"/>
    <w:tmpl w:val="DA8A5DBE"/>
    <w:lvl w:ilvl="0" w:tplc="010A331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62D37449"/>
    <w:multiLevelType w:val="hybridMultilevel"/>
    <w:tmpl w:val="6C2E98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679F1BF3"/>
    <w:multiLevelType w:val="multilevel"/>
    <w:tmpl w:val="537E9280"/>
    <w:lvl w:ilvl="0">
      <w:start w:val="1"/>
      <w:numFmt w:val="decimal"/>
      <w:pStyle w:val="ListNumber"/>
      <w:lvlText w:val="(%1)"/>
      <w:lvlJc w:val="left"/>
      <w:pPr>
        <w:tabs>
          <w:tab w:val="num" w:pos="709"/>
        </w:tabs>
        <w:ind w:left="709" w:hanging="709"/>
      </w:pPr>
      <w:rPr>
        <w:b w:val="0"/>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A645398"/>
    <w:multiLevelType w:val="hybridMultilevel"/>
    <w:tmpl w:val="2E3C1EB0"/>
    <w:lvl w:ilvl="0" w:tplc="1504843A">
      <w:numFmt w:val="bullet"/>
      <w:lvlText w:val="•"/>
      <w:lvlJc w:val="left"/>
      <w:pPr>
        <w:ind w:left="1441" w:hanging="732"/>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3">
    <w:nsid w:val="6C136061"/>
    <w:multiLevelType w:val="hybridMultilevel"/>
    <w:tmpl w:val="7052666E"/>
    <w:lvl w:ilvl="0" w:tplc="40D2097A">
      <w:start w:val="1"/>
      <w:numFmt w:val="bullet"/>
      <w:pStyle w:val="Briefingspeakdef"/>
      <w:lvlText w:val=""/>
      <w:lvlJc w:val="left"/>
      <w:pPr>
        <w:tabs>
          <w:tab w:val="num" w:pos="765"/>
        </w:tabs>
        <w:ind w:left="765" w:hanging="283"/>
      </w:pPr>
      <w:rPr>
        <w:rFonts w:ascii="Symbol" w:hAnsi="Symbol" w:hint="default"/>
        <w:sz w:val="22"/>
      </w:rPr>
    </w:lvl>
    <w:lvl w:ilvl="1" w:tplc="08090003">
      <w:start w:val="1"/>
      <w:numFmt w:val="bullet"/>
      <w:lvlText w:val=""/>
      <w:lvlJc w:val="left"/>
      <w:pPr>
        <w:tabs>
          <w:tab w:val="num" w:pos="1287"/>
        </w:tabs>
        <w:ind w:left="1287" w:hanging="207"/>
      </w:pPr>
      <w:rPr>
        <w:rFonts w:ascii="Symbol" w:hAnsi="Symbol"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6D4070CA"/>
    <w:multiLevelType w:val="singleLevel"/>
    <w:tmpl w:val="0FC2EFC0"/>
    <w:lvl w:ilvl="0">
      <w:start w:val="1"/>
      <w:numFmt w:val="bullet"/>
      <w:pStyle w:val="ListBullet3"/>
      <w:lvlText w:val=""/>
      <w:lvlJc w:val="left"/>
      <w:pPr>
        <w:tabs>
          <w:tab w:val="num" w:pos="2199"/>
        </w:tabs>
        <w:ind w:left="2199" w:hanging="283"/>
      </w:pPr>
      <w:rPr>
        <w:rFonts w:ascii="Symbol" w:hAnsi="Symbol"/>
      </w:rPr>
    </w:lvl>
  </w:abstractNum>
  <w:abstractNum w:abstractNumId="45">
    <w:nsid w:val="754117B7"/>
    <w:multiLevelType w:val="multilevel"/>
    <w:tmpl w:val="D210498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69864C1"/>
    <w:multiLevelType w:val="hybridMultilevel"/>
    <w:tmpl w:val="154C80D8"/>
    <w:lvl w:ilvl="0" w:tplc="843A22E8">
      <w:start w:val="1"/>
      <w:numFmt w:val="bullet"/>
      <w:pStyle w:val="NumPar1Char"/>
      <w:lvlText w:val="–"/>
      <w:lvlJc w:val="left"/>
      <w:pPr>
        <w:tabs>
          <w:tab w:val="num" w:pos="643"/>
        </w:tabs>
        <w:ind w:left="643" w:hanging="283"/>
      </w:pPr>
      <w:rPr>
        <w:rFonts w:ascii="Times New Roman" w:hAnsi="Times New Roman" w:hint="default"/>
      </w:rPr>
    </w:lvl>
    <w:lvl w:ilvl="1" w:tplc="60C2582C" w:tentative="1">
      <w:start w:val="1"/>
      <w:numFmt w:val="bullet"/>
      <w:lvlText w:val="o"/>
      <w:lvlJc w:val="left"/>
      <w:pPr>
        <w:tabs>
          <w:tab w:val="num" w:pos="1440"/>
        </w:tabs>
        <w:ind w:left="1440" w:hanging="360"/>
      </w:pPr>
      <w:rPr>
        <w:rFonts w:ascii="Courier New" w:hAnsi="Courier New" w:cs="Courier New" w:hint="default"/>
      </w:rPr>
    </w:lvl>
    <w:lvl w:ilvl="2" w:tplc="17D6AD3A" w:tentative="1">
      <w:start w:val="1"/>
      <w:numFmt w:val="bullet"/>
      <w:lvlText w:val=""/>
      <w:lvlJc w:val="left"/>
      <w:pPr>
        <w:tabs>
          <w:tab w:val="num" w:pos="2160"/>
        </w:tabs>
        <w:ind w:left="2160" w:hanging="360"/>
      </w:pPr>
      <w:rPr>
        <w:rFonts w:ascii="Wingdings" w:hAnsi="Wingdings" w:hint="default"/>
      </w:rPr>
    </w:lvl>
    <w:lvl w:ilvl="3" w:tplc="FEA221B2" w:tentative="1">
      <w:start w:val="1"/>
      <w:numFmt w:val="bullet"/>
      <w:lvlText w:val=""/>
      <w:lvlJc w:val="left"/>
      <w:pPr>
        <w:tabs>
          <w:tab w:val="num" w:pos="2880"/>
        </w:tabs>
        <w:ind w:left="2880" w:hanging="360"/>
      </w:pPr>
      <w:rPr>
        <w:rFonts w:ascii="Symbol" w:hAnsi="Symbol" w:hint="default"/>
      </w:rPr>
    </w:lvl>
    <w:lvl w:ilvl="4" w:tplc="EB305368" w:tentative="1">
      <w:start w:val="1"/>
      <w:numFmt w:val="bullet"/>
      <w:lvlText w:val="o"/>
      <w:lvlJc w:val="left"/>
      <w:pPr>
        <w:tabs>
          <w:tab w:val="num" w:pos="3600"/>
        </w:tabs>
        <w:ind w:left="3600" w:hanging="360"/>
      </w:pPr>
      <w:rPr>
        <w:rFonts w:ascii="Courier New" w:hAnsi="Courier New" w:cs="Courier New" w:hint="default"/>
      </w:rPr>
    </w:lvl>
    <w:lvl w:ilvl="5" w:tplc="1C38E420" w:tentative="1">
      <w:start w:val="1"/>
      <w:numFmt w:val="bullet"/>
      <w:lvlText w:val=""/>
      <w:lvlJc w:val="left"/>
      <w:pPr>
        <w:tabs>
          <w:tab w:val="num" w:pos="4320"/>
        </w:tabs>
        <w:ind w:left="4320" w:hanging="360"/>
      </w:pPr>
      <w:rPr>
        <w:rFonts w:ascii="Wingdings" w:hAnsi="Wingdings" w:hint="default"/>
      </w:rPr>
    </w:lvl>
    <w:lvl w:ilvl="6" w:tplc="58705602" w:tentative="1">
      <w:start w:val="1"/>
      <w:numFmt w:val="bullet"/>
      <w:lvlText w:val=""/>
      <w:lvlJc w:val="left"/>
      <w:pPr>
        <w:tabs>
          <w:tab w:val="num" w:pos="5040"/>
        </w:tabs>
        <w:ind w:left="5040" w:hanging="360"/>
      </w:pPr>
      <w:rPr>
        <w:rFonts w:ascii="Symbol" w:hAnsi="Symbol" w:hint="default"/>
      </w:rPr>
    </w:lvl>
    <w:lvl w:ilvl="7" w:tplc="EE5A94CC" w:tentative="1">
      <w:start w:val="1"/>
      <w:numFmt w:val="bullet"/>
      <w:lvlText w:val="o"/>
      <w:lvlJc w:val="left"/>
      <w:pPr>
        <w:tabs>
          <w:tab w:val="num" w:pos="5760"/>
        </w:tabs>
        <w:ind w:left="5760" w:hanging="360"/>
      </w:pPr>
      <w:rPr>
        <w:rFonts w:ascii="Courier New" w:hAnsi="Courier New" w:cs="Courier New" w:hint="default"/>
      </w:rPr>
    </w:lvl>
    <w:lvl w:ilvl="8" w:tplc="C0A63828" w:tentative="1">
      <w:start w:val="1"/>
      <w:numFmt w:val="bullet"/>
      <w:lvlText w:val=""/>
      <w:lvlJc w:val="left"/>
      <w:pPr>
        <w:tabs>
          <w:tab w:val="num" w:pos="6480"/>
        </w:tabs>
        <w:ind w:left="6480" w:hanging="360"/>
      </w:pPr>
      <w:rPr>
        <w:rFonts w:ascii="Wingdings" w:hAnsi="Wingdings" w:hint="default"/>
      </w:rPr>
    </w:lvl>
  </w:abstractNum>
  <w:abstractNum w:abstractNumId="47">
    <w:nsid w:val="77816C3A"/>
    <w:multiLevelType w:val="singleLevel"/>
    <w:tmpl w:val="C9E4CA12"/>
    <w:lvl w:ilvl="0">
      <w:start w:val="1"/>
      <w:numFmt w:val="bullet"/>
      <w:pStyle w:val="ListDash3"/>
      <w:lvlText w:val="–"/>
      <w:lvlJc w:val="left"/>
      <w:pPr>
        <w:tabs>
          <w:tab w:val="num" w:pos="2199"/>
        </w:tabs>
        <w:ind w:left="2199" w:hanging="283"/>
      </w:pPr>
      <w:rPr>
        <w:rFonts w:ascii="Times New Roman" w:hAnsi="Times New Roman"/>
      </w:rPr>
    </w:lvl>
  </w:abstractNum>
  <w:abstractNum w:abstractNumId="48">
    <w:nsid w:val="78080A0A"/>
    <w:multiLevelType w:val="singleLevel"/>
    <w:tmpl w:val="3CCA8980"/>
    <w:lvl w:ilvl="0">
      <w:start w:val="1"/>
      <w:numFmt w:val="bullet"/>
      <w:pStyle w:val="ListBullet1"/>
      <w:lvlText w:val=""/>
      <w:lvlJc w:val="left"/>
      <w:pPr>
        <w:tabs>
          <w:tab w:val="num" w:pos="765"/>
        </w:tabs>
        <w:ind w:left="765" w:hanging="283"/>
      </w:pPr>
      <w:rPr>
        <w:rFonts w:ascii="Symbol" w:hAnsi="Symbol"/>
      </w:rPr>
    </w:lvl>
  </w:abstractNum>
  <w:abstractNum w:abstractNumId="49">
    <w:nsid w:val="7ADE74FF"/>
    <w:multiLevelType w:val="hybridMultilevel"/>
    <w:tmpl w:val="5E426CAE"/>
    <w:styleLink w:val="ImportedStyle2"/>
    <w:lvl w:ilvl="0" w:tplc="ECC4CA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8632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CC60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22D6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A04A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DCEF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6E59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A4A7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284E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nsid w:val="7ECB7708"/>
    <w:multiLevelType w:val="singleLevel"/>
    <w:tmpl w:val="5EA8E34C"/>
    <w:lvl w:ilvl="0">
      <w:start w:val="1"/>
      <w:numFmt w:val="decimal"/>
      <w:pStyle w:val="ATHeading1"/>
      <w:lvlText w:val="%1."/>
      <w:lvlJc w:val="left"/>
      <w:pPr>
        <w:tabs>
          <w:tab w:val="num" w:pos="360"/>
        </w:tabs>
        <w:ind w:left="360" w:hanging="360"/>
      </w:pPr>
    </w:lvl>
  </w:abstractNum>
  <w:num w:numId="1">
    <w:abstractNumId w:val="11"/>
  </w:num>
  <w:num w:numId="2">
    <w:abstractNumId w:val="2"/>
  </w:num>
  <w:num w:numId="3">
    <w:abstractNumId w:val="48"/>
  </w:num>
  <w:num w:numId="4">
    <w:abstractNumId w:val="21"/>
  </w:num>
  <w:num w:numId="5">
    <w:abstractNumId w:val="44"/>
  </w:num>
  <w:num w:numId="6">
    <w:abstractNumId w:val="16"/>
  </w:num>
  <w:num w:numId="7">
    <w:abstractNumId w:val="10"/>
  </w:num>
  <w:num w:numId="8">
    <w:abstractNumId w:val="25"/>
  </w:num>
  <w:num w:numId="9">
    <w:abstractNumId w:val="47"/>
  </w:num>
  <w:num w:numId="10">
    <w:abstractNumId w:val="38"/>
  </w:num>
  <w:num w:numId="11">
    <w:abstractNumId w:val="41"/>
  </w:num>
  <w:num w:numId="12">
    <w:abstractNumId w:val="20"/>
  </w:num>
  <w:num w:numId="13">
    <w:abstractNumId w:val="29"/>
  </w:num>
  <w:num w:numId="14">
    <w:abstractNumId w:val="45"/>
  </w:num>
  <w:num w:numId="15">
    <w:abstractNumId w:val="24"/>
  </w:num>
  <w:num w:numId="16">
    <w:abstractNumId w:val="50"/>
  </w:num>
  <w:num w:numId="17">
    <w:abstractNumId w:val="46"/>
  </w:num>
  <w:num w:numId="18">
    <w:abstractNumId w:val="35"/>
  </w:num>
  <w:num w:numId="19">
    <w:abstractNumId w:val="37"/>
  </w:num>
  <w:num w:numId="20">
    <w:abstractNumId w:val="43"/>
  </w:num>
  <w:num w:numId="21">
    <w:abstractNumId w:val="5"/>
  </w:num>
  <w:num w:numId="22">
    <w:abstractNumId w:val="8"/>
  </w:num>
  <w:num w:numId="23">
    <w:abstractNumId w:val="23"/>
  </w:num>
  <w:num w:numId="24">
    <w:abstractNumId w:val="49"/>
  </w:num>
  <w:num w:numId="25">
    <w:abstractNumId w:val="28"/>
  </w:num>
  <w:num w:numId="26">
    <w:abstractNumId w:val="15"/>
  </w:num>
  <w:num w:numId="27">
    <w:abstractNumId w:val="22"/>
  </w:num>
  <w:num w:numId="28">
    <w:abstractNumId w:val="17"/>
  </w:num>
  <w:num w:numId="29">
    <w:abstractNumId w:val="39"/>
  </w:num>
  <w:num w:numId="30">
    <w:abstractNumId w:val="4"/>
  </w:num>
  <w:num w:numId="31">
    <w:abstractNumId w:val="13"/>
  </w:num>
  <w:num w:numId="32">
    <w:abstractNumId w:val="33"/>
  </w:num>
  <w:num w:numId="33">
    <w:abstractNumId w:val="27"/>
  </w:num>
  <w:num w:numId="34">
    <w:abstractNumId w:val="30"/>
  </w:num>
  <w:num w:numId="35">
    <w:abstractNumId w:val="0"/>
  </w:num>
  <w:num w:numId="36">
    <w:abstractNumId w:val="12"/>
  </w:num>
  <w:num w:numId="37">
    <w:abstractNumId w:val="19"/>
  </w:num>
  <w:num w:numId="38">
    <w:abstractNumId w:val="32"/>
  </w:num>
  <w:num w:numId="39">
    <w:abstractNumId w:val="40"/>
  </w:num>
  <w:num w:numId="40">
    <w:abstractNumId w:val="18"/>
  </w:num>
  <w:num w:numId="41">
    <w:abstractNumId w:val="3"/>
  </w:num>
  <w:num w:numId="42">
    <w:abstractNumId w:val="31"/>
  </w:num>
  <w:num w:numId="43">
    <w:abstractNumId w:val="34"/>
  </w:num>
  <w:num w:numId="44">
    <w:abstractNumId w:val="7"/>
  </w:num>
  <w:num w:numId="45">
    <w:abstractNumId w:val="36"/>
  </w:num>
  <w:num w:numId="46">
    <w:abstractNumId w:val="42"/>
  </w:num>
  <w:num w:numId="47">
    <w:abstractNumId w:val="9"/>
  </w:num>
  <w:num w:numId="48">
    <w:abstractNumId w:val="26"/>
  </w:num>
  <w:num w:numId="49">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TEL"/>
  </w:docVars>
  <w:rsids>
    <w:rsidRoot w:val="009A3DA0"/>
    <w:rsid w:val="00000080"/>
    <w:rsid w:val="000001DC"/>
    <w:rsid w:val="0000032F"/>
    <w:rsid w:val="00000397"/>
    <w:rsid w:val="00000486"/>
    <w:rsid w:val="0000050D"/>
    <w:rsid w:val="000005E9"/>
    <w:rsid w:val="000006FD"/>
    <w:rsid w:val="0000071A"/>
    <w:rsid w:val="00000795"/>
    <w:rsid w:val="000009FA"/>
    <w:rsid w:val="00000BE2"/>
    <w:rsid w:val="00000C13"/>
    <w:rsid w:val="00000DBF"/>
    <w:rsid w:val="00001173"/>
    <w:rsid w:val="00001369"/>
    <w:rsid w:val="00001C27"/>
    <w:rsid w:val="00001CDC"/>
    <w:rsid w:val="000021E5"/>
    <w:rsid w:val="000023BA"/>
    <w:rsid w:val="000024E2"/>
    <w:rsid w:val="0000279C"/>
    <w:rsid w:val="00002CF6"/>
    <w:rsid w:val="000031B6"/>
    <w:rsid w:val="00003423"/>
    <w:rsid w:val="00003511"/>
    <w:rsid w:val="00003652"/>
    <w:rsid w:val="00003862"/>
    <w:rsid w:val="00003C85"/>
    <w:rsid w:val="00004288"/>
    <w:rsid w:val="0000450D"/>
    <w:rsid w:val="00004651"/>
    <w:rsid w:val="000046C1"/>
    <w:rsid w:val="000048D8"/>
    <w:rsid w:val="00004C3F"/>
    <w:rsid w:val="0000525F"/>
    <w:rsid w:val="000054A7"/>
    <w:rsid w:val="00005541"/>
    <w:rsid w:val="000058C9"/>
    <w:rsid w:val="00005961"/>
    <w:rsid w:val="00005D46"/>
    <w:rsid w:val="00005DE3"/>
    <w:rsid w:val="00006129"/>
    <w:rsid w:val="0000613E"/>
    <w:rsid w:val="00006304"/>
    <w:rsid w:val="0000679D"/>
    <w:rsid w:val="000068F7"/>
    <w:rsid w:val="00006B10"/>
    <w:rsid w:val="00006C43"/>
    <w:rsid w:val="00006F0E"/>
    <w:rsid w:val="0000749B"/>
    <w:rsid w:val="000074BB"/>
    <w:rsid w:val="000075DF"/>
    <w:rsid w:val="000078A5"/>
    <w:rsid w:val="00007CED"/>
    <w:rsid w:val="00007ECC"/>
    <w:rsid w:val="0001047E"/>
    <w:rsid w:val="0001064E"/>
    <w:rsid w:val="00010AC9"/>
    <w:rsid w:val="00011281"/>
    <w:rsid w:val="0001134B"/>
    <w:rsid w:val="000113AB"/>
    <w:rsid w:val="0001140F"/>
    <w:rsid w:val="0001153B"/>
    <w:rsid w:val="00011589"/>
    <w:rsid w:val="00011615"/>
    <w:rsid w:val="00011727"/>
    <w:rsid w:val="000117D8"/>
    <w:rsid w:val="0001183E"/>
    <w:rsid w:val="00011A9B"/>
    <w:rsid w:val="00011B30"/>
    <w:rsid w:val="00011D79"/>
    <w:rsid w:val="0001228B"/>
    <w:rsid w:val="000122B5"/>
    <w:rsid w:val="0001250D"/>
    <w:rsid w:val="00012EFD"/>
    <w:rsid w:val="000130BE"/>
    <w:rsid w:val="00013716"/>
    <w:rsid w:val="00013997"/>
    <w:rsid w:val="000139D8"/>
    <w:rsid w:val="00013D92"/>
    <w:rsid w:val="00013EE5"/>
    <w:rsid w:val="000143F1"/>
    <w:rsid w:val="0001448B"/>
    <w:rsid w:val="000145A2"/>
    <w:rsid w:val="000146F4"/>
    <w:rsid w:val="000149EF"/>
    <w:rsid w:val="00014A71"/>
    <w:rsid w:val="00014CE1"/>
    <w:rsid w:val="00015264"/>
    <w:rsid w:val="000152CA"/>
    <w:rsid w:val="00015341"/>
    <w:rsid w:val="00015452"/>
    <w:rsid w:val="0001589A"/>
    <w:rsid w:val="00015A65"/>
    <w:rsid w:val="00015B9E"/>
    <w:rsid w:val="00015C38"/>
    <w:rsid w:val="00015EB6"/>
    <w:rsid w:val="00015F13"/>
    <w:rsid w:val="0001612D"/>
    <w:rsid w:val="000162A0"/>
    <w:rsid w:val="000164BD"/>
    <w:rsid w:val="000166D5"/>
    <w:rsid w:val="00016A8D"/>
    <w:rsid w:val="00016ABB"/>
    <w:rsid w:val="00016C72"/>
    <w:rsid w:val="00016F38"/>
    <w:rsid w:val="000170C1"/>
    <w:rsid w:val="00017265"/>
    <w:rsid w:val="0001730F"/>
    <w:rsid w:val="00017430"/>
    <w:rsid w:val="000174AF"/>
    <w:rsid w:val="0001776A"/>
    <w:rsid w:val="00017883"/>
    <w:rsid w:val="00017A67"/>
    <w:rsid w:val="00017AA9"/>
    <w:rsid w:val="00017C25"/>
    <w:rsid w:val="00017F27"/>
    <w:rsid w:val="00017F3D"/>
    <w:rsid w:val="00020718"/>
    <w:rsid w:val="00020E26"/>
    <w:rsid w:val="000218F1"/>
    <w:rsid w:val="00021AEC"/>
    <w:rsid w:val="00021B43"/>
    <w:rsid w:val="00021BCD"/>
    <w:rsid w:val="00021EF0"/>
    <w:rsid w:val="00021FA4"/>
    <w:rsid w:val="0002207D"/>
    <w:rsid w:val="0002216F"/>
    <w:rsid w:val="000221F2"/>
    <w:rsid w:val="00022538"/>
    <w:rsid w:val="00022669"/>
    <w:rsid w:val="00022775"/>
    <w:rsid w:val="00022776"/>
    <w:rsid w:val="00022903"/>
    <w:rsid w:val="00022B33"/>
    <w:rsid w:val="00022E91"/>
    <w:rsid w:val="00022FAA"/>
    <w:rsid w:val="00023162"/>
    <w:rsid w:val="000232A5"/>
    <w:rsid w:val="00023424"/>
    <w:rsid w:val="00023451"/>
    <w:rsid w:val="00023626"/>
    <w:rsid w:val="000239E7"/>
    <w:rsid w:val="00023C78"/>
    <w:rsid w:val="00023E4D"/>
    <w:rsid w:val="000240AC"/>
    <w:rsid w:val="000241F9"/>
    <w:rsid w:val="00024204"/>
    <w:rsid w:val="000242C9"/>
    <w:rsid w:val="0002435B"/>
    <w:rsid w:val="0002452D"/>
    <w:rsid w:val="00024671"/>
    <w:rsid w:val="00024685"/>
    <w:rsid w:val="000248D5"/>
    <w:rsid w:val="000249F6"/>
    <w:rsid w:val="00024BE2"/>
    <w:rsid w:val="00024C5F"/>
    <w:rsid w:val="00024F7A"/>
    <w:rsid w:val="000250B7"/>
    <w:rsid w:val="00025341"/>
    <w:rsid w:val="00025501"/>
    <w:rsid w:val="0002561D"/>
    <w:rsid w:val="00025BDB"/>
    <w:rsid w:val="00025D8A"/>
    <w:rsid w:val="00025EB9"/>
    <w:rsid w:val="000260DC"/>
    <w:rsid w:val="000261DA"/>
    <w:rsid w:val="0002630E"/>
    <w:rsid w:val="000265AD"/>
    <w:rsid w:val="000265DD"/>
    <w:rsid w:val="00026B29"/>
    <w:rsid w:val="00026CA1"/>
    <w:rsid w:val="00026D00"/>
    <w:rsid w:val="00026E21"/>
    <w:rsid w:val="0002725A"/>
    <w:rsid w:val="0003002A"/>
    <w:rsid w:val="00030058"/>
    <w:rsid w:val="000300B4"/>
    <w:rsid w:val="00030676"/>
    <w:rsid w:val="00030996"/>
    <w:rsid w:val="00030E3E"/>
    <w:rsid w:val="000310AA"/>
    <w:rsid w:val="000310E8"/>
    <w:rsid w:val="000315BD"/>
    <w:rsid w:val="00031793"/>
    <w:rsid w:val="00031A4C"/>
    <w:rsid w:val="00031BDA"/>
    <w:rsid w:val="00031CA2"/>
    <w:rsid w:val="00031D00"/>
    <w:rsid w:val="00031DA3"/>
    <w:rsid w:val="00031F4C"/>
    <w:rsid w:val="0003243D"/>
    <w:rsid w:val="000326E6"/>
    <w:rsid w:val="00032766"/>
    <w:rsid w:val="000328B1"/>
    <w:rsid w:val="00032DC3"/>
    <w:rsid w:val="00032E4F"/>
    <w:rsid w:val="00032EDB"/>
    <w:rsid w:val="000332FE"/>
    <w:rsid w:val="000337C2"/>
    <w:rsid w:val="00033EA1"/>
    <w:rsid w:val="00033F57"/>
    <w:rsid w:val="000340CA"/>
    <w:rsid w:val="0003483E"/>
    <w:rsid w:val="000348CA"/>
    <w:rsid w:val="0003496F"/>
    <w:rsid w:val="00034992"/>
    <w:rsid w:val="00034B24"/>
    <w:rsid w:val="00034CA0"/>
    <w:rsid w:val="00034EB6"/>
    <w:rsid w:val="00034FFC"/>
    <w:rsid w:val="0003501A"/>
    <w:rsid w:val="00035021"/>
    <w:rsid w:val="0003509D"/>
    <w:rsid w:val="000350BB"/>
    <w:rsid w:val="000351DA"/>
    <w:rsid w:val="00035357"/>
    <w:rsid w:val="000355A7"/>
    <w:rsid w:val="000356EC"/>
    <w:rsid w:val="00035B81"/>
    <w:rsid w:val="00035CE3"/>
    <w:rsid w:val="00035FDE"/>
    <w:rsid w:val="00036009"/>
    <w:rsid w:val="00036106"/>
    <w:rsid w:val="00036177"/>
    <w:rsid w:val="0003633B"/>
    <w:rsid w:val="00037004"/>
    <w:rsid w:val="00037224"/>
    <w:rsid w:val="0003729B"/>
    <w:rsid w:val="000372EF"/>
    <w:rsid w:val="0003737B"/>
    <w:rsid w:val="0003745C"/>
    <w:rsid w:val="0003758E"/>
    <w:rsid w:val="000375BA"/>
    <w:rsid w:val="00037990"/>
    <w:rsid w:val="00040060"/>
    <w:rsid w:val="00040281"/>
    <w:rsid w:val="00040A13"/>
    <w:rsid w:val="00040C7A"/>
    <w:rsid w:val="00040E6E"/>
    <w:rsid w:val="0004105D"/>
    <w:rsid w:val="0004146E"/>
    <w:rsid w:val="000414BC"/>
    <w:rsid w:val="000414C7"/>
    <w:rsid w:val="0004189C"/>
    <w:rsid w:val="0004193F"/>
    <w:rsid w:val="0004195A"/>
    <w:rsid w:val="00041A87"/>
    <w:rsid w:val="00041DA3"/>
    <w:rsid w:val="00041E47"/>
    <w:rsid w:val="00041F1F"/>
    <w:rsid w:val="0004209B"/>
    <w:rsid w:val="000420DB"/>
    <w:rsid w:val="000421A1"/>
    <w:rsid w:val="00042508"/>
    <w:rsid w:val="00042A8B"/>
    <w:rsid w:val="00042F4E"/>
    <w:rsid w:val="000434BD"/>
    <w:rsid w:val="000436A8"/>
    <w:rsid w:val="00043B7B"/>
    <w:rsid w:val="00043C04"/>
    <w:rsid w:val="00043CB6"/>
    <w:rsid w:val="00043E36"/>
    <w:rsid w:val="000443C3"/>
    <w:rsid w:val="0004455F"/>
    <w:rsid w:val="00044806"/>
    <w:rsid w:val="00044A2B"/>
    <w:rsid w:val="00044A42"/>
    <w:rsid w:val="00044AB8"/>
    <w:rsid w:val="000454B2"/>
    <w:rsid w:val="00045976"/>
    <w:rsid w:val="00045E41"/>
    <w:rsid w:val="00046550"/>
    <w:rsid w:val="000466E7"/>
    <w:rsid w:val="000468E2"/>
    <w:rsid w:val="00046A3E"/>
    <w:rsid w:val="00046C6A"/>
    <w:rsid w:val="00046D8E"/>
    <w:rsid w:val="0004701B"/>
    <w:rsid w:val="00047124"/>
    <w:rsid w:val="00047444"/>
    <w:rsid w:val="00047661"/>
    <w:rsid w:val="000476C0"/>
    <w:rsid w:val="00047734"/>
    <w:rsid w:val="000477EA"/>
    <w:rsid w:val="00047936"/>
    <w:rsid w:val="0004798E"/>
    <w:rsid w:val="00047BB5"/>
    <w:rsid w:val="00047D53"/>
    <w:rsid w:val="000502A5"/>
    <w:rsid w:val="000504A8"/>
    <w:rsid w:val="0005052B"/>
    <w:rsid w:val="000506A1"/>
    <w:rsid w:val="000508EC"/>
    <w:rsid w:val="000509DA"/>
    <w:rsid w:val="00050AFA"/>
    <w:rsid w:val="00051333"/>
    <w:rsid w:val="0005145A"/>
    <w:rsid w:val="00051E3C"/>
    <w:rsid w:val="000520B1"/>
    <w:rsid w:val="00052241"/>
    <w:rsid w:val="00052672"/>
    <w:rsid w:val="00052814"/>
    <w:rsid w:val="000529E9"/>
    <w:rsid w:val="00052C5E"/>
    <w:rsid w:val="00053766"/>
    <w:rsid w:val="0005398D"/>
    <w:rsid w:val="00053BE0"/>
    <w:rsid w:val="00053CB9"/>
    <w:rsid w:val="00053FAD"/>
    <w:rsid w:val="000541A5"/>
    <w:rsid w:val="0005422C"/>
    <w:rsid w:val="00054C6E"/>
    <w:rsid w:val="00054DF3"/>
    <w:rsid w:val="00055034"/>
    <w:rsid w:val="000550B3"/>
    <w:rsid w:val="0005513C"/>
    <w:rsid w:val="00055234"/>
    <w:rsid w:val="00055406"/>
    <w:rsid w:val="00055569"/>
    <w:rsid w:val="00055DF6"/>
    <w:rsid w:val="00055ED8"/>
    <w:rsid w:val="000568D7"/>
    <w:rsid w:val="000568F4"/>
    <w:rsid w:val="00056C02"/>
    <w:rsid w:val="00057006"/>
    <w:rsid w:val="00057285"/>
    <w:rsid w:val="0005742E"/>
    <w:rsid w:val="00057439"/>
    <w:rsid w:val="000574AC"/>
    <w:rsid w:val="0005753C"/>
    <w:rsid w:val="00057902"/>
    <w:rsid w:val="00057E1C"/>
    <w:rsid w:val="00057EA9"/>
    <w:rsid w:val="00060742"/>
    <w:rsid w:val="0006088F"/>
    <w:rsid w:val="00060C03"/>
    <w:rsid w:val="00060C9D"/>
    <w:rsid w:val="00060CB2"/>
    <w:rsid w:val="00060D87"/>
    <w:rsid w:val="00060EF5"/>
    <w:rsid w:val="00060F44"/>
    <w:rsid w:val="000611E6"/>
    <w:rsid w:val="0006140F"/>
    <w:rsid w:val="00061530"/>
    <w:rsid w:val="00061536"/>
    <w:rsid w:val="000615E8"/>
    <w:rsid w:val="0006161C"/>
    <w:rsid w:val="00061822"/>
    <w:rsid w:val="000619C8"/>
    <w:rsid w:val="00061FAC"/>
    <w:rsid w:val="00061FD0"/>
    <w:rsid w:val="00062240"/>
    <w:rsid w:val="000622F5"/>
    <w:rsid w:val="00062919"/>
    <w:rsid w:val="0006296B"/>
    <w:rsid w:val="000629E6"/>
    <w:rsid w:val="00062A4F"/>
    <w:rsid w:val="00062BE7"/>
    <w:rsid w:val="00063101"/>
    <w:rsid w:val="00063857"/>
    <w:rsid w:val="0006396A"/>
    <w:rsid w:val="00063A60"/>
    <w:rsid w:val="00063AEF"/>
    <w:rsid w:val="00063B1D"/>
    <w:rsid w:val="00063C33"/>
    <w:rsid w:val="00064178"/>
    <w:rsid w:val="0006443B"/>
    <w:rsid w:val="000647C3"/>
    <w:rsid w:val="00064C06"/>
    <w:rsid w:val="00064C35"/>
    <w:rsid w:val="00064D3D"/>
    <w:rsid w:val="00064DEE"/>
    <w:rsid w:val="00064F90"/>
    <w:rsid w:val="00065096"/>
    <w:rsid w:val="0006524C"/>
    <w:rsid w:val="00065445"/>
    <w:rsid w:val="00065A4F"/>
    <w:rsid w:val="00065ABF"/>
    <w:rsid w:val="00065BA5"/>
    <w:rsid w:val="00065D4F"/>
    <w:rsid w:val="00065D7A"/>
    <w:rsid w:val="00065E7F"/>
    <w:rsid w:val="0006634A"/>
    <w:rsid w:val="000664BE"/>
    <w:rsid w:val="00066554"/>
    <w:rsid w:val="0006680F"/>
    <w:rsid w:val="00066D35"/>
    <w:rsid w:val="00067155"/>
    <w:rsid w:val="00067567"/>
    <w:rsid w:val="0006786C"/>
    <w:rsid w:val="00067C33"/>
    <w:rsid w:val="00067FB5"/>
    <w:rsid w:val="000703CB"/>
    <w:rsid w:val="000703FE"/>
    <w:rsid w:val="000705DD"/>
    <w:rsid w:val="000706D4"/>
    <w:rsid w:val="000713EE"/>
    <w:rsid w:val="00071470"/>
    <w:rsid w:val="00071695"/>
    <w:rsid w:val="000717D6"/>
    <w:rsid w:val="00071956"/>
    <w:rsid w:val="00071BD3"/>
    <w:rsid w:val="00071DDA"/>
    <w:rsid w:val="00071E87"/>
    <w:rsid w:val="00071FC6"/>
    <w:rsid w:val="00072134"/>
    <w:rsid w:val="00072A26"/>
    <w:rsid w:val="00072D12"/>
    <w:rsid w:val="00072E6E"/>
    <w:rsid w:val="00072F6B"/>
    <w:rsid w:val="00073100"/>
    <w:rsid w:val="00073283"/>
    <w:rsid w:val="000732A8"/>
    <w:rsid w:val="00073445"/>
    <w:rsid w:val="0007349A"/>
    <w:rsid w:val="000735B6"/>
    <w:rsid w:val="000736A0"/>
    <w:rsid w:val="00073A36"/>
    <w:rsid w:val="00073D03"/>
    <w:rsid w:val="0007403A"/>
    <w:rsid w:val="000744AE"/>
    <w:rsid w:val="000744BA"/>
    <w:rsid w:val="00074A10"/>
    <w:rsid w:val="00074BA2"/>
    <w:rsid w:val="00074D75"/>
    <w:rsid w:val="00074DB5"/>
    <w:rsid w:val="00074E52"/>
    <w:rsid w:val="00074FA3"/>
    <w:rsid w:val="000751AC"/>
    <w:rsid w:val="000752DB"/>
    <w:rsid w:val="0007575A"/>
    <w:rsid w:val="00075847"/>
    <w:rsid w:val="00075908"/>
    <w:rsid w:val="00075952"/>
    <w:rsid w:val="00075C60"/>
    <w:rsid w:val="00077252"/>
    <w:rsid w:val="00077633"/>
    <w:rsid w:val="000776B1"/>
    <w:rsid w:val="000776D8"/>
    <w:rsid w:val="00077912"/>
    <w:rsid w:val="00077B88"/>
    <w:rsid w:val="00077BFB"/>
    <w:rsid w:val="000800AF"/>
    <w:rsid w:val="00080191"/>
    <w:rsid w:val="0008029D"/>
    <w:rsid w:val="0008046A"/>
    <w:rsid w:val="000804D5"/>
    <w:rsid w:val="000807AE"/>
    <w:rsid w:val="000807B5"/>
    <w:rsid w:val="00080B91"/>
    <w:rsid w:val="00080CE2"/>
    <w:rsid w:val="00080F35"/>
    <w:rsid w:val="000811A4"/>
    <w:rsid w:val="000811D4"/>
    <w:rsid w:val="00081259"/>
    <w:rsid w:val="00081792"/>
    <w:rsid w:val="0008187A"/>
    <w:rsid w:val="0008189D"/>
    <w:rsid w:val="0008216A"/>
    <w:rsid w:val="0008217D"/>
    <w:rsid w:val="000825F0"/>
    <w:rsid w:val="000827CD"/>
    <w:rsid w:val="00082B1C"/>
    <w:rsid w:val="00083121"/>
    <w:rsid w:val="00083469"/>
    <w:rsid w:val="000834CD"/>
    <w:rsid w:val="000835B0"/>
    <w:rsid w:val="000835F5"/>
    <w:rsid w:val="0008378A"/>
    <w:rsid w:val="00083B96"/>
    <w:rsid w:val="00083EAD"/>
    <w:rsid w:val="00084044"/>
    <w:rsid w:val="00084211"/>
    <w:rsid w:val="00084419"/>
    <w:rsid w:val="0008449C"/>
    <w:rsid w:val="000845D7"/>
    <w:rsid w:val="000846F8"/>
    <w:rsid w:val="0008496F"/>
    <w:rsid w:val="00084B71"/>
    <w:rsid w:val="00084C1A"/>
    <w:rsid w:val="00084D1E"/>
    <w:rsid w:val="00084DFB"/>
    <w:rsid w:val="0008526A"/>
    <w:rsid w:val="00085484"/>
    <w:rsid w:val="00085847"/>
    <w:rsid w:val="00085BE8"/>
    <w:rsid w:val="00085E04"/>
    <w:rsid w:val="0008608A"/>
    <w:rsid w:val="000863ED"/>
    <w:rsid w:val="00086911"/>
    <w:rsid w:val="00086C30"/>
    <w:rsid w:val="00086D5D"/>
    <w:rsid w:val="00086DA6"/>
    <w:rsid w:val="00087000"/>
    <w:rsid w:val="000875DD"/>
    <w:rsid w:val="00087C2A"/>
    <w:rsid w:val="00087E0A"/>
    <w:rsid w:val="00090055"/>
    <w:rsid w:val="000901F1"/>
    <w:rsid w:val="000906EF"/>
    <w:rsid w:val="0009096A"/>
    <w:rsid w:val="00090B6B"/>
    <w:rsid w:val="00090D4B"/>
    <w:rsid w:val="00090EA4"/>
    <w:rsid w:val="000910D7"/>
    <w:rsid w:val="0009166A"/>
    <w:rsid w:val="000917B7"/>
    <w:rsid w:val="000918B2"/>
    <w:rsid w:val="00091CE2"/>
    <w:rsid w:val="0009205D"/>
    <w:rsid w:val="00092442"/>
    <w:rsid w:val="0009257A"/>
    <w:rsid w:val="00092B44"/>
    <w:rsid w:val="00092C2D"/>
    <w:rsid w:val="00092EB9"/>
    <w:rsid w:val="000933A4"/>
    <w:rsid w:val="0009343D"/>
    <w:rsid w:val="00093617"/>
    <w:rsid w:val="00093E98"/>
    <w:rsid w:val="00093FDF"/>
    <w:rsid w:val="00094051"/>
    <w:rsid w:val="000942B9"/>
    <w:rsid w:val="00094353"/>
    <w:rsid w:val="000945D6"/>
    <w:rsid w:val="00094600"/>
    <w:rsid w:val="00094AC0"/>
    <w:rsid w:val="00094B2F"/>
    <w:rsid w:val="0009571A"/>
    <w:rsid w:val="000957A2"/>
    <w:rsid w:val="00095892"/>
    <w:rsid w:val="00095A1A"/>
    <w:rsid w:val="00095A8C"/>
    <w:rsid w:val="00095C0B"/>
    <w:rsid w:val="00095C79"/>
    <w:rsid w:val="00096552"/>
    <w:rsid w:val="00096607"/>
    <w:rsid w:val="00096700"/>
    <w:rsid w:val="0009691F"/>
    <w:rsid w:val="00096925"/>
    <w:rsid w:val="0009694F"/>
    <w:rsid w:val="00096B06"/>
    <w:rsid w:val="0009706D"/>
    <w:rsid w:val="00097551"/>
    <w:rsid w:val="000975A5"/>
    <w:rsid w:val="00097833"/>
    <w:rsid w:val="000978DD"/>
    <w:rsid w:val="00097A89"/>
    <w:rsid w:val="00097E80"/>
    <w:rsid w:val="00097F2B"/>
    <w:rsid w:val="000A0424"/>
    <w:rsid w:val="000A05BC"/>
    <w:rsid w:val="000A06AB"/>
    <w:rsid w:val="000A07F3"/>
    <w:rsid w:val="000A0849"/>
    <w:rsid w:val="000A09F3"/>
    <w:rsid w:val="000A0BAF"/>
    <w:rsid w:val="000A1105"/>
    <w:rsid w:val="000A1232"/>
    <w:rsid w:val="000A1418"/>
    <w:rsid w:val="000A1760"/>
    <w:rsid w:val="000A19A2"/>
    <w:rsid w:val="000A1BDC"/>
    <w:rsid w:val="000A1CD5"/>
    <w:rsid w:val="000A1E0A"/>
    <w:rsid w:val="000A1E8A"/>
    <w:rsid w:val="000A227F"/>
    <w:rsid w:val="000A22C0"/>
    <w:rsid w:val="000A2388"/>
    <w:rsid w:val="000A2AC3"/>
    <w:rsid w:val="000A2CC6"/>
    <w:rsid w:val="000A30BD"/>
    <w:rsid w:val="000A3320"/>
    <w:rsid w:val="000A3563"/>
    <w:rsid w:val="000A3935"/>
    <w:rsid w:val="000A3E2D"/>
    <w:rsid w:val="000A42D0"/>
    <w:rsid w:val="000A44D4"/>
    <w:rsid w:val="000A4524"/>
    <w:rsid w:val="000A4554"/>
    <w:rsid w:val="000A4A38"/>
    <w:rsid w:val="000A4B74"/>
    <w:rsid w:val="000A508F"/>
    <w:rsid w:val="000A52E7"/>
    <w:rsid w:val="000A5446"/>
    <w:rsid w:val="000A544B"/>
    <w:rsid w:val="000A591E"/>
    <w:rsid w:val="000A5A20"/>
    <w:rsid w:val="000A5A43"/>
    <w:rsid w:val="000A5D40"/>
    <w:rsid w:val="000A5DAF"/>
    <w:rsid w:val="000A6107"/>
    <w:rsid w:val="000A6195"/>
    <w:rsid w:val="000A64E1"/>
    <w:rsid w:val="000A6500"/>
    <w:rsid w:val="000A65ED"/>
    <w:rsid w:val="000A6ADD"/>
    <w:rsid w:val="000A6ECC"/>
    <w:rsid w:val="000A716D"/>
    <w:rsid w:val="000A77D0"/>
    <w:rsid w:val="000A7823"/>
    <w:rsid w:val="000A79F0"/>
    <w:rsid w:val="000A7A88"/>
    <w:rsid w:val="000A7A8B"/>
    <w:rsid w:val="000A7C1F"/>
    <w:rsid w:val="000A7F9D"/>
    <w:rsid w:val="000B01AF"/>
    <w:rsid w:val="000B0467"/>
    <w:rsid w:val="000B055C"/>
    <w:rsid w:val="000B09D0"/>
    <w:rsid w:val="000B0F74"/>
    <w:rsid w:val="000B10E8"/>
    <w:rsid w:val="000B1471"/>
    <w:rsid w:val="000B16FC"/>
    <w:rsid w:val="000B1845"/>
    <w:rsid w:val="000B1B92"/>
    <w:rsid w:val="000B1CA5"/>
    <w:rsid w:val="000B21CB"/>
    <w:rsid w:val="000B250E"/>
    <w:rsid w:val="000B25E8"/>
    <w:rsid w:val="000B281C"/>
    <w:rsid w:val="000B29E5"/>
    <w:rsid w:val="000B2A6D"/>
    <w:rsid w:val="000B2C0D"/>
    <w:rsid w:val="000B2C17"/>
    <w:rsid w:val="000B2CE1"/>
    <w:rsid w:val="000B2FAD"/>
    <w:rsid w:val="000B307A"/>
    <w:rsid w:val="000B30CD"/>
    <w:rsid w:val="000B3373"/>
    <w:rsid w:val="000B3478"/>
    <w:rsid w:val="000B37E6"/>
    <w:rsid w:val="000B3BA4"/>
    <w:rsid w:val="000B3BDA"/>
    <w:rsid w:val="000B3E6B"/>
    <w:rsid w:val="000B3FC1"/>
    <w:rsid w:val="000B414C"/>
    <w:rsid w:val="000B41C6"/>
    <w:rsid w:val="000B43C6"/>
    <w:rsid w:val="000B466D"/>
    <w:rsid w:val="000B47A7"/>
    <w:rsid w:val="000B48FF"/>
    <w:rsid w:val="000B497E"/>
    <w:rsid w:val="000B4C66"/>
    <w:rsid w:val="000B4D57"/>
    <w:rsid w:val="000B4EBD"/>
    <w:rsid w:val="000B50FB"/>
    <w:rsid w:val="000B54AE"/>
    <w:rsid w:val="000B58B6"/>
    <w:rsid w:val="000B595A"/>
    <w:rsid w:val="000B5C5B"/>
    <w:rsid w:val="000B5FF0"/>
    <w:rsid w:val="000B607D"/>
    <w:rsid w:val="000B6139"/>
    <w:rsid w:val="000B61F1"/>
    <w:rsid w:val="000B641A"/>
    <w:rsid w:val="000B64EA"/>
    <w:rsid w:val="000B66DF"/>
    <w:rsid w:val="000B67EE"/>
    <w:rsid w:val="000B6A5E"/>
    <w:rsid w:val="000B70B2"/>
    <w:rsid w:val="000B70BC"/>
    <w:rsid w:val="000B739A"/>
    <w:rsid w:val="000B73B7"/>
    <w:rsid w:val="000B7631"/>
    <w:rsid w:val="000B776B"/>
    <w:rsid w:val="000B7A29"/>
    <w:rsid w:val="000B7A33"/>
    <w:rsid w:val="000B7AF5"/>
    <w:rsid w:val="000B7B36"/>
    <w:rsid w:val="000B7E37"/>
    <w:rsid w:val="000C0100"/>
    <w:rsid w:val="000C027E"/>
    <w:rsid w:val="000C0681"/>
    <w:rsid w:val="000C0999"/>
    <w:rsid w:val="000C0B7E"/>
    <w:rsid w:val="000C0E3A"/>
    <w:rsid w:val="000C0EAA"/>
    <w:rsid w:val="000C0FF7"/>
    <w:rsid w:val="000C109C"/>
    <w:rsid w:val="000C1898"/>
    <w:rsid w:val="000C1978"/>
    <w:rsid w:val="000C1A64"/>
    <w:rsid w:val="000C1ADA"/>
    <w:rsid w:val="000C1B81"/>
    <w:rsid w:val="000C1E86"/>
    <w:rsid w:val="000C1EEB"/>
    <w:rsid w:val="000C1F70"/>
    <w:rsid w:val="000C2046"/>
    <w:rsid w:val="000C2A98"/>
    <w:rsid w:val="000C2CC9"/>
    <w:rsid w:val="000C2E50"/>
    <w:rsid w:val="000C3067"/>
    <w:rsid w:val="000C30DD"/>
    <w:rsid w:val="000C323C"/>
    <w:rsid w:val="000C34F0"/>
    <w:rsid w:val="000C3512"/>
    <w:rsid w:val="000C3534"/>
    <w:rsid w:val="000C3BFA"/>
    <w:rsid w:val="000C3D3E"/>
    <w:rsid w:val="000C3E3B"/>
    <w:rsid w:val="000C4015"/>
    <w:rsid w:val="000C405D"/>
    <w:rsid w:val="000C4440"/>
    <w:rsid w:val="000C45D5"/>
    <w:rsid w:val="000C4733"/>
    <w:rsid w:val="000C4791"/>
    <w:rsid w:val="000C4804"/>
    <w:rsid w:val="000C486E"/>
    <w:rsid w:val="000C4BEC"/>
    <w:rsid w:val="000C4CD3"/>
    <w:rsid w:val="000C52B2"/>
    <w:rsid w:val="000C53D4"/>
    <w:rsid w:val="000C5518"/>
    <w:rsid w:val="000C5720"/>
    <w:rsid w:val="000C5898"/>
    <w:rsid w:val="000C59EE"/>
    <w:rsid w:val="000C61AB"/>
    <w:rsid w:val="000C6577"/>
    <w:rsid w:val="000C6610"/>
    <w:rsid w:val="000C6902"/>
    <w:rsid w:val="000C69CA"/>
    <w:rsid w:val="000C71A3"/>
    <w:rsid w:val="000C728E"/>
    <w:rsid w:val="000C755B"/>
    <w:rsid w:val="000C7646"/>
    <w:rsid w:val="000C7708"/>
    <w:rsid w:val="000C7914"/>
    <w:rsid w:val="000C7A75"/>
    <w:rsid w:val="000C7BE4"/>
    <w:rsid w:val="000C7E7C"/>
    <w:rsid w:val="000D02D7"/>
    <w:rsid w:val="000D0536"/>
    <w:rsid w:val="000D057B"/>
    <w:rsid w:val="000D0723"/>
    <w:rsid w:val="000D082B"/>
    <w:rsid w:val="000D0AEE"/>
    <w:rsid w:val="000D1461"/>
    <w:rsid w:val="000D16B1"/>
    <w:rsid w:val="000D1C63"/>
    <w:rsid w:val="000D20A1"/>
    <w:rsid w:val="000D23CE"/>
    <w:rsid w:val="000D25EF"/>
    <w:rsid w:val="000D2718"/>
    <w:rsid w:val="000D280C"/>
    <w:rsid w:val="000D333F"/>
    <w:rsid w:val="000D34BD"/>
    <w:rsid w:val="000D3537"/>
    <w:rsid w:val="000D37F7"/>
    <w:rsid w:val="000D38B0"/>
    <w:rsid w:val="000D390C"/>
    <w:rsid w:val="000D397D"/>
    <w:rsid w:val="000D3A17"/>
    <w:rsid w:val="000D414D"/>
    <w:rsid w:val="000D416D"/>
    <w:rsid w:val="000D4395"/>
    <w:rsid w:val="000D4534"/>
    <w:rsid w:val="000D45F1"/>
    <w:rsid w:val="000D46FC"/>
    <w:rsid w:val="000D47E4"/>
    <w:rsid w:val="000D4894"/>
    <w:rsid w:val="000D4E86"/>
    <w:rsid w:val="000D4EB1"/>
    <w:rsid w:val="000D51B6"/>
    <w:rsid w:val="000D5487"/>
    <w:rsid w:val="000D5579"/>
    <w:rsid w:val="000D5939"/>
    <w:rsid w:val="000D5BB3"/>
    <w:rsid w:val="000D5BD5"/>
    <w:rsid w:val="000D60AC"/>
    <w:rsid w:val="000D60E8"/>
    <w:rsid w:val="000D63FC"/>
    <w:rsid w:val="000D655C"/>
    <w:rsid w:val="000D6660"/>
    <w:rsid w:val="000D66D1"/>
    <w:rsid w:val="000D6895"/>
    <w:rsid w:val="000D6953"/>
    <w:rsid w:val="000D6DC4"/>
    <w:rsid w:val="000D6FA4"/>
    <w:rsid w:val="000D708B"/>
    <w:rsid w:val="000D73E2"/>
    <w:rsid w:val="000D744E"/>
    <w:rsid w:val="000D7527"/>
    <w:rsid w:val="000D7721"/>
    <w:rsid w:val="000D7802"/>
    <w:rsid w:val="000D7806"/>
    <w:rsid w:val="000D7836"/>
    <w:rsid w:val="000D7B79"/>
    <w:rsid w:val="000D7E48"/>
    <w:rsid w:val="000D7F97"/>
    <w:rsid w:val="000E0200"/>
    <w:rsid w:val="000E0223"/>
    <w:rsid w:val="000E0335"/>
    <w:rsid w:val="000E03A7"/>
    <w:rsid w:val="000E07F5"/>
    <w:rsid w:val="000E082D"/>
    <w:rsid w:val="000E0C92"/>
    <w:rsid w:val="000E0E67"/>
    <w:rsid w:val="000E1071"/>
    <w:rsid w:val="000E14DF"/>
    <w:rsid w:val="000E14F3"/>
    <w:rsid w:val="000E18B0"/>
    <w:rsid w:val="000E198B"/>
    <w:rsid w:val="000E1A41"/>
    <w:rsid w:val="000E1A9E"/>
    <w:rsid w:val="000E1BF8"/>
    <w:rsid w:val="000E1D21"/>
    <w:rsid w:val="000E2609"/>
    <w:rsid w:val="000E26CD"/>
    <w:rsid w:val="000E27EA"/>
    <w:rsid w:val="000E2C4B"/>
    <w:rsid w:val="000E2D27"/>
    <w:rsid w:val="000E2F2B"/>
    <w:rsid w:val="000E2F5A"/>
    <w:rsid w:val="000E356E"/>
    <w:rsid w:val="000E35F1"/>
    <w:rsid w:val="000E3A04"/>
    <w:rsid w:val="000E3A37"/>
    <w:rsid w:val="000E3A7F"/>
    <w:rsid w:val="000E3B7F"/>
    <w:rsid w:val="000E3C1E"/>
    <w:rsid w:val="000E3EC4"/>
    <w:rsid w:val="000E3FBC"/>
    <w:rsid w:val="000E459D"/>
    <w:rsid w:val="000E4750"/>
    <w:rsid w:val="000E4788"/>
    <w:rsid w:val="000E4C9D"/>
    <w:rsid w:val="000E4E61"/>
    <w:rsid w:val="000E51A0"/>
    <w:rsid w:val="000E57EF"/>
    <w:rsid w:val="000E58E0"/>
    <w:rsid w:val="000E59FD"/>
    <w:rsid w:val="000E5C16"/>
    <w:rsid w:val="000E6201"/>
    <w:rsid w:val="000E68CA"/>
    <w:rsid w:val="000E690A"/>
    <w:rsid w:val="000E695D"/>
    <w:rsid w:val="000E699A"/>
    <w:rsid w:val="000E6DD8"/>
    <w:rsid w:val="000E6FA8"/>
    <w:rsid w:val="000E702D"/>
    <w:rsid w:val="000E719A"/>
    <w:rsid w:val="000E7228"/>
    <w:rsid w:val="000E72A8"/>
    <w:rsid w:val="000E7303"/>
    <w:rsid w:val="000E75D1"/>
    <w:rsid w:val="000E76B6"/>
    <w:rsid w:val="000E7FD0"/>
    <w:rsid w:val="000F0118"/>
    <w:rsid w:val="000F023F"/>
    <w:rsid w:val="000F04D2"/>
    <w:rsid w:val="000F0582"/>
    <w:rsid w:val="000F0603"/>
    <w:rsid w:val="000F08AF"/>
    <w:rsid w:val="000F0B16"/>
    <w:rsid w:val="000F0B77"/>
    <w:rsid w:val="000F1404"/>
    <w:rsid w:val="000F1480"/>
    <w:rsid w:val="000F1A32"/>
    <w:rsid w:val="000F24AC"/>
    <w:rsid w:val="000F2713"/>
    <w:rsid w:val="000F2E1A"/>
    <w:rsid w:val="000F343E"/>
    <w:rsid w:val="000F3948"/>
    <w:rsid w:val="000F39AA"/>
    <w:rsid w:val="000F3B1E"/>
    <w:rsid w:val="000F3CF6"/>
    <w:rsid w:val="000F3D65"/>
    <w:rsid w:val="000F3F15"/>
    <w:rsid w:val="000F4058"/>
    <w:rsid w:val="000F43EC"/>
    <w:rsid w:val="000F454E"/>
    <w:rsid w:val="000F46D8"/>
    <w:rsid w:val="000F47D5"/>
    <w:rsid w:val="000F48A0"/>
    <w:rsid w:val="000F49EA"/>
    <w:rsid w:val="000F4A60"/>
    <w:rsid w:val="000F4B0A"/>
    <w:rsid w:val="000F4D76"/>
    <w:rsid w:val="000F4E7E"/>
    <w:rsid w:val="000F514F"/>
    <w:rsid w:val="000F52C9"/>
    <w:rsid w:val="000F54AD"/>
    <w:rsid w:val="000F5A73"/>
    <w:rsid w:val="000F5F64"/>
    <w:rsid w:val="000F63D5"/>
    <w:rsid w:val="000F6650"/>
    <w:rsid w:val="000F6A90"/>
    <w:rsid w:val="000F6C35"/>
    <w:rsid w:val="000F6E53"/>
    <w:rsid w:val="000F7126"/>
    <w:rsid w:val="000F7275"/>
    <w:rsid w:val="000F75D3"/>
    <w:rsid w:val="000F77FE"/>
    <w:rsid w:val="000F7AFB"/>
    <w:rsid w:val="000F7B1D"/>
    <w:rsid w:val="000F7BB0"/>
    <w:rsid w:val="000F7CDA"/>
    <w:rsid w:val="000F7CE8"/>
    <w:rsid w:val="000F7D76"/>
    <w:rsid w:val="001002AB"/>
    <w:rsid w:val="00100669"/>
    <w:rsid w:val="0010068B"/>
    <w:rsid w:val="00100830"/>
    <w:rsid w:val="00100D89"/>
    <w:rsid w:val="00100F0B"/>
    <w:rsid w:val="00101519"/>
    <w:rsid w:val="00101721"/>
    <w:rsid w:val="0010195B"/>
    <w:rsid w:val="00101B5C"/>
    <w:rsid w:val="00101BA0"/>
    <w:rsid w:val="00101DA2"/>
    <w:rsid w:val="00101E67"/>
    <w:rsid w:val="00101ED4"/>
    <w:rsid w:val="001020E1"/>
    <w:rsid w:val="001021D2"/>
    <w:rsid w:val="00102311"/>
    <w:rsid w:val="0010247B"/>
    <w:rsid w:val="001026A3"/>
    <w:rsid w:val="001028DE"/>
    <w:rsid w:val="0010294E"/>
    <w:rsid w:val="00102CB5"/>
    <w:rsid w:val="00102E26"/>
    <w:rsid w:val="00102F10"/>
    <w:rsid w:val="00102FEA"/>
    <w:rsid w:val="00103293"/>
    <w:rsid w:val="001033A4"/>
    <w:rsid w:val="00103442"/>
    <w:rsid w:val="001035F6"/>
    <w:rsid w:val="0010374F"/>
    <w:rsid w:val="00103959"/>
    <w:rsid w:val="00103CCA"/>
    <w:rsid w:val="00103DE9"/>
    <w:rsid w:val="00103FA7"/>
    <w:rsid w:val="0010416B"/>
    <w:rsid w:val="00104198"/>
    <w:rsid w:val="0010440E"/>
    <w:rsid w:val="00104824"/>
    <w:rsid w:val="001048AE"/>
    <w:rsid w:val="00104AFE"/>
    <w:rsid w:val="00104CC5"/>
    <w:rsid w:val="00104E16"/>
    <w:rsid w:val="0010517D"/>
    <w:rsid w:val="0010525A"/>
    <w:rsid w:val="001054F9"/>
    <w:rsid w:val="001055C5"/>
    <w:rsid w:val="0010582B"/>
    <w:rsid w:val="00105A47"/>
    <w:rsid w:val="00105ABA"/>
    <w:rsid w:val="00105BDE"/>
    <w:rsid w:val="00105C4F"/>
    <w:rsid w:val="0010606B"/>
    <w:rsid w:val="0010634A"/>
    <w:rsid w:val="00106376"/>
    <w:rsid w:val="001069D6"/>
    <w:rsid w:val="00106D10"/>
    <w:rsid w:val="00107244"/>
    <w:rsid w:val="0010748A"/>
    <w:rsid w:val="001074E6"/>
    <w:rsid w:val="00107718"/>
    <w:rsid w:val="00107EB5"/>
    <w:rsid w:val="00110052"/>
    <w:rsid w:val="0011006F"/>
    <w:rsid w:val="00110158"/>
    <w:rsid w:val="001106DA"/>
    <w:rsid w:val="001107B9"/>
    <w:rsid w:val="00110C86"/>
    <w:rsid w:val="00110DE1"/>
    <w:rsid w:val="00110F5F"/>
    <w:rsid w:val="001111EF"/>
    <w:rsid w:val="00111223"/>
    <w:rsid w:val="00111350"/>
    <w:rsid w:val="0011142F"/>
    <w:rsid w:val="00111643"/>
    <w:rsid w:val="0011166B"/>
    <w:rsid w:val="00111A81"/>
    <w:rsid w:val="00111D10"/>
    <w:rsid w:val="00112203"/>
    <w:rsid w:val="00112486"/>
    <w:rsid w:val="00112539"/>
    <w:rsid w:val="00112579"/>
    <w:rsid w:val="00112A1C"/>
    <w:rsid w:val="00112ED5"/>
    <w:rsid w:val="00113072"/>
    <w:rsid w:val="0011325C"/>
    <w:rsid w:val="0011381F"/>
    <w:rsid w:val="00113B42"/>
    <w:rsid w:val="00113E69"/>
    <w:rsid w:val="00113F1A"/>
    <w:rsid w:val="00114480"/>
    <w:rsid w:val="00114568"/>
    <w:rsid w:val="0011485F"/>
    <w:rsid w:val="001148C2"/>
    <w:rsid w:val="00114954"/>
    <w:rsid w:val="00114C21"/>
    <w:rsid w:val="00115521"/>
    <w:rsid w:val="0011582E"/>
    <w:rsid w:val="001158F2"/>
    <w:rsid w:val="00115AFE"/>
    <w:rsid w:val="00115B02"/>
    <w:rsid w:val="00115E85"/>
    <w:rsid w:val="00116098"/>
    <w:rsid w:val="00116169"/>
    <w:rsid w:val="001163D1"/>
    <w:rsid w:val="00116539"/>
    <w:rsid w:val="001166A1"/>
    <w:rsid w:val="00116823"/>
    <w:rsid w:val="00116AC9"/>
    <w:rsid w:val="00116B75"/>
    <w:rsid w:val="001175E2"/>
    <w:rsid w:val="001176DE"/>
    <w:rsid w:val="0011799C"/>
    <w:rsid w:val="00117A22"/>
    <w:rsid w:val="00117E41"/>
    <w:rsid w:val="00117F86"/>
    <w:rsid w:val="00120043"/>
    <w:rsid w:val="00120230"/>
    <w:rsid w:val="00120411"/>
    <w:rsid w:val="0012079D"/>
    <w:rsid w:val="00120E03"/>
    <w:rsid w:val="00120E34"/>
    <w:rsid w:val="00120E8D"/>
    <w:rsid w:val="0012121E"/>
    <w:rsid w:val="00121335"/>
    <w:rsid w:val="00121382"/>
    <w:rsid w:val="00121541"/>
    <w:rsid w:val="00121B5E"/>
    <w:rsid w:val="00121E93"/>
    <w:rsid w:val="00121EDE"/>
    <w:rsid w:val="00121F5D"/>
    <w:rsid w:val="00122706"/>
    <w:rsid w:val="00122B44"/>
    <w:rsid w:val="00122FB4"/>
    <w:rsid w:val="00123681"/>
    <w:rsid w:val="001238F5"/>
    <w:rsid w:val="00123957"/>
    <w:rsid w:val="00123AB0"/>
    <w:rsid w:val="00123BDF"/>
    <w:rsid w:val="0012410B"/>
    <w:rsid w:val="00124328"/>
    <w:rsid w:val="0012440C"/>
    <w:rsid w:val="00124462"/>
    <w:rsid w:val="001245F3"/>
    <w:rsid w:val="0012465E"/>
    <w:rsid w:val="0012482B"/>
    <w:rsid w:val="00124A0A"/>
    <w:rsid w:val="00124A7A"/>
    <w:rsid w:val="00124E68"/>
    <w:rsid w:val="00125393"/>
    <w:rsid w:val="00125666"/>
    <w:rsid w:val="001257EB"/>
    <w:rsid w:val="00125AD3"/>
    <w:rsid w:val="00125B17"/>
    <w:rsid w:val="001260EA"/>
    <w:rsid w:val="001261A4"/>
    <w:rsid w:val="001261BA"/>
    <w:rsid w:val="00126295"/>
    <w:rsid w:val="00126493"/>
    <w:rsid w:val="0012657B"/>
    <w:rsid w:val="00126F64"/>
    <w:rsid w:val="00127008"/>
    <w:rsid w:val="0012713C"/>
    <w:rsid w:val="00127307"/>
    <w:rsid w:val="00127422"/>
    <w:rsid w:val="001275A6"/>
    <w:rsid w:val="00127654"/>
    <w:rsid w:val="00127678"/>
    <w:rsid w:val="00127CE6"/>
    <w:rsid w:val="001304C4"/>
    <w:rsid w:val="00130541"/>
    <w:rsid w:val="00130719"/>
    <w:rsid w:val="00130B37"/>
    <w:rsid w:val="00130B64"/>
    <w:rsid w:val="00130E70"/>
    <w:rsid w:val="00130FF4"/>
    <w:rsid w:val="001312DE"/>
    <w:rsid w:val="001315A5"/>
    <w:rsid w:val="001315EB"/>
    <w:rsid w:val="00131B2B"/>
    <w:rsid w:val="00131B4D"/>
    <w:rsid w:val="00131BB3"/>
    <w:rsid w:val="001320D2"/>
    <w:rsid w:val="001322C9"/>
    <w:rsid w:val="001323E0"/>
    <w:rsid w:val="00132432"/>
    <w:rsid w:val="0013245F"/>
    <w:rsid w:val="00132665"/>
    <w:rsid w:val="001327A2"/>
    <w:rsid w:val="00132B77"/>
    <w:rsid w:val="00132DA0"/>
    <w:rsid w:val="00132E24"/>
    <w:rsid w:val="00132F4C"/>
    <w:rsid w:val="00132F88"/>
    <w:rsid w:val="001331B5"/>
    <w:rsid w:val="001332BB"/>
    <w:rsid w:val="001332DE"/>
    <w:rsid w:val="001334FF"/>
    <w:rsid w:val="00133885"/>
    <w:rsid w:val="00133938"/>
    <w:rsid w:val="0013397A"/>
    <w:rsid w:val="00133BE8"/>
    <w:rsid w:val="00133FAD"/>
    <w:rsid w:val="00134114"/>
    <w:rsid w:val="001341EF"/>
    <w:rsid w:val="001343D2"/>
    <w:rsid w:val="001343DF"/>
    <w:rsid w:val="0013462F"/>
    <w:rsid w:val="0013494F"/>
    <w:rsid w:val="001349BA"/>
    <w:rsid w:val="00134AAE"/>
    <w:rsid w:val="00134DB4"/>
    <w:rsid w:val="00134E51"/>
    <w:rsid w:val="00134F5D"/>
    <w:rsid w:val="00134FA5"/>
    <w:rsid w:val="0013524C"/>
    <w:rsid w:val="001354C7"/>
    <w:rsid w:val="00135DC8"/>
    <w:rsid w:val="00135F3C"/>
    <w:rsid w:val="001361F1"/>
    <w:rsid w:val="001363F1"/>
    <w:rsid w:val="001364BC"/>
    <w:rsid w:val="00136660"/>
    <w:rsid w:val="001366A2"/>
    <w:rsid w:val="001368A3"/>
    <w:rsid w:val="00136D26"/>
    <w:rsid w:val="001370BE"/>
    <w:rsid w:val="00137319"/>
    <w:rsid w:val="00137470"/>
    <w:rsid w:val="00140405"/>
    <w:rsid w:val="001409FC"/>
    <w:rsid w:val="00140A06"/>
    <w:rsid w:val="00140B17"/>
    <w:rsid w:val="00140B5B"/>
    <w:rsid w:val="00140B81"/>
    <w:rsid w:val="00140C28"/>
    <w:rsid w:val="00141418"/>
    <w:rsid w:val="001416BD"/>
    <w:rsid w:val="0014174F"/>
    <w:rsid w:val="00141A02"/>
    <w:rsid w:val="00141C08"/>
    <w:rsid w:val="00141CA1"/>
    <w:rsid w:val="0014201B"/>
    <w:rsid w:val="00142062"/>
    <w:rsid w:val="0014210A"/>
    <w:rsid w:val="00142321"/>
    <w:rsid w:val="00142485"/>
    <w:rsid w:val="0014296A"/>
    <w:rsid w:val="00143061"/>
    <w:rsid w:val="00143335"/>
    <w:rsid w:val="00143391"/>
    <w:rsid w:val="001438FC"/>
    <w:rsid w:val="00143DDE"/>
    <w:rsid w:val="00143F3D"/>
    <w:rsid w:val="0014413D"/>
    <w:rsid w:val="00144934"/>
    <w:rsid w:val="00144AD5"/>
    <w:rsid w:val="00145AB8"/>
    <w:rsid w:val="00145BBD"/>
    <w:rsid w:val="00145D7D"/>
    <w:rsid w:val="001463CA"/>
    <w:rsid w:val="00146572"/>
    <w:rsid w:val="0014708A"/>
    <w:rsid w:val="00147169"/>
    <w:rsid w:val="00147197"/>
    <w:rsid w:val="0014755B"/>
    <w:rsid w:val="001476D4"/>
    <w:rsid w:val="0014776E"/>
    <w:rsid w:val="00147784"/>
    <w:rsid w:val="00147791"/>
    <w:rsid w:val="001477F4"/>
    <w:rsid w:val="00147B3E"/>
    <w:rsid w:val="00147E99"/>
    <w:rsid w:val="00150056"/>
    <w:rsid w:val="0015007A"/>
    <w:rsid w:val="00150099"/>
    <w:rsid w:val="001501AF"/>
    <w:rsid w:val="0015095B"/>
    <w:rsid w:val="00150A4F"/>
    <w:rsid w:val="00150F85"/>
    <w:rsid w:val="00151028"/>
    <w:rsid w:val="0015144C"/>
    <w:rsid w:val="00151521"/>
    <w:rsid w:val="00151572"/>
    <w:rsid w:val="00151969"/>
    <w:rsid w:val="00151B26"/>
    <w:rsid w:val="00151F5E"/>
    <w:rsid w:val="00151F7E"/>
    <w:rsid w:val="001520FA"/>
    <w:rsid w:val="0015220F"/>
    <w:rsid w:val="001525F3"/>
    <w:rsid w:val="0015288A"/>
    <w:rsid w:val="00152B3C"/>
    <w:rsid w:val="00152D6E"/>
    <w:rsid w:val="00152E1C"/>
    <w:rsid w:val="00153005"/>
    <w:rsid w:val="001538A6"/>
    <w:rsid w:val="00153952"/>
    <w:rsid w:val="00153AD9"/>
    <w:rsid w:val="00153C3E"/>
    <w:rsid w:val="00153C59"/>
    <w:rsid w:val="00153F3C"/>
    <w:rsid w:val="001540D4"/>
    <w:rsid w:val="00154153"/>
    <w:rsid w:val="00154223"/>
    <w:rsid w:val="00154492"/>
    <w:rsid w:val="001545E0"/>
    <w:rsid w:val="00154908"/>
    <w:rsid w:val="00154E3C"/>
    <w:rsid w:val="00155050"/>
    <w:rsid w:val="00155265"/>
    <w:rsid w:val="001556CD"/>
    <w:rsid w:val="001559B7"/>
    <w:rsid w:val="00155DAE"/>
    <w:rsid w:val="0015615D"/>
    <w:rsid w:val="001561D4"/>
    <w:rsid w:val="00156296"/>
    <w:rsid w:val="00156301"/>
    <w:rsid w:val="001565BD"/>
    <w:rsid w:val="00156775"/>
    <w:rsid w:val="00156BB9"/>
    <w:rsid w:val="00157383"/>
    <w:rsid w:val="0015754F"/>
    <w:rsid w:val="00157717"/>
    <w:rsid w:val="001577FE"/>
    <w:rsid w:val="00157826"/>
    <w:rsid w:val="001579E7"/>
    <w:rsid w:val="00157B10"/>
    <w:rsid w:val="00160197"/>
    <w:rsid w:val="00160355"/>
    <w:rsid w:val="001607B3"/>
    <w:rsid w:val="00160A74"/>
    <w:rsid w:val="00160B1A"/>
    <w:rsid w:val="00160EB3"/>
    <w:rsid w:val="001616F0"/>
    <w:rsid w:val="00161826"/>
    <w:rsid w:val="00161B04"/>
    <w:rsid w:val="00161DD3"/>
    <w:rsid w:val="00162094"/>
    <w:rsid w:val="001623A4"/>
    <w:rsid w:val="001625B7"/>
    <w:rsid w:val="0016261F"/>
    <w:rsid w:val="001630F8"/>
    <w:rsid w:val="0016323F"/>
    <w:rsid w:val="00163676"/>
    <w:rsid w:val="001636EE"/>
    <w:rsid w:val="001637E5"/>
    <w:rsid w:val="001638B6"/>
    <w:rsid w:val="00163961"/>
    <w:rsid w:val="00163A47"/>
    <w:rsid w:val="00163BF8"/>
    <w:rsid w:val="00163F92"/>
    <w:rsid w:val="001642FB"/>
    <w:rsid w:val="00164681"/>
    <w:rsid w:val="00164721"/>
    <w:rsid w:val="00164762"/>
    <w:rsid w:val="00164785"/>
    <w:rsid w:val="00164CE6"/>
    <w:rsid w:val="00164DD5"/>
    <w:rsid w:val="001650A6"/>
    <w:rsid w:val="00165345"/>
    <w:rsid w:val="00165465"/>
    <w:rsid w:val="00165769"/>
    <w:rsid w:val="00165A0B"/>
    <w:rsid w:val="00165C19"/>
    <w:rsid w:val="00165D60"/>
    <w:rsid w:val="001661B4"/>
    <w:rsid w:val="001661D6"/>
    <w:rsid w:val="00166332"/>
    <w:rsid w:val="001663A4"/>
    <w:rsid w:val="001663DB"/>
    <w:rsid w:val="001664C3"/>
    <w:rsid w:val="001666E5"/>
    <w:rsid w:val="0016679D"/>
    <w:rsid w:val="00166919"/>
    <w:rsid w:val="00166C29"/>
    <w:rsid w:val="00166E70"/>
    <w:rsid w:val="001674CC"/>
    <w:rsid w:val="00167650"/>
    <w:rsid w:val="001676ED"/>
    <w:rsid w:val="001700A5"/>
    <w:rsid w:val="001700B5"/>
    <w:rsid w:val="001702E0"/>
    <w:rsid w:val="001705FC"/>
    <w:rsid w:val="0017076B"/>
    <w:rsid w:val="00170888"/>
    <w:rsid w:val="00170AFC"/>
    <w:rsid w:val="00170BD3"/>
    <w:rsid w:val="00171357"/>
    <w:rsid w:val="001716AB"/>
    <w:rsid w:val="00171872"/>
    <w:rsid w:val="001718D9"/>
    <w:rsid w:val="001719EA"/>
    <w:rsid w:val="00171CA8"/>
    <w:rsid w:val="0017264A"/>
    <w:rsid w:val="00172D10"/>
    <w:rsid w:val="00172D59"/>
    <w:rsid w:val="00172ED9"/>
    <w:rsid w:val="00172F37"/>
    <w:rsid w:val="00172F62"/>
    <w:rsid w:val="00173099"/>
    <w:rsid w:val="001730C2"/>
    <w:rsid w:val="001730D9"/>
    <w:rsid w:val="001738A9"/>
    <w:rsid w:val="00173BC9"/>
    <w:rsid w:val="00173BFF"/>
    <w:rsid w:val="00173E07"/>
    <w:rsid w:val="00174654"/>
    <w:rsid w:val="001747EB"/>
    <w:rsid w:val="00174CD1"/>
    <w:rsid w:val="001750CD"/>
    <w:rsid w:val="001752C8"/>
    <w:rsid w:val="001754EE"/>
    <w:rsid w:val="00175520"/>
    <w:rsid w:val="001755D6"/>
    <w:rsid w:val="001755FC"/>
    <w:rsid w:val="00175935"/>
    <w:rsid w:val="00175A18"/>
    <w:rsid w:val="00175C34"/>
    <w:rsid w:val="0017633D"/>
    <w:rsid w:val="001763B3"/>
    <w:rsid w:val="0017648C"/>
    <w:rsid w:val="001764A5"/>
    <w:rsid w:val="00176697"/>
    <w:rsid w:val="001766DB"/>
    <w:rsid w:val="00176734"/>
    <w:rsid w:val="00176748"/>
    <w:rsid w:val="00176AFC"/>
    <w:rsid w:val="00176DB3"/>
    <w:rsid w:val="00176E31"/>
    <w:rsid w:val="001772C8"/>
    <w:rsid w:val="00177404"/>
    <w:rsid w:val="001774B6"/>
    <w:rsid w:val="001774D3"/>
    <w:rsid w:val="00177510"/>
    <w:rsid w:val="001777B7"/>
    <w:rsid w:val="001777D3"/>
    <w:rsid w:val="00177816"/>
    <w:rsid w:val="00177996"/>
    <w:rsid w:val="00177AE0"/>
    <w:rsid w:val="00177AFD"/>
    <w:rsid w:val="00177B86"/>
    <w:rsid w:val="00177CE2"/>
    <w:rsid w:val="00177CF4"/>
    <w:rsid w:val="00177F1E"/>
    <w:rsid w:val="00180116"/>
    <w:rsid w:val="001807A9"/>
    <w:rsid w:val="00180812"/>
    <w:rsid w:val="0018082C"/>
    <w:rsid w:val="00180C02"/>
    <w:rsid w:val="00180C73"/>
    <w:rsid w:val="00180CA5"/>
    <w:rsid w:val="00180DB8"/>
    <w:rsid w:val="00180DD5"/>
    <w:rsid w:val="001810AC"/>
    <w:rsid w:val="00181350"/>
    <w:rsid w:val="0018161C"/>
    <w:rsid w:val="0018176E"/>
    <w:rsid w:val="001818CE"/>
    <w:rsid w:val="00181BAC"/>
    <w:rsid w:val="00181DFD"/>
    <w:rsid w:val="001821DE"/>
    <w:rsid w:val="00182429"/>
    <w:rsid w:val="001824D3"/>
    <w:rsid w:val="001824FF"/>
    <w:rsid w:val="001829C7"/>
    <w:rsid w:val="00182D7D"/>
    <w:rsid w:val="00182F24"/>
    <w:rsid w:val="001831CD"/>
    <w:rsid w:val="001832C4"/>
    <w:rsid w:val="00183592"/>
    <w:rsid w:val="0018363F"/>
    <w:rsid w:val="00183764"/>
    <w:rsid w:val="001839A0"/>
    <w:rsid w:val="00183A22"/>
    <w:rsid w:val="00183EF3"/>
    <w:rsid w:val="001843EF"/>
    <w:rsid w:val="001844BB"/>
    <w:rsid w:val="001844C3"/>
    <w:rsid w:val="00184870"/>
    <w:rsid w:val="00184950"/>
    <w:rsid w:val="00184FD0"/>
    <w:rsid w:val="00185069"/>
    <w:rsid w:val="001852B6"/>
    <w:rsid w:val="00185546"/>
    <w:rsid w:val="00185816"/>
    <w:rsid w:val="00185CCB"/>
    <w:rsid w:val="00185D07"/>
    <w:rsid w:val="001864D1"/>
    <w:rsid w:val="00186B84"/>
    <w:rsid w:val="00186CA2"/>
    <w:rsid w:val="00186CD2"/>
    <w:rsid w:val="00186D9F"/>
    <w:rsid w:val="0018707E"/>
    <w:rsid w:val="001870AB"/>
    <w:rsid w:val="00187102"/>
    <w:rsid w:val="00187221"/>
    <w:rsid w:val="001872A1"/>
    <w:rsid w:val="001872B2"/>
    <w:rsid w:val="00187488"/>
    <w:rsid w:val="001876ED"/>
    <w:rsid w:val="00187749"/>
    <w:rsid w:val="00187849"/>
    <w:rsid w:val="0018789B"/>
    <w:rsid w:val="0018792D"/>
    <w:rsid w:val="00187997"/>
    <w:rsid w:val="00187B9B"/>
    <w:rsid w:val="00187E15"/>
    <w:rsid w:val="00187E5B"/>
    <w:rsid w:val="00187E74"/>
    <w:rsid w:val="00187F9D"/>
    <w:rsid w:val="00187FBE"/>
    <w:rsid w:val="00190163"/>
    <w:rsid w:val="001908F8"/>
    <w:rsid w:val="00190A1E"/>
    <w:rsid w:val="00190F4E"/>
    <w:rsid w:val="001912E2"/>
    <w:rsid w:val="00191A2A"/>
    <w:rsid w:val="00191BF5"/>
    <w:rsid w:val="00191C56"/>
    <w:rsid w:val="00191DD2"/>
    <w:rsid w:val="00191E0F"/>
    <w:rsid w:val="00191EC5"/>
    <w:rsid w:val="001920C5"/>
    <w:rsid w:val="001922AC"/>
    <w:rsid w:val="001922FE"/>
    <w:rsid w:val="0019262E"/>
    <w:rsid w:val="00192C12"/>
    <w:rsid w:val="00192DC8"/>
    <w:rsid w:val="00192E36"/>
    <w:rsid w:val="00192ED2"/>
    <w:rsid w:val="001930FC"/>
    <w:rsid w:val="001932A6"/>
    <w:rsid w:val="0019344A"/>
    <w:rsid w:val="00193567"/>
    <w:rsid w:val="001939BF"/>
    <w:rsid w:val="00193D1E"/>
    <w:rsid w:val="00193EA9"/>
    <w:rsid w:val="00193FA0"/>
    <w:rsid w:val="0019484D"/>
    <w:rsid w:val="00194A0F"/>
    <w:rsid w:val="00194B51"/>
    <w:rsid w:val="00195512"/>
    <w:rsid w:val="0019579F"/>
    <w:rsid w:val="00196088"/>
    <w:rsid w:val="001962D1"/>
    <w:rsid w:val="0019671F"/>
    <w:rsid w:val="00196902"/>
    <w:rsid w:val="0019694E"/>
    <w:rsid w:val="00196BE4"/>
    <w:rsid w:val="00196CC1"/>
    <w:rsid w:val="001970C6"/>
    <w:rsid w:val="00197294"/>
    <w:rsid w:val="00197522"/>
    <w:rsid w:val="001976A1"/>
    <w:rsid w:val="0019786E"/>
    <w:rsid w:val="00197A06"/>
    <w:rsid w:val="00197A47"/>
    <w:rsid w:val="001A01B9"/>
    <w:rsid w:val="001A02EB"/>
    <w:rsid w:val="001A0303"/>
    <w:rsid w:val="001A03B3"/>
    <w:rsid w:val="001A065A"/>
    <w:rsid w:val="001A090B"/>
    <w:rsid w:val="001A0C22"/>
    <w:rsid w:val="001A0CB3"/>
    <w:rsid w:val="001A0D6D"/>
    <w:rsid w:val="001A102F"/>
    <w:rsid w:val="001A14A4"/>
    <w:rsid w:val="001A1572"/>
    <w:rsid w:val="001A1804"/>
    <w:rsid w:val="001A183D"/>
    <w:rsid w:val="001A1CA7"/>
    <w:rsid w:val="001A1DC1"/>
    <w:rsid w:val="001A2019"/>
    <w:rsid w:val="001A2024"/>
    <w:rsid w:val="001A2787"/>
    <w:rsid w:val="001A2A80"/>
    <w:rsid w:val="001A2C40"/>
    <w:rsid w:val="001A2D05"/>
    <w:rsid w:val="001A3205"/>
    <w:rsid w:val="001A332F"/>
    <w:rsid w:val="001A3653"/>
    <w:rsid w:val="001A39DD"/>
    <w:rsid w:val="001A3A1C"/>
    <w:rsid w:val="001A3A62"/>
    <w:rsid w:val="001A3C4B"/>
    <w:rsid w:val="001A4016"/>
    <w:rsid w:val="001A4259"/>
    <w:rsid w:val="001A446E"/>
    <w:rsid w:val="001A45AB"/>
    <w:rsid w:val="001A4C2D"/>
    <w:rsid w:val="001A4CFE"/>
    <w:rsid w:val="001A4D24"/>
    <w:rsid w:val="001A4FE4"/>
    <w:rsid w:val="001A5720"/>
    <w:rsid w:val="001A58FB"/>
    <w:rsid w:val="001A59BE"/>
    <w:rsid w:val="001A5A93"/>
    <w:rsid w:val="001A5EB0"/>
    <w:rsid w:val="001A5EFC"/>
    <w:rsid w:val="001A5FC1"/>
    <w:rsid w:val="001A602A"/>
    <w:rsid w:val="001A61A3"/>
    <w:rsid w:val="001A63A1"/>
    <w:rsid w:val="001A63A2"/>
    <w:rsid w:val="001A65C7"/>
    <w:rsid w:val="001A6768"/>
    <w:rsid w:val="001A6852"/>
    <w:rsid w:val="001A68DD"/>
    <w:rsid w:val="001A695B"/>
    <w:rsid w:val="001A6B5F"/>
    <w:rsid w:val="001A6BBB"/>
    <w:rsid w:val="001A6ED0"/>
    <w:rsid w:val="001A6F52"/>
    <w:rsid w:val="001A6FC9"/>
    <w:rsid w:val="001A7123"/>
    <w:rsid w:val="001A72FC"/>
    <w:rsid w:val="001A7453"/>
    <w:rsid w:val="001A7460"/>
    <w:rsid w:val="001A7968"/>
    <w:rsid w:val="001A79CF"/>
    <w:rsid w:val="001A7A26"/>
    <w:rsid w:val="001A7F9C"/>
    <w:rsid w:val="001B001A"/>
    <w:rsid w:val="001B0178"/>
    <w:rsid w:val="001B03A0"/>
    <w:rsid w:val="001B0427"/>
    <w:rsid w:val="001B061B"/>
    <w:rsid w:val="001B079F"/>
    <w:rsid w:val="001B07D6"/>
    <w:rsid w:val="001B0814"/>
    <w:rsid w:val="001B0918"/>
    <w:rsid w:val="001B0ADD"/>
    <w:rsid w:val="001B0FAC"/>
    <w:rsid w:val="001B100D"/>
    <w:rsid w:val="001B1034"/>
    <w:rsid w:val="001B138E"/>
    <w:rsid w:val="001B1499"/>
    <w:rsid w:val="001B15A6"/>
    <w:rsid w:val="001B17DA"/>
    <w:rsid w:val="001B181C"/>
    <w:rsid w:val="001B1A64"/>
    <w:rsid w:val="001B1B45"/>
    <w:rsid w:val="001B1BC5"/>
    <w:rsid w:val="001B1C3B"/>
    <w:rsid w:val="001B1C41"/>
    <w:rsid w:val="001B1CD7"/>
    <w:rsid w:val="001B21C6"/>
    <w:rsid w:val="001B296B"/>
    <w:rsid w:val="001B2A14"/>
    <w:rsid w:val="001B2A6E"/>
    <w:rsid w:val="001B31D0"/>
    <w:rsid w:val="001B31FB"/>
    <w:rsid w:val="001B35F9"/>
    <w:rsid w:val="001B3705"/>
    <w:rsid w:val="001B3734"/>
    <w:rsid w:val="001B3A7C"/>
    <w:rsid w:val="001B3EB5"/>
    <w:rsid w:val="001B400F"/>
    <w:rsid w:val="001B4050"/>
    <w:rsid w:val="001B4075"/>
    <w:rsid w:val="001B42A3"/>
    <w:rsid w:val="001B43E8"/>
    <w:rsid w:val="001B4508"/>
    <w:rsid w:val="001B459A"/>
    <w:rsid w:val="001B4D25"/>
    <w:rsid w:val="001B4D98"/>
    <w:rsid w:val="001B5070"/>
    <w:rsid w:val="001B51CB"/>
    <w:rsid w:val="001B533B"/>
    <w:rsid w:val="001B53DF"/>
    <w:rsid w:val="001B54BE"/>
    <w:rsid w:val="001B572C"/>
    <w:rsid w:val="001B57D4"/>
    <w:rsid w:val="001B627A"/>
    <w:rsid w:val="001B6448"/>
    <w:rsid w:val="001B6B7E"/>
    <w:rsid w:val="001B6BAD"/>
    <w:rsid w:val="001B6F81"/>
    <w:rsid w:val="001B70A1"/>
    <w:rsid w:val="001B731A"/>
    <w:rsid w:val="001B76B5"/>
    <w:rsid w:val="001B7802"/>
    <w:rsid w:val="001B7D87"/>
    <w:rsid w:val="001B7E7B"/>
    <w:rsid w:val="001C00DC"/>
    <w:rsid w:val="001C0463"/>
    <w:rsid w:val="001C04FE"/>
    <w:rsid w:val="001C0985"/>
    <w:rsid w:val="001C10DE"/>
    <w:rsid w:val="001C11EB"/>
    <w:rsid w:val="001C13D8"/>
    <w:rsid w:val="001C15ED"/>
    <w:rsid w:val="001C17B1"/>
    <w:rsid w:val="001C18FB"/>
    <w:rsid w:val="001C19DF"/>
    <w:rsid w:val="001C1B45"/>
    <w:rsid w:val="001C1FB2"/>
    <w:rsid w:val="001C1FCF"/>
    <w:rsid w:val="001C2232"/>
    <w:rsid w:val="001C24B6"/>
    <w:rsid w:val="001C25DA"/>
    <w:rsid w:val="001C2668"/>
    <w:rsid w:val="001C2D6D"/>
    <w:rsid w:val="001C2EEF"/>
    <w:rsid w:val="001C31B9"/>
    <w:rsid w:val="001C3321"/>
    <w:rsid w:val="001C391A"/>
    <w:rsid w:val="001C394A"/>
    <w:rsid w:val="001C3D04"/>
    <w:rsid w:val="001C3EC5"/>
    <w:rsid w:val="001C4737"/>
    <w:rsid w:val="001C4833"/>
    <w:rsid w:val="001C48DA"/>
    <w:rsid w:val="001C4A99"/>
    <w:rsid w:val="001C528B"/>
    <w:rsid w:val="001C580F"/>
    <w:rsid w:val="001C58C0"/>
    <w:rsid w:val="001C5C8A"/>
    <w:rsid w:val="001C6197"/>
    <w:rsid w:val="001C680C"/>
    <w:rsid w:val="001C68EB"/>
    <w:rsid w:val="001C6B35"/>
    <w:rsid w:val="001C6E36"/>
    <w:rsid w:val="001C6ECF"/>
    <w:rsid w:val="001C7433"/>
    <w:rsid w:val="001C77DB"/>
    <w:rsid w:val="001C78E1"/>
    <w:rsid w:val="001C7BBA"/>
    <w:rsid w:val="001C7C96"/>
    <w:rsid w:val="001C7CF5"/>
    <w:rsid w:val="001C7D9C"/>
    <w:rsid w:val="001D00BA"/>
    <w:rsid w:val="001D0217"/>
    <w:rsid w:val="001D03B9"/>
    <w:rsid w:val="001D0749"/>
    <w:rsid w:val="001D091B"/>
    <w:rsid w:val="001D0AC4"/>
    <w:rsid w:val="001D0D78"/>
    <w:rsid w:val="001D0FB9"/>
    <w:rsid w:val="001D0FE7"/>
    <w:rsid w:val="001D112C"/>
    <w:rsid w:val="001D11F0"/>
    <w:rsid w:val="001D27B6"/>
    <w:rsid w:val="001D2BA0"/>
    <w:rsid w:val="001D35D5"/>
    <w:rsid w:val="001D3722"/>
    <w:rsid w:val="001D3813"/>
    <w:rsid w:val="001D39D7"/>
    <w:rsid w:val="001D3DAC"/>
    <w:rsid w:val="001D4080"/>
    <w:rsid w:val="001D4188"/>
    <w:rsid w:val="001D41D1"/>
    <w:rsid w:val="001D41E2"/>
    <w:rsid w:val="001D437D"/>
    <w:rsid w:val="001D45BA"/>
    <w:rsid w:val="001D4679"/>
    <w:rsid w:val="001D48E3"/>
    <w:rsid w:val="001D4B50"/>
    <w:rsid w:val="001D4D89"/>
    <w:rsid w:val="001D4F82"/>
    <w:rsid w:val="001D5301"/>
    <w:rsid w:val="001D5466"/>
    <w:rsid w:val="001D585B"/>
    <w:rsid w:val="001D585C"/>
    <w:rsid w:val="001D5903"/>
    <w:rsid w:val="001D595B"/>
    <w:rsid w:val="001D59BC"/>
    <w:rsid w:val="001D5B41"/>
    <w:rsid w:val="001D5C65"/>
    <w:rsid w:val="001D5D1B"/>
    <w:rsid w:val="001D6505"/>
    <w:rsid w:val="001D670F"/>
    <w:rsid w:val="001D68FE"/>
    <w:rsid w:val="001D6923"/>
    <w:rsid w:val="001D6C21"/>
    <w:rsid w:val="001D6DC1"/>
    <w:rsid w:val="001D6E97"/>
    <w:rsid w:val="001D72EF"/>
    <w:rsid w:val="001D7541"/>
    <w:rsid w:val="001D7715"/>
    <w:rsid w:val="001E0259"/>
    <w:rsid w:val="001E035B"/>
    <w:rsid w:val="001E03CE"/>
    <w:rsid w:val="001E0A98"/>
    <w:rsid w:val="001E0B9A"/>
    <w:rsid w:val="001E0C41"/>
    <w:rsid w:val="001E0CEF"/>
    <w:rsid w:val="001E0D12"/>
    <w:rsid w:val="001E0F6D"/>
    <w:rsid w:val="001E15FE"/>
    <w:rsid w:val="001E161D"/>
    <w:rsid w:val="001E17B2"/>
    <w:rsid w:val="001E1BB8"/>
    <w:rsid w:val="001E2351"/>
    <w:rsid w:val="001E2525"/>
    <w:rsid w:val="001E2729"/>
    <w:rsid w:val="001E2862"/>
    <w:rsid w:val="001E295A"/>
    <w:rsid w:val="001E2A37"/>
    <w:rsid w:val="001E2C18"/>
    <w:rsid w:val="001E315F"/>
    <w:rsid w:val="001E352F"/>
    <w:rsid w:val="001E3584"/>
    <w:rsid w:val="001E3A51"/>
    <w:rsid w:val="001E3B09"/>
    <w:rsid w:val="001E3B15"/>
    <w:rsid w:val="001E3C0D"/>
    <w:rsid w:val="001E42DA"/>
    <w:rsid w:val="001E436A"/>
    <w:rsid w:val="001E44C6"/>
    <w:rsid w:val="001E45D5"/>
    <w:rsid w:val="001E462A"/>
    <w:rsid w:val="001E4C0D"/>
    <w:rsid w:val="001E506B"/>
    <w:rsid w:val="001E509F"/>
    <w:rsid w:val="001E519F"/>
    <w:rsid w:val="001E5308"/>
    <w:rsid w:val="001E5462"/>
    <w:rsid w:val="001E5475"/>
    <w:rsid w:val="001E549E"/>
    <w:rsid w:val="001E58C1"/>
    <w:rsid w:val="001E5CE5"/>
    <w:rsid w:val="001E5D29"/>
    <w:rsid w:val="001E5E9C"/>
    <w:rsid w:val="001E60BD"/>
    <w:rsid w:val="001E6125"/>
    <w:rsid w:val="001E63C7"/>
    <w:rsid w:val="001E6428"/>
    <w:rsid w:val="001E65C4"/>
    <w:rsid w:val="001E69E0"/>
    <w:rsid w:val="001E74CA"/>
    <w:rsid w:val="001E7518"/>
    <w:rsid w:val="001E758F"/>
    <w:rsid w:val="001E765C"/>
    <w:rsid w:val="001E7741"/>
    <w:rsid w:val="001E77A4"/>
    <w:rsid w:val="001E77D1"/>
    <w:rsid w:val="001E787B"/>
    <w:rsid w:val="001E79DD"/>
    <w:rsid w:val="001E79E2"/>
    <w:rsid w:val="001E7C26"/>
    <w:rsid w:val="001F0008"/>
    <w:rsid w:val="001F00BC"/>
    <w:rsid w:val="001F04D8"/>
    <w:rsid w:val="001F08E5"/>
    <w:rsid w:val="001F09AF"/>
    <w:rsid w:val="001F0A12"/>
    <w:rsid w:val="001F0C8D"/>
    <w:rsid w:val="001F1458"/>
    <w:rsid w:val="001F1A7E"/>
    <w:rsid w:val="001F1ACF"/>
    <w:rsid w:val="001F1F32"/>
    <w:rsid w:val="001F201C"/>
    <w:rsid w:val="001F219E"/>
    <w:rsid w:val="001F2403"/>
    <w:rsid w:val="001F25EF"/>
    <w:rsid w:val="001F28BF"/>
    <w:rsid w:val="001F28DC"/>
    <w:rsid w:val="001F34E1"/>
    <w:rsid w:val="001F37CE"/>
    <w:rsid w:val="001F3B91"/>
    <w:rsid w:val="001F3D7C"/>
    <w:rsid w:val="001F4136"/>
    <w:rsid w:val="001F4229"/>
    <w:rsid w:val="001F4355"/>
    <w:rsid w:val="001F452E"/>
    <w:rsid w:val="001F4650"/>
    <w:rsid w:val="001F475C"/>
    <w:rsid w:val="001F4A26"/>
    <w:rsid w:val="001F4BD7"/>
    <w:rsid w:val="001F4C53"/>
    <w:rsid w:val="001F4D28"/>
    <w:rsid w:val="001F4E1E"/>
    <w:rsid w:val="001F4F9A"/>
    <w:rsid w:val="001F51CB"/>
    <w:rsid w:val="001F5500"/>
    <w:rsid w:val="001F5646"/>
    <w:rsid w:val="001F56D3"/>
    <w:rsid w:val="001F57FF"/>
    <w:rsid w:val="001F58F5"/>
    <w:rsid w:val="001F5956"/>
    <w:rsid w:val="001F5A25"/>
    <w:rsid w:val="001F5A4A"/>
    <w:rsid w:val="001F5AE6"/>
    <w:rsid w:val="001F5B4A"/>
    <w:rsid w:val="001F5C00"/>
    <w:rsid w:val="001F5C54"/>
    <w:rsid w:val="001F5D90"/>
    <w:rsid w:val="001F61D7"/>
    <w:rsid w:val="001F6B23"/>
    <w:rsid w:val="001F6B3C"/>
    <w:rsid w:val="001F6BCF"/>
    <w:rsid w:val="001F6D8B"/>
    <w:rsid w:val="001F6EFE"/>
    <w:rsid w:val="001F7077"/>
    <w:rsid w:val="001F72B2"/>
    <w:rsid w:val="001F746B"/>
    <w:rsid w:val="001F7666"/>
    <w:rsid w:val="001F7668"/>
    <w:rsid w:val="001F7CC6"/>
    <w:rsid w:val="001F7DD5"/>
    <w:rsid w:val="00200026"/>
    <w:rsid w:val="0020021A"/>
    <w:rsid w:val="00200333"/>
    <w:rsid w:val="002003F9"/>
    <w:rsid w:val="0020057E"/>
    <w:rsid w:val="00200D57"/>
    <w:rsid w:val="00200EC8"/>
    <w:rsid w:val="0020101D"/>
    <w:rsid w:val="00201DC2"/>
    <w:rsid w:val="0020232A"/>
    <w:rsid w:val="002026BF"/>
    <w:rsid w:val="00202A30"/>
    <w:rsid w:val="00202A5F"/>
    <w:rsid w:val="00202A76"/>
    <w:rsid w:val="00202DA7"/>
    <w:rsid w:val="00202F74"/>
    <w:rsid w:val="0020318B"/>
    <w:rsid w:val="002031AB"/>
    <w:rsid w:val="00203310"/>
    <w:rsid w:val="0020347A"/>
    <w:rsid w:val="00203B39"/>
    <w:rsid w:val="00203B3C"/>
    <w:rsid w:val="00203D52"/>
    <w:rsid w:val="00203E7E"/>
    <w:rsid w:val="002040C7"/>
    <w:rsid w:val="002044AA"/>
    <w:rsid w:val="00204843"/>
    <w:rsid w:val="00204B36"/>
    <w:rsid w:val="00204BAA"/>
    <w:rsid w:val="00204CEC"/>
    <w:rsid w:val="00205236"/>
    <w:rsid w:val="0020559E"/>
    <w:rsid w:val="00205B3A"/>
    <w:rsid w:val="0020610A"/>
    <w:rsid w:val="002061D2"/>
    <w:rsid w:val="002064C9"/>
    <w:rsid w:val="00206676"/>
    <w:rsid w:val="0020687E"/>
    <w:rsid w:val="00206A85"/>
    <w:rsid w:val="00206CA4"/>
    <w:rsid w:val="002070EA"/>
    <w:rsid w:val="00207700"/>
    <w:rsid w:val="00207853"/>
    <w:rsid w:val="002079D9"/>
    <w:rsid w:val="00210269"/>
    <w:rsid w:val="002105BF"/>
    <w:rsid w:val="00210C8D"/>
    <w:rsid w:val="00210F5F"/>
    <w:rsid w:val="00210FDF"/>
    <w:rsid w:val="00210FF4"/>
    <w:rsid w:val="002111C6"/>
    <w:rsid w:val="00211279"/>
    <w:rsid w:val="002118CB"/>
    <w:rsid w:val="0021193D"/>
    <w:rsid w:val="0021199C"/>
    <w:rsid w:val="00211B2F"/>
    <w:rsid w:val="00211B32"/>
    <w:rsid w:val="00211D11"/>
    <w:rsid w:val="00211D71"/>
    <w:rsid w:val="00211FFF"/>
    <w:rsid w:val="00212222"/>
    <w:rsid w:val="00212706"/>
    <w:rsid w:val="002128AE"/>
    <w:rsid w:val="00212B11"/>
    <w:rsid w:val="00212FD8"/>
    <w:rsid w:val="0021304A"/>
    <w:rsid w:val="002130AE"/>
    <w:rsid w:val="002134DA"/>
    <w:rsid w:val="0021353E"/>
    <w:rsid w:val="002135B7"/>
    <w:rsid w:val="0021365E"/>
    <w:rsid w:val="002136AD"/>
    <w:rsid w:val="0021393D"/>
    <w:rsid w:val="00213A2B"/>
    <w:rsid w:val="00213AA0"/>
    <w:rsid w:val="00213D55"/>
    <w:rsid w:val="00213F32"/>
    <w:rsid w:val="002141CA"/>
    <w:rsid w:val="002142D3"/>
    <w:rsid w:val="0021443E"/>
    <w:rsid w:val="002144DE"/>
    <w:rsid w:val="002146CF"/>
    <w:rsid w:val="002147CD"/>
    <w:rsid w:val="002147D6"/>
    <w:rsid w:val="00214A3D"/>
    <w:rsid w:val="00214E34"/>
    <w:rsid w:val="00215065"/>
    <w:rsid w:val="002150B5"/>
    <w:rsid w:val="00215329"/>
    <w:rsid w:val="0021540F"/>
    <w:rsid w:val="00215619"/>
    <w:rsid w:val="00215821"/>
    <w:rsid w:val="00215A04"/>
    <w:rsid w:val="00215C09"/>
    <w:rsid w:val="00215CD9"/>
    <w:rsid w:val="00215D24"/>
    <w:rsid w:val="00215DA9"/>
    <w:rsid w:val="0021653C"/>
    <w:rsid w:val="00216DD8"/>
    <w:rsid w:val="0021709E"/>
    <w:rsid w:val="002171ED"/>
    <w:rsid w:val="0021726E"/>
    <w:rsid w:val="002172CA"/>
    <w:rsid w:val="002178CA"/>
    <w:rsid w:val="00217919"/>
    <w:rsid w:val="002179F6"/>
    <w:rsid w:val="00217D07"/>
    <w:rsid w:val="00217E30"/>
    <w:rsid w:val="00217E33"/>
    <w:rsid w:val="00217E48"/>
    <w:rsid w:val="00220225"/>
    <w:rsid w:val="00220EC6"/>
    <w:rsid w:val="002210AF"/>
    <w:rsid w:val="002212B8"/>
    <w:rsid w:val="002216B1"/>
    <w:rsid w:val="00221B95"/>
    <w:rsid w:val="00221CDB"/>
    <w:rsid w:val="00221CDE"/>
    <w:rsid w:val="00221D83"/>
    <w:rsid w:val="00221FFB"/>
    <w:rsid w:val="0022203A"/>
    <w:rsid w:val="00222570"/>
    <w:rsid w:val="00222764"/>
    <w:rsid w:val="00222AF1"/>
    <w:rsid w:val="00222E0F"/>
    <w:rsid w:val="00223291"/>
    <w:rsid w:val="0022357E"/>
    <w:rsid w:val="00223715"/>
    <w:rsid w:val="002238D6"/>
    <w:rsid w:val="00223C56"/>
    <w:rsid w:val="00223E4D"/>
    <w:rsid w:val="00224042"/>
    <w:rsid w:val="00224502"/>
    <w:rsid w:val="0022467C"/>
    <w:rsid w:val="0022491A"/>
    <w:rsid w:val="00224A14"/>
    <w:rsid w:val="00224A5D"/>
    <w:rsid w:val="00224D7F"/>
    <w:rsid w:val="00224E28"/>
    <w:rsid w:val="00224FBC"/>
    <w:rsid w:val="00225067"/>
    <w:rsid w:val="0022509F"/>
    <w:rsid w:val="002250A7"/>
    <w:rsid w:val="002250AE"/>
    <w:rsid w:val="002252C1"/>
    <w:rsid w:val="002256F7"/>
    <w:rsid w:val="002258B4"/>
    <w:rsid w:val="00225AAA"/>
    <w:rsid w:val="00225AEA"/>
    <w:rsid w:val="00225C2F"/>
    <w:rsid w:val="0022613D"/>
    <w:rsid w:val="002263AF"/>
    <w:rsid w:val="0022658F"/>
    <w:rsid w:val="00226668"/>
    <w:rsid w:val="002267B2"/>
    <w:rsid w:val="002268EA"/>
    <w:rsid w:val="00226C21"/>
    <w:rsid w:val="00227056"/>
    <w:rsid w:val="00227511"/>
    <w:rsid w:val="002276B7"/>
    <w:rsid w:val="002276E0"/>
    <w:rsid w:val="00227749"/>
    <w:rsid w:val="00227750"/>
    <w:rsid w:val="00227794"/>
    <w:rsid w:val="00227EC2"/>
    <w:rsid w:val="00227FA4"/>
    <w:rsid w:val="00230277"/>
    <w:rsid w:val="0023029C"/>
    <w:rsid w:val="002302FC"/>
    <w:rsid w:val="002303C6"/>
    <w:rsid w:val="00230D30"/>
    <w:rsid w:val="00230DC9"/>
    <w:rsid w:val="00230F07"/>
    <w:rsid w:val="0023153C"/>
    <w:rsid w:val="00231926"/>
    <w:rsid w:val="0023194F"/>
    <w:rsid w:val="002319B1"/>
    <w:rsid w:val="00231DFE"/>
    <w:rsid w:val="00232166"/>
    <w:rsid w:val="00232359"/>
    <w:rsid w:val="00232BAA"/>
    <w:rsid w:val="00232DF2"/>
    <w:rsid w:val="00232E14"/>
    <w:rsid w:val="00232E5E"/>
    <w:rsid w:val="00233197"/>
    <w:rsid w:val="0023356F"/>
    <w:rsid w:val="00233656"/>
    <w:rsid w:val="00233749"/>
    <w:rsid w:val="002338E8"/>
    <w:rsid w:val="00233B5C"/>
    <w:rsid w:val="00233E26"/>
    <w:rsid w:val="00233E5C"/>
    <w:rsid w:val="00233ED8"/>
    <w:rsid w:val="00233FD6"/>
    <w:rsid w:val="002346D9"/>
    <w:rsid w:val="00234B44"/>
    <w:rsid w:val="00234E56"/>
    <w:rsid w:val="00234EB2"/>
    <w:rsid w:val="0023552E"/>
    <w:rsid w:val="00235968"/>
    <w:rsid w:val="00235B35"/>
    <w:rsid w:val="00235BFB"/>
    <w:rsid w:val="00235D31"/>
    <w:rsid w:val="00236008"/>
    <w:rsid w:val="00236124"/>
    <w:rsid w:val="00236259"/>
    <w:rsid w:val="00236570"/>
    <w:rsid w:val="00236722"/>
    <w:rsid w:val="002367F0"/>
    <w:rsid w:val="00237015"/>
    <w:rsid w:val="00237507"/>
    <w:rsid w:val="0023752E"/>
    <w:rsid w:val="0023757C"/>
    <w:rsid w:val="00237677"/>
    <w:rsid w:val="00237701"/>
    <w:rsid w:val="00237C23"/>
    <w:rsid w:val="00237C25"/>
    <w:rsid w:val="00237C85"/>
    <w:rsid w:val="00237D02"/>
    <w:rsid w:val="00237EEE"/>
    <w:rsid w:val="0024032B"/>
    <w:rsid w:val="002406E1"/>
    <w:rsid w:val="00240932"/>
    <w:rsid w:val="00240A59"/>
    <w:rsid w:val="00240D88"/>
    <w:rsid w:val="0024116F"/>
    <w:rsid w:val="00241806"/>
    <w:rsid w:val="002419E1"/>
    <w:rsid w:val="00241AD7"/>
    <w:rsid w:val="00241BC3"/>
    <w:rsid w:val="002422D1"/>
    <w:rsid w:val="00242379"/>
    <w:rsid w:val="00242425"/>
    <w:rsid w:val="002425C0"/>
    <w:rsid w:val="00242766"/>
    <w:rsid w:val="00242878"/>
    <w:rsid w:val="00242CCC"/>
    <w:rsid w:val="00242EB7"/>
    <w:rsid w:val="00243051"/>
    <w:rsid w:val="002432D1"/>
    <w:rsid w:val="00243799"/>
    <w:rsid w:val="002437AD"/>
    <w:rsid w:val="002437F7"/>
    <w:rsid w:val="00243AFA"/>
    <w:rsid w:val="00243D04"/>
    <w:rsid w:val="00243E8B"/>
    <w:rsid w:val="00243F0D"/>
    <w:rsid w:val="0024431C"/>
    <w:rsid w:val="0024456F"/>
    <w:rsid w:val="00244969"/>
    <w:rsid w:val="00244EA6"/>
    <w:rsid w:val="00244EAE"/>
    <w:rsid w:val="00245424"/>
    <w:rsid w:val="0024573A"/>
    <w:rsid w:val="002457C1"/>
    <w:rsid w:val="002457E6"/>
    <w:rsid w:val="0024588B"/>
    <w:rsid w:val="00245BF1"/>
    <w:rsid w:val="00245CB3"/>
    <w:rsid w:val="00245E14"/>
    <w:rsid w:val="00245F0C"/>
    <w:rsid w:val="00245F73"/>
    <w:rsid w:val="00246133"/>
    <w:rsid w:val="002465C5"/>
    <w:rsid w:val="002465CE"/>
    <w:rsid w:val="00246682"/>
    <w:rsid w:val="0024668D"/>
    <w:rsid w:val="00246ABF"/>
    <w:rsid w:val="00246D5F"/>
    <w:rsid w:val="002474CC"/>
    <w:rsid w:val="002474F0"/>
    <w:rsid w:val="00247599"/>
    <w:rsid w:val="0024773E"/>
    <w:rsid w:val="0024780E"/>
    <w:rsid w:val="00247A12"/>
    <w:rsid w:val="00247A18"/>
    <w:rsid w:val="00247BEA"/>
    <w:rsid w:val="00247C95"/>
    <w:rsid w:val="00250018"/>
    <w:rsid w:val="0025015C"/>
    <w:rsid w:val="002501C7"/>
    <w:rsid w:val="0025093D"/>
    <w:rsid w:val="002509CE"/>
    <w:rsid w:val="002509FE"/>
    <w:rsid w:val="00250A36"/>
    <w:rsid w:val="00250E62"/>
    <w:rsid w:val="002512AA"/>
    <w:rsid w:val="00251401"/>
    <w:rsid w:val="00251693"/>
    <w:rsid w:val="002516B7"/>
    <w:rsid w:val="002517BC"/>
    <w:rsid w:val="002519D3"/>
    <w:rsid w:val="00251B4B"/>
    <w:rsid w:val="00251E29"/>
    <w:rsid w:val="00252029"/>
    <w:rsid w:val="00252072"/>
    <w:rsid w:val="00252528"/>
    <w:rsid w:val="00252719"/>
    <w:rsid w:val="00252890"/>
    <w:rsid w:val="00252898"/>
    <w:rsid w:val="00252CC6"/>
    <w:rsid w:val="00252F33"/>
    <w:rsid w:val="00252FE9"/>
    <w:rsid w:val="00253A2F"/>
    <w:rsid w:val="00253A58"/>
    <w:rsid w:val="00253F47"/>
    <w:rsid w:val="00253F7D"/>
    <w:rsid w:val="00253FB8"/>
    <w:rsid w:val="00254470"/>
    <w:rsid w:val="0025459C"/>
    <w:rsid w:val="002546A9"/>
    <w:rsid w:val="00254775"/>
    <w:rsid w:val="00254E58"/>
    <w:rsid w:val="00255036"/>
    <w:rsid w:val="00255137"/>
    <w:rsid w:val="0025526A"/>
    <w:rsid w:val="0025544B"/>
    <w:rsid w:val="00255578"/>
    <w:rsid w:val="002556B3"/>
    <w:rsid w:val="002556E1"/>
    <w:rsid w:val="00255A78"/>
    <w:rsid w:val="00255BF8"/>
    <w:rsid w:val="00255C80"/>
    <w:rsid w:val="0025616F"/>
    <w:rsid w:val="002563EC"/>
    <w:rsid w:val="00256412"/>
    <w:rsid w:val="0025664F"/>
    <w:rsid w:val="0025668E"/>
    <w:rsid w:val="002566AB"/>
    <w:rsid w:val="002568E7"/>
    <w:rsid w:val="00256ADD"/>
    <w:rsid w:val="00256BE4"/>
    <w:rsid w:val="00256D78"/>
    <w:rsid w:val="00256F85"/>
    <w:rsid w:val="002571BB"/>
    <w:rsid w:val="002576C5"/>
    <w:rsid w:val="00257B59"/>
    <w:rsid w:val="00257D10"/>
    <w:rsid w:val="00257D45"/>
    <w:rsid w:val="00257D71"/>
    <w:rsid w:val="00257F05"/>
    <w:rsid w:val="00260320"/>
    <w:rsid w:val="00260441"/>
    <w:rsid w:val="0026086F"/>
    <w:rsid w:val="00260B9E"/>
    <w:rsid w:val="00260BDC"/>
    <w:rsid w:val="00260BE4"/>
    <w:rsid w:val="00260DDA"/>
    <w:rsid w:val="00261102"/>
    <w:rsid w:val="00261486"/>
    <w:rsid w:val="00261624"/>
    <w:rsid w:val="002617C1"/>
    <w:rsid w:val="0026196C"/>
    <w:rsid w:val="00261B14"/>
    <w:rsid w:val="00261C78"/>
    <w:rsid w:val="00261D2F"/>
    <w:rsid w:val="00261DD1"/>
    <w:rsid w:val="00261FEE"/>
    <w:rsid w:val="002625B1"/>
    <w:rsid w:val="002625CD"/>
    <w:rsid w:val="0026269C"/>
    <w:rsid w:val="00262AC3"/>
    <w:rsid w:val="00262ACD"/>
    <w:rsid w:val="00262BA1"/>
    <w:rsid w:val="00262DD9"/>
    <w:rsid w:val="00262EEE"/>
    <w:rsid w:val="002630EB"/>
    <w:rsid w:val="002631AE"/>
    <w:rsid w:val="002633CF"/>
    <w:rsid w:val="00263439"/>
    <w:rsid w:val="002637D2"/>
    <w:rsid w:val="00263CF9"/>
    <w:rsid w:val="00263F17"/>
    <w:rsid w:val="002640CA"/>
    <w:rsid w:val="00264112"/>
    <w:rsid w:val="002643CA"/>
    <w:rsid w:val="00264448"/>
    <w:rsid w:val="0026454F"/>
    <w:rsid w:val="0026456E"/>
    <w:rsid w:val="0026461A"/>
    <w:rsid w:val="0026467F"/>
    <w:rsid w:val="002647AF"/>
    <w:rsid w:val="0026483C"/>
    <w:rsid w:val="002648C0"/>
    <w:rsid w:val="00264913"/>
    <w:rsid w:val="00264EEC"/>
    <w:rsid w:val="0026500C"/>
    <w:rsid w:val="00265041"/>
    <w:rsid w:val="002650E2"/>
    <w:rsid w:val="002654AF"/>
    <w:rsid w:val="002656F4"/>
    <w:rsid w:val="002658EF"/>
    <w:rsid w:val="00265BA7"/>
    <w:rsid w:val="00265CD1"/>
    <w:rsid w:val="00266140"/>
    <w:rsid w:val="0026615E"/>
    <w:rsid w:val="002664D5"/>
    <w:rsid w:val="00266567"/>
    <w:rsid w:val="00266588"/>
    <w:rsid w:val="002667CA"/>
    <w:rsid w:val="0026689A"/>
    <w:rsid w:val="002668EB"/>
    <w:rsid w:val="00266B0F"/>
    <w:rsid w:val="002671AB"/>
    <w:rsid w:val="0026730F"/>
    <w:rsid w:val="002673CC"/>
    <w:rsid w:val="00267534"/>
    <w:rsid w:val="00267B57"/>
    <w:rsid w:val="00267C0D"/>
    <w:rsid w:val="00270014"/>
    <w:rsid w:val="00270017"/>
    <w:rsid w:val="00270719"/>
    <w:rsid w:val="0027096B"/>
    <w:rsid w:val="00270B0A"/>
    <w:rsid w:val="00270D6B"/>
    <w:rsid w:val="00270E3C"/>
    <w:rsid w:val="00271269"/>
    <w:rsid w:val="002712AD"/>
    <w:rsid w:val="0027150C"/>
    <w:rsid w:val="002717B1"/>
    <w:rsid w:val="00271C81"/>
    <w:rsid w:val="00271E5E"/>
    <w:rsid w:val="00271EC6"/>
    <w:rsid w:val="00271FDE"/>
    <w:rsid w:val="00272266"/>
    <w:rsid w:val="00272751"/>
    <w:rsid w:val="00272A3D"/>
    <w:rsid w:val="00272D3A"/>
    <w:rsid w:val="00272F67"/>
    <w:rsid w:val="0027312B"/>
    <w:rsid w:val="00273231"/>
    <w:rsid w:val="0027352C"/>
    <w:rsid w:val="00273A74"/>
    <w:rsid w:val="00273A98"/>
    <w:rsid w:val="00273C44"/>
    <w:rsid w:val="00273F7F"/>
    <w:rsid w:val="00274104"/>
    <w:rsid w:val="00274C62"/>
    <w:rsid w:val="00274E39"/>
    <w:rsid w:val="00274E49"/>
    <w:rsid w:val="00275026"/>
    <w:rsid w:val="0027504D"/>
    <w:rsid w:val="002750EB"/>
    <w:rsid w:val="0027528D"/>
    <w:rsid w:val="00275370"/>
    <w:rsid w:val="002756D4"/>
    <w:rsid w:val="00275BAA"/>
    <w:rsid w:val="00275E50"/>
    <w:rsid w:val="00276574"/>
    <w:rsid w:val="00276944"/>
    <w:rsid w:val="00276CAD"/>
    <w:rsid w:val="0027701F"/>
    <w:rsid w:val="00277198"/>
    <w:rsid w:val="002772F2"/>
    <w:rsid w:val="00277399"/>
    <w:rsid w:val="002777D6"/>
    <w:rsid w:val="0027789B"/>
    <w:rsid w:val="00277C97"/>
    <w:rsid w:val="00277DBC"/>
    <w:rsid w:val="00277F8B"/>
    <w:rsid w:val="00280616"/>
    <w:rsid w:val="002806D9"/>
    <w:rsid w:val="0028080A"/>
    <w:rsid w:val="00280966"/>
    <w:rsid w:val="00281040"/>
    <w:rsid w:val="002811E7"/>
    <w:rsid w:val="002814AE"/>
    <w:rsid w:val="002816AF"/>
    <w:rsid w:val="0028194A"/>
    <w:rsid w:val="00281957"/>
    <w:rsid w:val="0028196C"/>
    <w:rsid w:val="00281B89"/>
    <w:rsid w:val="00281C23"/>
    <w:rsid w:val="00281D74"/>
    <w:rsid w:val="002822DD"/>
    <w:rsid w:val="002829CC"/>
    <w:rsid w:val="00282D50"/>
    <w:rsid w:val="00282E90"/>
    <w:rsid w:val="00282F78"/>
    <w:rsid w:val="00282FDF"/>
    <w:rsid w:val="0028302D"/>
    <w:rsid w:val="00283069"/>
    <w:rsid w:val="0028348D"/>
    <w:rsid w:val="00283730"/>
    <w:rsid w:val="00283B0F"/>
    <w:rsid w:val="00283C63"/>
    <w:rsid w:val="00283D7F"/>
    <w:rsid w:val="00283DD8"/>
    <w:rsid w:val="00284207"/>
    <w:rsid w:val="00284491"/>
    <w:rsid w:val="00284886"/>
    <w:rsid w:val="002848AC"/>
    <w:rsid w:val="00284928"/>
    <w:rsid w:val="00284D1A"/>
    <w:rsid w:val="00284D97"/>
    <w:rsid w:val="00284DD3"/>
    <w:rsid w:val="0028550E"/>
    <w:rsid w:val="0028579B"/>
    <w:rsid w:val="00285CB4"/>
    <w:rsid w:val="00285E08"/>
    <w:rsid w:val="00285E27"/>
    <w:rsid w:val="0028663E"/>
    <w:rsid w:val="0028681D"/>
    <w:rsid w:val="0028691E"/>
    <w:rsid w:val="00286980"/>
    <w:rsid w:val="00286B16"/>
    <w:rsid w:val="00286CF0"/>
    <w:rsid w:val="00286ECA"/>
    <w:rsid w:val="00286F8D"/>
    <w:rsid w:val="00287042"/>
    <w:rsid w:val="0028727C"/>
    <w:rsid w:val="00287310"/>
    <w:rsid w:val="00287486"/>
    <w:rsid w:val="002875AC"/>
    <w:rsid w:val="00287613"/>
    <w:rsid w:val="002877C0"/>
    <w:rsid w:val="002879FA"/>
    <w:rsid w:val="00287A97"/>
    <w:rsid w:val="00287E0E"/>
    <w:rsid w:val="00290099"/>
    <w:rsid w:val="002902EA"/>
    <w:rsid w:val="0029039B"/>
    <w:rsid w:val="0029098C"/>
    <w:rsid w:val="00290AAD"/>
    <w:rsid w:val="00290B60"/>
    <w:rsid w:val="00290E98"/>
    <w:rsid w:val="0029108D"/>
    <w:rsid w:val="002910BF"/>
    <w:rsid w:val="002910E0"/>
    <w:rsid w:val="002914DF"/>
    <w:rsid w:val="002914FC"/>
    <w:rsid w:val="00291DA7"/>
    <w:rsid w:val="002922CA"/>
    <w:rsid w:val="002924ED"/>
    <w:rsid w:val="00292578"/>
    <w:rsid w:val="00292752"/>
    <w:rsid w:val="0029277C"/>
    <w:rsid w:val="002927D0"/>
    <w:rsid w:val="002928F4"/>
    <w:rsid w:val="002929EE"/>
    <w:rsid w:val="00292AE0"/>
    <w:rsid w:val="00292CCA"/>
    <w:rsid w:val="00292D8F"/>
    <w:rsid w:val="00292F25"/>
    <w:rsid w:val="00293046"/>
    <w:rsid w:val="00293106"/>
    <w:rsid w:val="00293131"/>
    <w:rsid w:val="00293291"/>
    <w:rsid w:val="00293301"/>
    <w:rsid w:val="00293342"/>
    <w:rsid w:val="00293466"/>
    <w:rsid w:val="00293489"/>
    <w:rsid w:val="002937EF"/>
    <w:rsid w:val="00293B9E"/>
    <w:rsid w:val="002940C3"/>
    <w:rsid w:val="0029415D"/>
    <w:rsid w:val="00294170"/>
    <w:rsid w:val="00294327"/>
    <w:rsid w:val="002947F7"/>
    <w:rsid w:val="00294809"/>
    <w:rsid w:val="00294A66"/>
    <w:rsid w:val="00294E6B"/>
    <w:rsid w:val="00294E7D"/>
    <w:rsid w:val="002952D8"/>
    <w:rsid w:val="00295404"/>
    <w:rsid w:val="00295489"/>
    <w:rsid w:val="002954EC"/>
    <w:rsid w:val="0029582E"/>
    <w:rsid w:val="00295995"/>
    <w:rsid w:val="00295A12"/>
    <w:rsid w:val="00295A33"/>
    <w:rsid w:val="00295B63"/>
    <w:rsid w:val="00295D26"/>
    <w:rsid w:val="00296014"/>
    <w:rsid w:val="002962E6"/>
    <w:rsid w:val="00296AC9"/>
    <w:rsid w:val="00296D2B"/>
    <w:rsid w:val="00296DAE"/>
    <w:rsid w:val="002972E1"/>
    <w:rsid w:val="0029784F"/>
    <w:rsid w:val="00297A99"/>
    <w:rsid w:val="00297B82"/>
    <w:rsid w:val="00297E5E"/>
    <w:rsid w:val="002A0317"/>
    <w:rsid w:val="002A03DE"/>
    <w:rsid w:val="002A07CD"/>
    <w:rsid w:val="002A0858"/>
    <w:rsid w:val="002A0A02"/>
    <w:rsid w:val="002A0A88"/>
    <w:rsid w:val="002A0CD2"/>
    <w:rsid w:val="002A13D1"/>
    <w:rsid w:val="002A1456"/>
    <w:rsid w:val="002A1573"/>
    <w:rsid w:val="002A15D8"/>
    <w:rsid w:val="002A18D2"/>
    <w:rsid w:val="002A1924"/>
    <w:rsid w:val="002A19A2"/>
    <w:rsid w:val="002A1B34"/>
    <w:rsid w:val="002A1C16"/>
    <w:rsid w:val="002A2787"/>
    <w:rsid w:val="002A2B61"/>
    <w:rsid w:val="002A313A"/>
    <w:rsid w:val="002A3179"/>
    <w:rsid w:val="002A3257"/>
    <w:rsid w:val="002A3292"/>
    <w:rsid w:val="002A3A49"/>
    <w:rsid w:val="002A3CFD"/>
    <w:rsid w:val="002A3EA2"/>
    <w:rsid w:val="002A4132"/>
    <w:rsid w:val="002A4221"/>
    <w:rsid w:val="002A466C"/>
    <w:rsid w:val="002A46B9"/>
    <w:rsid w:val="002A4EA4"/>
    <w:rsid w:val="002A5068"/>
    <w:rsid w:val="002A52D1"/>
    <w:rsid w:val="002A5426"/>
    <w:rsid w:val="002A54A4"/>
    <w:rsid w:val="002A5B34"/>
    <w:rsid w:val="002A5BCC"/>
    <w:rsid w:val="002A648C"/>
    <w:rsid w:val="002A6680"/>
    <w:rsid w:val="002A6A37"/>
    <w:rsid w:val="002A728E"/>
    <w:rsid w:val="002A7347"/>
    <w:rsid w:val="002A75AE"/>
    <w:rsid w:val="002A7744"/>
    <w:rsid w:val="002A7A3E"/>
    <w:rsid w:val="002A7B9D"/>
    <w:rsid w:val="002A7C7E"/>
    <w:rsid w:val="002A7F12"/>
    <w:rsid w:val="002B038F"/>
    <w:rsid w:val="002B0486"/>
    <w:rsid w:val="002B0499"/>
    <w:rsid w:val="002B0BA4"/>
    <w:rsid w:val="002B0E1C"/>
    <w:rsid w:val="002B0FE7"/>
    <w:rsid w:val="002B165A"/>
    <w:rsid w:val="002B1709"/>
    <w:rsid w:val="002B1740"/>
    <w:rsid w:val="002B1820"/>
    <w:rsid w:val="002B19FE"/>
    <w:rsid w:val="002B1A67"/>
    <w:rsid w:val="002B1BA3"/>
    <w:rsid w:val="002B2485"/>
    <w:rsid w:val="002B2627"/>
    <w:rsid w:val="002B26A2"/>
    <w:rsid w:val="002B2751"/>
    <w:rsid w:val="002B3151"/>
    <w:rsid w:val="002B366D"/>
    <w:rsid w:val="002B3BD7"/>
    <w:rsid w:val="002B3C56"/>
    <w:rsid w:val="002B3D3B"/>
    <w:rsid w:val="002B3E01"/>
    <w:rsid w:val="002B3E4F"/>
    <w:rsid w:val="002B3F01"/>
    <w:rsid w:val="002B3F77"/>
    <w:rsid w:val="002B4078"/>
    <w:rsid w:val="002B40A0"/>
    <w:rsid w:val="002B45F9"/>
    <w:rsid w:val="002B4722"/>
    <w:rsid w:val="002B47A1"/>
    <w:rsid w:val="002B5080"/>
    <w:rsid w:val="002B534A"/>
    <w:rsid w:val="002B558F"/>
    <w:rsid w:val="002B569C"/>
    <w:rsid w:val="002B5875"/>
    <w:rsid w:val="002B606D"/>
    <w:rsid w:val="002B60CB"/>
    <w:rsid w:val="002B627D"/>
    <w:rsid w:val="002B649E"/>
    <w:rsid w:val="002B64A3"/>
    <w:rsid w:val="002B65C7"/>
    <w:rsid w:val="002B6882"/>
    <w:rsid w:val="002B6B4F"/>
    <w:rsid w:val="002B6C64"/>
    <w:rsid w:val="002B6CFB"/>
    <w:rsid w:val="002B6D3A"/>
    <w:rsid w:val="002B6E97"/>
    <w:rsid w:val="002B765A"/>
    <w:rsid w:val="002B7AD5"/>
    <w:rsid w:val="002B7BAF"/>
    <w:rsid w:val="002B7BEB"/>
    <w:rsid w:val="002B7CCD"/>
    <w:rsid w:val="002C0046"/>
    <w:rsid w:val="002C00E0"/>
    <w:rsid w:val="002C05F0"/>
    <w:rsid w:val="002C0661"/>
    <w:rsid w:val="002C085E"/>
    <w:rsid w:val="002C089B"/>
    <w:rsid w:val="002C093A"/>
    <w:rsid w:val="002C0C05"/>
    <w:rsid w:val="002C0FF0"/>
    <w:rsid w:val="002C17DF"/>
    <w:rsid w:val="002C1C93"/>
    <w:rsid w:val="002C1D99"/>
    <w:rsid w:val="002C2151"/>
    <w:rsid w:val="002C230C"/>
    <w:rsid w:val="002C2311"/>
    <w:rsid w:val="002C24F2"/>
    <w:rsid w:val="002C2802"/>
    <w:rsid w:val="002C2CDB"/>
    <w:rsid w:val="002C2E02"/>
    <w:rsid w:val="002C2ECE"/>
    <w:rsid w:val="002C2F3D"/>
    <w:rsid w:val="002C30C5"/>
    <w:rsid w:val="002C33B4"/>
    <w:rsid w:val="002C33B8"/>
    <w:rsid w:val="002C3623"/>
    <w:rsid w:val="002C3AE6"/>
    <w:rsid w:val="002C3C14"/>
    <w:rsid w:val="002C3CD0"/>
    <w:rsid w:val="002C3FDC"/>
    <w:rsid w:val="002C4BB7"/>
    <w:rsid w:val="002C4CF3"/>
    <w:rsid w:val="002C530A"/>
    <w:rsid w:val="002C5558"/>
    <w:rsid w:val="002C5771"/>
    <w:rsid w:val="002C57CD"/>
    <w:rsid w:val="002C5A58"/>
    <w:rsid w:val="002C5A7A"/>
    <w:rsid w:val="002C5B07"/>
    <w:rsid w:val="002C5B23"/>
    <w:rsid w:val="002C5E51"/>
    <w:rsid w:val="002C5FCC"/>
    <w:rsid w:val="002C64FE"/>
    <w:rsid w:val="002C655E"/>
    <w:rsid w:val="002C66B2"/>
    <w:rsid w:val="002C6A79"/>
    <w:rsid w:val="002C6B27"/>
    <w:rsid w:val="002C6B40"/>
    <w:rsid w:val="002C6DA1"/>
    <w:rsid w:val="002C7857"/>
    <w:rsid w:val="002C7987"/>
    <w:rsid w:val="002C7B8E"/>
    <w:rsid w:val="002C7E85"/>
    <w:rsid w:val="002C7F07"/>
    <w:rsid w:val="002C7FA2"/>
    <w:rsid w:val="002D032B"/>
    <w:rsid w:val="002D0428"/>
    <w:rsid w:val="002D0AE3"/>
    <w:rsid w:val="002D0C3B"/>
    <w:rsid w:val="002D0C57"/>
    <w:rsid w:val="002D0CEC"/>
    <w:rsid w:val="002D0E6B"/>
    <w:rsid w:val="002D0F86"/>
    <w:rsid w:val="002D0FE0"/>
    <w:rsid w:val="002D1035"/>
    <w:rsid w:val="002D14B9"/>
    <w:rsid w:val="002D15B2"/>
    <w:rsid w:val="002D1A52"/>
    <w:rsid w:val="002D1B95"/>
    <w:rsid w:val="002D1FC1"/>
    <w:rsid w:val="002D22B1"/>
    <w:rsid w:val="002D29DA"/>
    <w:rsid w:val="002D2C46"/>
    <w:rsid w:val="002D2C48"/>
    <w:rsid w:val="002D2D7A"/>
    <w:rsid w:val="002D30A9"/>
    <w:rsid w:val="002D3157"/>
    <w:rsid w:val="002D333B"/>
    <w:rsid w:val="002D347A"/>
    <w:rsid w:val="002D3499"/>
    <w:rsid w:val="002D3704"/>
    <w:rsid w:val="002D385E"/>
    <w:rsid w:val="002D387A"/>
    <w:rsid w:val="002D3A30"/>
    <w:rsid w:val="002D3A51"/>
    <w:rsid w:val="002D3BEB"/>
    <w:rsid w:val="002D3E4A"/>
    <w:rsid w:val="002D3F07"/>
    <w:rsid w:val="002D409F"/>
    <w:rsid w:val="002D40F0"/>
    <w:rsid w:val="002D4273"/>
    <w:rsid w:val="002D4719"/>
    <w:rsid w:val="002D5184"/>
    <w:rsid w:val="002D55EB"/>
    <w:rsid w:val="002D563C"/>
    <w:rsid w:val="002D58F7"/>
    <w:rsid w:val="002D5C45"/>
    <w:rsid w:val="002D5CF9"/>
    <w:rsid w:val="002D5E62"/>
    <w:rsid w:val="002D5FFF"/>
    <w:rsid w:val="002D62A4"/>
    <w:rsid w:val="002D62A9"/>
    <w:rsid w:val="002D636B"/>
    <w:rsid w:val="002D6CF0"/>
    <w:rsid w:val="002D6FFE"/>
    <w:rsid w:val="002D7047"/>
    <w:rsid w:val="002D70C1"/>
    <w:rsid w:val="002D784E"/>
    <w:rsid w:val="002D7930"/>
    <w:rsid w:val="002D7B18"/>
    <w:rsid w:val="002D7B49"/>
    <w:rsid w:val="002E090F"/>
    <w:rsid w:val="002E0967"/>
    <w:rsid w:val="002E09CD"/>
    <w:rsid w:val="002E0CBB"/>
    <w:rsid w:val="002E0CDE"/>
    <w:rsid w:val="002E0F16"/>
    <w:rsid w:val="002E0FA2"/>
    <w:rsid w:val="002E13A0"/>
    <w:rsid w:val="002E185A"/>
    <w:rsid w:val="002E1C42"/>
    <w:rsid w:val="002E1E26"/>
    <w:rsid w:val="002E2748"/>
    <w:rsid w:val="002E2A70"/>
    <w:rsid w:val="002E2B77"/>
    <w:rsid w:val="002E3095"/>
    <w:rsid w:val="002E33BF"/>
    <w:rsid w:val="002E37B5"/>
    <w:rsid w:val="002E380E"/>
    <w:rsid w:val="002E3B41"/>
    <w:rsid w:val="002E3DF0"/>
    <w:rsid w:val="002E4608"/>
    <w:rsid w:val="002E4671"/>
    <w:rsid w:val="002E4DCA"/>
    <w:rsid w:val="002E4E82"/>
    <w:rsid w:val="002E4EE2"/>
    <w:rsid w:val="002E5073"/>
    <w:rsid w:val="002E5335"/>
    <w:rsid w:val="002E561C"/>
    <w:rsid w:val="002E5734"/>
    <w:rsid w:val="002E5811"/>
    <w:rsid w:val="002E5AF7"/>
    <w:rsid w:val="002E5CF2"/>
    <w:rsid w:val="002E5F3B"/>
    <w:rsid w:val="002E660A"/>
    <w:rsid w:val="002E6799"/>
    <w:rsid w:val="002E6C40"/>
    <w:rsid w:val="002E6CCF"/>
    <w:rsid w:val="002E6E72"/>
    <w:rsid w:val="002E706B"/>
    <w:rsid w:val="002E7523"/>
    <w:rsid w:val="002E7AA9"/>
    <w:rsid w:val="002E7ABC"/>
    <w:rsid w:val="002E7BCD"/>
    <w:rsid w:val="002F0567"/>
    <w:rsid w:val="002F077D"/>
    <w:rsid w:val="002F08DC"/>
    <w:rsid w:val="002F0A6D"/>
    <w:rsid w:val="002F1017"/>
    <w:rsid w:val="002F1207"/>
    <w:rsid w:val="002F121B"/>
    <w:rsid w:val="002F1306"/>
    <w:rsid w:val="002F13EB"/>
    <w:rsid w:val="002F140F"/>
    <w:rsid w:val="002F182E"/>
    <w:rsid w:val="002F1B67"/>
    <w:rsid w:val="002F2568"/>
    <w:rsid w:val="002F2624"/>
    <w:rsid w:val="002F29CB"/>
    <w:rsid w:val="002F2B44"/>
    <w:rsid w:val="002F2EEA"/>
    <w:rsid w:val="002F3437"/>
    <w:rsid w:val="002F3659"/>
    <w:rsid w:val="002F3BAD"/>
    <w:rsid w:val="002F3E3D"/>
    <w:rsid w:val="002F4122"/>
    <w:rsid w:val="002F41C9"/>
    <w:rsid w:val="002F476D"/>
    <w:rsid w:val="002F47C6"/>
    <w:rsid w:val="002F4893"/>
    <w:rsid w:val="002F4A47"/>
    <w:rsid w:val="002F4BDF"/>
    <w:rsid w:val="002F4C97"/>
    <w:rsid w:val="002F4FC1"/>
    <w:rsid w:val="002F50A4"/>
    <w:rsid w:val="002F538A"/>
    <w:rsid w:val="002F6268"/>
    <w:rsid w:val="002F67E8"/>
    <w:rsid w:val="002F688E"/>
    <w:rsid w:val="002F6B0D"/>
    <w:rsid w:val="002F6B84"/>
    <w:rsid w:val="002F6D2F"/>
    <w:rsid w:val="002F6D5F"/>
    <w:rsid w:val="002F6E8E"/>
    <w:rsid w:val="002F76CC"/>
    <w:rsid w:val="002F77DD"/>
    <w:rsid w:val="002F78D9"/>
    <w:rsid w:val="002F793B"/>
    <w:rsid w:val="002F7AC3"/>
    <w:rsid w:val="003001EC"/>
    <w:rsid w:val="00300613"/>
    <w:rsid w:val="003008AD"/>
    <w:rsid w:val="003008E3"/>
    <w:rsid w:val="00300C7C"/>
    <w:rsid w:val="00300C85"/>
    <w:rsid w:val="00300EF7"/>
    <w:rsid w:val="0030122E"/>
    <w:rsid w:val="00301354"/>
    <w:rsid w:val="0030179B"/>
    <w:rsid w:val="00301BE1"/>
    <w:rsid w:val="00302431"/>
    <w:rsid w:val="003026DD"/>
    <w:rsid w:val="003026F0"/>
    <w:rsid w:val="0030276D"/>
    <w:rsid w:val="00302946"/>
    <w:rsid w:val="00302A86"/>
    <w:rsid w:val="00302B76"/>
    <w:rsid w:val="00302C8D"/>
    <w:rsid w:val="00302D6C"/>
    <w:rsid w:val="00302E3D"/>
    <w:rsid w:val="00303524"/>
    <w:rsid w:val="00303BB2"/>
    <w:rsid w:val="00303F41"/>
    <w:rsid w:val="00303F7C"/>
    <w:rsid w:val="003041B3"/>
    <w:rsid w:val="003041B9"/>
    <w:rsid w:val="003041DB"/>
    <w:rsid w:val="0030429A"/>
    <w:rsid w:val="003042F3"/>
    <w:rsid w:val="00304447"/>
    <w:rsid w:val="0030452E"/>
    <w:rsid w:val="003047CA"/>
    <w:rsid w:val="003048A6"/>
    <w:rsid w:val="003049D1"/>
    <w:rsid w:val="00304A1C"/>
    <w:rsid w:val="00304AA6"/>
    <w:rsid w:val="00304E0B"/>
    <w:rsid w:val="00304E21"/>
    <w:rsid w:val="00304E88"/>
    <w:rsid w:val="00305165"/>
    <w:rsid w:val="003051C3"/>
    <w:rsid w:val="00305253"/>
    <w:rsid w:val="003052FF"/>
    <w:rsid w:val="003053C2"/>
    <w:rsid w:val="003054C3"/>
    <w:rsid w:val="0030573F"/>
    <w:rsid w:val="00305895"/>
    <w:rsid w:val="00305CA8"/>
    <w:rsid w:val="00305DBB"/>
    <w:rsid w:val="00305DE3"/>
    <w:rsid w:val="003061A9"/>
    <w:rsid w:val="00306342"/>
    <w:rsid w:val="003065FD"/>
    <w:rsid w:val="0030679B"/>
    <w:rsid w:val="003067B0"/>
    <w:rsid w:val="00306914"/>
    <w:rsid w:val="00306DA0"/>
    <w:rsid w:val="00306FED"/>
    <w:rsid w:val="003076A7"/>
    <w:rsid w:val="003078FC"/>
    <w:rsid w:val="00307C81"/>
    <w:rsid w:val="003100B4"/>
    <w:rsid w:val="00310475"/>
    <w:rsid w:val="003107E7"/>
    <w:rsid w:val="00310AF2"/>
    <w:rsid w:val="00310CE4"/>
    <w:rsid w:val="00310D7E"/>
    <w:rsid w:val="0031100E"/>
    <w:rsid w:val="00311194"/>
    <w:rsid w:val="0031125F"/>
    <w:rsid w:val="0031136C"/>
    <w:rsid w:val="0031177F"/>
    <w:rsid w:val="00311B7B"/>
    <w:rsid w:val="00311F51"/>
    <w:rsid w:val="003122E8"/>
    <w:rsid w:val="00312635"/>
    <w:rsid w:val="00312B96"/>
    <w:rsid w:val="003132F8"/>
    <w:rsid w:val="00313B7C"/>
    <w:rsid w:val="00313C32"/>
    <w:rsid w:val="00314017"/>
    <w:rsid w:val="00314034"/>
    <w:rsid w:val="00314397"/>
    <w:rsid w:val="003144BA"/>
    <w:rsid w:val="00314523"/>
    <w:rsid w:val="00314645"/>
    <w:rsid w:val="003149A3"/>
    <w:rsid w:val="00315000"/>
    <w:rsid w:val="0031550B"/>
    <w:rsid w:val="00315540"/>
    <w:rsid w:val="00315A9D"/>
    <w:rsid w:val="00315E08"/>
    <w:rsid w:val="00316755"/>
    <w:rsid w:val="003169B6"/>
    <w:rsid w:val="00316C69"/>
    <w:rsid w:val="003171CB"/>
    <w:rsid w:val="00317261"/>
    <w:rsid w:val="0031736F"/>
    <w:rsid w:val="00317766"/>
    <w:rsid w:val="003179CF"/>
    <w:rsid w:val="00317E3D"/>
    <w:rsid w:val="00320010"/>
    <w:rsid w:val="003201FF"/>
    <w:rsid w:val="00320453"/>
    <w:rsid w:val="00320682"/>
    <w:rsid w:val="00320862"/>
    <w:rsid w:val="00320881"/>
    <w:rsid w:val="003214CE"/>
    <w:rsid w:val="00321665"/>
    <w:rsid w:val="0032198E"/>
    <w:rsid w:val="00321A5B"/>
    <w:rsid w:val="00321D00"/>
    <w:rsid w:val="00321D56"/>
    <w:rsid w:val="00321F48"/>
    <w:rsid w:val="00321FB7"/>
    <w:rsid w:val="003220B2"/>
    <w:rsid w:val="003220F3"/>
    <w:rsid w:val="0032220B"/>
    <w:rsid w:val="0032238A"/>
    <w:rsid w:val="00322A19"/>
    <w:rsid w:val="00322B6A"/>
    <w:rsid w:val="00322CD0"/>
    <w:rsid w:val="00322ED9"/>
    <w:rsid w:val="00322FA3"/>
    <w:rsid w:val="00323450"/>
    <w:rsid w:val="00323BC5"/>
    <w:rsid w:val="00323BEB"/>
    <w:rsid w:val="00324673"/>
    <w:rsid w:val="00324B9B"/>
    <w:rsid w:val="00324D46"/>
    <w:rsid w:val="00324DE1"/>
    <w:rsid w:val="003250DD"/>
    <w:rsid w:val="003257A7"/>
    <w:rsid w:val="003257CD"/>
    <w:rsid w:val="00325B0D"/>
    <w:rsid w:val="00325B56"/>
    <w:rsid w:val="00325DF1"/>
    <w:rsid w:val="0032655A"/>
    <w:rsid w:val="003268E8"/>
    <w:rsid w:val="00326C01"/>
    <w:rsid w:val="00326D93"/>
    <w:rsid w:val="003273F4"/>
    <w:rsid w:val="0032744B"/>
    <w:rsid w:val="00327607"/>
    <w:rsid w:val="00327618"/>
    <w:rsid w:val="00327764"/>
    <w:rsid w:val="003279D2"/>
    <w:rsid w:val="00327C5F"/>
    <w:rsid w:val="00327FFA"/>
    <w:rsid w:val="00330032"/>
    <w:rsid w:val="00330315"/>
    <w:rsid w:val="003308CB"/>
    <w:rsid w:val="00330F5F"/>
    <w:rsid w:val="003313FF"/>
    <w:rsid w:val="00331867"/>
    <w:rsid w:val="00331871"/>
    <w:rsid w:val="003319F5"/>
    <w:rsid w:val="00331AB5"/>
    <w:rsid w:val="0033227C"/>
    <w:rsid w:val="003322F4"/>
    <w:rsid w:val="0033265D"/>
    <w:rsid w:val="0033272D"/>
    <w:rsid w:val="003328DC"/>
    <w:rsid w:val="00332BE1"/>
    <w:rsid w:val="00332D95"/>
    <w:rsid w:val="00333302"/>
    <w:rsid w:val="00333880"/>
    <w:rsid w:val="0033389B"/>
    <w:rsid w:val="003338D8"/>
    <w:rsid w:val="0033391C"/>
    <w:rsid w:val="00333CAD"/>
    <w:rsid w:val="00333F29"/>
    <w:rsid w:val="0033435C"/>
    <w:rsid w:val="00334AA7"/>
    <w:rsid w:val="0033504D"/>
    <w:rsid w:val="00335190"/>
    <w:rsid w:val="003351D9"/>
    <w:rsid w:val="0033532E"/>
    <w:rsid w:val="00335BDA"/>
    <w:rsid w:val="00335CE3"/>
    <w:rsid w:val="00335E9E"/>
    <w:rsid w:val="00336146"/>
    <w:rsid w:val="0033645D"/>
    <w:rsid w:val="003364E2"/>
    <w:rsid w:val="00336662"/>
    <w:rsid w:val="003366AE"/>
    <w:rsid w:val="003369E3"/>
    <w:rsid w:val="003369EE"/>
    <w:rsid w:val="00336A2E"/>
    <w:rsid w:val="00336A91"/>
    <w:rsid w:val="00336DB6"/>
    <w:rsid w:val="00336F08"/>
    <w:rsid w:val="003370CB"/>
    <w:rsid w:val="0033723E"/>
    <w:rsid w:val="0033735C"/>
    <w:rsid w:val="0033798E"/>
    <w:rsid w:val="00337F55"/>
    <w:rsid w:val="00337F79"/>
    <w:rsid w:val="0034027E"/>
    <w:rsid w:val="00340626"/>
    <w:rsid w:val="00340750"/>
    <w:rsid w:val="00340B0D"/>
    <w:rsid w:val="00340B2F"/>
    <w:rsid w:val="00340CA2"/>
    <w:rsid w:val="00340ED5"/>
    <w:rsid w:val="00340F9F"/>
    <w:rsid w:val="00341359"/>
    <w:rsid w:val="003413D6"/>
    <w:rsid w:val="0034152B"/>
    <w:rsid w:val="003416C2"/>
    <w:rsid w:val="00341C05"/>
    <w:rsid w:val="00341D0F"/>
    <w:rsid w:val="00341EF2"/>
    <w:rsid w:val="003420BF"/>
    <w:rsid w:val="003423CA"/>
    <w:rsid w:val="003425BE"/>
    <w:rsid w:val="0034287B"/>
    <w:rsid w:val="00342965"/>
    <w:rsid w:val="003429B5"/>
    <w:rsid w:val="00342BA1"/>
    <w:rsid w:val="00342BE0"/>
    <w:rsid w:val="00342FDE"/>
    <w:rsid w:val="0034313B"/>
    <w:rsid w:val="003431AA"/>
    <w:rsid w:val="003431F1"/>
    <w:rsid w:val="00343F07"/>
    <w:rsid w:val="003443FB"/>
    <w:rsid w:val="00344488"/>
    <w:rsid w:val="003444CF"/>
    <w:rsid w:val="003445AC"/>
    <w:rsid w:val="00344760"/>
    <w:rsid w:val="00344B24"/>
    <w:rsid w:val="00344E5B"/>
    <w:rsid w:val="0034500C"/>
    <w:rsid w:val="003450B8"/>
    <w:rsid w:val="00345185"/>
    <w:rsid w:val="003458B8"/>
    <w:rsid w:val="00345B6E"/>
    <w:rsid w:val="003461F2"/>
    <w:rsid w:val="00346411"/>
    <w:rsid w:val="003466AD"/>
    <w:rsid w:val="003469AA"/>
    <w:rsid w:val="00346F1B"/>
    <w:rsid w:val="00347337"/>
    <w:rsid w:val="003473BB"/>
    <w:rsid w:val="003473FB"/>
    <w:rsid w:val="00347505"/>
    <w:rsid w:val="00347690"/>
    <w:rsid w:val="00347719"/>
    <w:rsid w:val="00347A1E"/>
    <w:rsid w:val="00347C45"/>
    <w:rsid w:val="00347D45"/>
    <w:rsid w:val="00347DF7"/>
    <w:rsid w:val="00347F2F"/>
    <w:rsid w:val="00347FD5"/>
    <w:rsid w:val="003502F1"/>
    <w:rsid w:val="003503E7"/>
    <w:rsid w:val="00350557"/>
    <w:rsid w:val="003507E2"/>
    <w:rsid w:val="00350967"/>
    <w:rsid w:val="00350D13"/>
    <w:rsid w:val="00350EDC"/>
    <w:rsid w:val="003510D7"/>
    <w:rsid w:val="0035152F"/>
    <w:rsid w:val="00351630"/>
    <w:rsid w:val="00351C0B"/>
    <w:rsid w:val="00351FC7"/>
    <w:rsid w:val="003520DC"/>
    <w:rsid w:val="00352337"/>
    <w:rsid w:val="003524DB"/>
    <w:rsid w:val="00352522"/>
    <w:rsid w:val="003525B9"/>
    <w:rsid w:val="003528A2"/>
    <w:rsid w:val="0035296F"/>
    <w:rsid w:val="00352E69"/>
    <w:rsid w:val="00352EE8"/>
    <w:rsid w:val="00352EF6"/>
    <w:rsid w:val="003530CF"/>
    <w:rsid w:val="003530D4"/>
    <w:rsid w:val="00353333"/>
    <w:rsid w:val="00353907"/>
    <w:rsid w:val="00353C8B"/>
    <w:rsid w:val="00353E7D"/>
    <w:rsid w:val="003542D4"/>
    <w:rsid w:val="003543DA"/>
    <w:rsid w:val="00354514"/>
    <w:rsid w:val="00354581"/>
    <w:rsid w:val="0035483F"/>
    <w:rsid w:val="00354B65"/>
    <w:rsid w:val="00354B6B"/>
    <w:rsid w:val="00354B7A"/>
    <w:rsid w:val="00354CE4"/>
    <w:rsid w:val="00355439"/>
    <w:rsid w:val="003555F5"/>
    <w:rsid w:val="00355B3F"/>
    <w:rsid w:val="00356023"/>
    <w:rsid w:val="0035616C"/>
    <w:rsid w:val="00356450"/>
    <w:rsid w:val="00356A2D"/>
    <w:rsid w:val="00356ADE"/>
    <w:rsid w:val="00356DB8"/>
    <w:rsid w:val="00356EF5"/>
    <w:rsid w:val="00357466"/>
    <w:rsid w:val="0035798B"/>
    <w:rsid w:val="00357999"/>
    <w:rsid w:val="00357A18"/>
    <w:rsid w:val="00357EF9"/>
    <w:rsid w:val="00357FCD"/>
    <w:rsid w:val="00360101"/>
    <w:rsid w:val="00360125"/>
    <w:rsid w:val="00360224"/>
    <w:rsid w:val="00360258"/>
    <w:rsid w:val="0036088E"/>
    <w:rsid w:val="003608DB"/>
    <w:rsid w:val="00360AF5"/>
    <w:rsid w:val="00360D85"/>
    <w:rsid w:val="00360F07"/>
    <w:rsid w:val="00361109"/>
    <w:rsid w:val="00361A6B"/>
    <w:rsid w:val="0036202E"/>
    <w:rsid w:val="00362166"/>
    <w:rsid w:val="003623F6"/>
    <w:rsid w:val="00362556"/>
    <w:rsid w:val="00362709"/>
    <w:rsid w:val="0036283F"/>
    <w:rsid w:val="00362CBC"/>
    <w:rsid w:val="00362F6B"/>
    <w:rsid w:val="00362F78"/>
    <w:rsid w:val="00363328"/>
    <w:rsid w:val="0036335B"/>
    <w:rsid w:val="003636C9"/>
    <w:rsid w:val="00363D5D"/>
    <w:rsid w:val="00363F44"/>
    <w:rsid w:val="003641FE"/>
    <w:rsid w:val="003642E2"/>
    <w:rsid w:val="003644C1"/>
    <w:rsid w:val="0036461E"/>
    <w:rsid w:val="0036495E"/>
    <w:rsid w:val="00364B70"/>
    <w:rsid w:val="00364DAF"/>
    <w:rsid w:val="00364F6F"/>
    <w:rsid w:val="003652AD"/>
    <w:rsid w:val="0036554A"/>
    <w:rsid w:val="003656AA"/>
    <w:rsid w:val="00365C98"/>
    <w:rsid w:val="00365EE8"/>
    <w:rsid w:val="00365F42"/>
    <w:rsid w:val="00365F6D"/>
    <w:rsid w:val="00366965"/>
    <w:rsid w:val="003671D4"/>
    <w:rsid w:val="00367409"/>
    <w:rsid w:val="00367433"/>
    <w:rsid w:val="0036748C"/>
    <w:rsid w:val="00367716"/>
    <w:rsid w:val="00367745"/>
    <w:rsid w:val="00367816"/>
    <w:rsid w:val="00367ACE"/>
    <w:rsid w:val="00367B01"/>
    <w:rsid w:val="00367DCF"/>
    <w:rsid w:val="00367F9B"/>
    <w:rsid w:val="003700CC"/>
    <w:rsid w:val="00370536"/>
    <w:rsid w:val="00370E4B"/>
    <w:rsid w:val="00370F6E"/>
    <w:rsid w:val="00371062"/>
    <w:rsid w:val="00371091"/>
    <w:rsid w:val="003714B2"/>
    <w:rsid w:val="00371518"/>
    <w:rsid w:val="0037158B"/>
    <w:rsid w:val="003717F1"/>
    <w:rsid w:val="00371BC0"/>
    <w:rsid w:val="00371ECA"/>
    <w:rsid w:val="0037209F"/>
    <w:rsid w:val="003726B7"/>
    <w:rsid w:val="00372984"/>
    <w:rsid w:val="00372AE1"/>
    <w:rsid w:val="00372B4A"/>
    <w:rsid w:val="00373254"/>
    <w:rsid w:val="003733D9"/>
    <w:rsid w:val="003734B6"/>
    <w:rsid w:val="00373684"/>
    <w:rsid w:val="003738DA"/>
    <w:rsid w:val="00373990"/>
    <w:rsid w:val="00373AFB"/>
    <w:rsid w:val="00373CCC"/>
    <w:rsid w:val="00373F24"/>
    <w:rsid w:val="0037417E"/>
    <w:rsid w:val="00374622"/>
    <w:rsid w:val="0037480E"/>
    <w:rsid w:val="00374A5D"/>
    <w:rsid w:val="00374E3A"/>
    <w:rsid w:val="00374FE9"/>
    <w:rsid w:val="0037539C"/>
    <w:rsid w:val="00375424"/>
    <w:rsid w:val="003754E1"/>
    <w:rsid w:val="00375597"/>
    <w:rsid w:val="00375630"/>
    <w:rsid w:val="00375BF6"/>
    <w:rsid w:val="00375CCC"/>
    <w:rsid w:val="00375EE8"/>
    <w:rsid w:val="00375FDA"/>
    <w:rsid w:val="00376585"/>
    <w:rsid w:val="00376651"/>
    <w:rsid w:val="00376816"/>
    <w:rsid w:val="00376844"/>
    <w:rsid w:val="00376D11"/>
    <w:rsid w:val="00376DE8"/>
    <w:rsid w:val="00376F1D"/>
    <w:rsid w:val="003770C0"/>
    <w:rsid w:val="00377319"/>
    <w:rsid w:val="0037731B"/>
    <w:rsid w:val="0037740F"/>
    <w:rsid w:val="003774D4"/>
    <w:rsid w:val="0037768C"/>
    <w:rsid w:val="0037799A"/>
    <w:rsid w:val="00377A24"/>
    <w:rsid w:val="00377ACD"/>
    <w:rsid w:val="00377E52"/>
    <w:rsid w:val="003800DD"/>
    <w:rsid w:val="0038026E"/>
    <w:rsid w:val="0038028B"/>
    <w:rsid w:val="003805D6"/>
    <w:rsid w:val="003806E4"/>
    <w:rsid w:val="00380AC1"/>
    <w:rsid w:val="00380E9B"/>
    <w:rsid w:val="00381015"/>
    <w:rsid w:val="003814F7"/>
    <w:rsid w:val="00381727"/>
    <w:rsid w:val="0038196D"/>
    <w:rsid w:val="00381E30"/>
    <w:rsid w:val="0038251C"/>
    <w:rsid w:val="0038264C"/>
    <w:rsid w:val="00382880"/>
    <w:rsid w:val="00382A18"/>
    <w:rsid w:val="00382AA2"/>
    <w:rsid w:val="00382ABE"/>
    <w:rsid w:val="00382ACB"/>
    <w:rsid w:val="00382B3E"/>
    <w:rsid w:val="00382DAE"/>
    <w:rsid w:val="00382F65"/>
    <w:rsid w:val="003830FC"/>
    <w:rsid w:val="003839CE"/>
    <w:rsid w:val="00383B86"/>
    <w:rsid w:val="00383C9A"/>
    <w:rsid w:val="00383D49"/>
    <w:rsid w:val="00383F4D"/>
    <w:rsid w:val="003843D7"/>
    <w:rsid w:val="0038452B"/>
    <w:rsid w:val="0038459E"/>
    <w:rsid w:val="00384611"/>
    <w:rsid w:val="00384A7A"/>
    <w:rsid w:val="00384ABB"/>
    <w:rsid w:val="00384AE0"/>
    <w:rsid w:val="00384C20"/>
    <w:rsid w:val="00384E52"/>
    <w:rsid w:val="0038500C"/>
    <w:rsid w:val="00385295"/>
    <w:rsid w:val="0038532C"/>
    <w:rsid w:val="0038556F"/>
    <w:rsid w:val="0038577C"/>
    <w:rsid w:val="0038578E"/>
    <w:rsid w:val="00385CB4"/>
    <w:rsid w:val="00385D1A"/>
    <w:rsid w:val="00385D43"/>
    <w:rsid w:val="00385DBC"/>
    <w:rsid w:val="00385E39"/>
    <w:rsid w:val="0038630D"/>
    <w:rsid w:val="003864AE"/>
    <w:rsid w:val="003865A8"/>
    <w:rsid w:val="003869B3"/>
    <w:rsid w:val="00386A36"/>
    <w:rsid w:val="00386B20"/>
    <w:rsid w:val="00386B7F"/>
    <w:rsid w:val="00386BB5"/>
    <w:rsid w:val="00386D61"/>
    <w:rsid w:val="00386D7C"/>
    <w:rsid w:val="00386F24"/>
    <w:rsid w:val="00386F4D"/>
    <w:rsid w:val="00386FED"/>
    <w:rsid w:val="00387056"/>
    <w:rsid w:val="0038739C"/>
    <w:rsid w:val="003874E6"/>
    <w:rsid w:val="0038755D"/>
    <w:rsid w:val="00387AA7"/>
    <w:rsid w:val="00387F13"/>
    <w:rsid w:val="00387FA6"/>
    <w:rsid w:val="00390051"/>
    <w:rsid w:val="003902B6"/>
    <w:rsid w:val="003903E6"/>
    <w:rsid w:val="0039094B"/>
    <w:rsid w:val="00390A64"/>
    <w:rsid w:val="00390BF7"/>
    <w:rsid w:val="00390C65"/>
    <w:rsid w:val="003911BC"/>
    <w:rsid w:val="00391227"/>
    <w:rsid w:val="003912A4"/>
    <w:rsid w:val="003912C4"/>
    <w:rsid w:val="00391378"/>
    <w:rsid w:val="003914C8"/>
    <w:rsid w:val="003915B0"/>
    <w:rsid w:val="003915F3"/>
    <w:rsid w:val="003917A8"/>
    <w:rsid w:val="00391914"/>
    <w:rsid w:val="00391CD1"/>
    <w:rsid w:val="003922BF"/>
    <w:rsid w:val="003927BF"/>
    <w:rsid w:val="00392A69"/>
    <w:rsid w:val="00392B41"/>
    <w:rsid w:val="00392E4E"/>
    <w:rsid w:val="003930EB"/>
    <w:rsid w:val="003931D8"/>
    <w:rsid w:val="00393229"/>
    <w:rsid w:val="00393509"/>
    <w:rsid w:val="00393569"/>
    <w:rsid w:val="00393C42"/>
    <w:rsid w:val="00393EFB"/>
    <w:rsid w:val="003942F1"/>
    <w:rsid w:val="00394705"/>
    <w:rsid w:val="0039480F"/>
    <w:rsid w:val="00394B28"/>
    <w:rsid w:val="003950BC"/>
    <w:rsid w:val="00395151"/>
    <w:rsid w:val="0039525E"/>
    <w:rsid w:val="00395514"/>
    <w:rsid w:val="0039554E"/>
    <w:rsid w:val="003957BB"/>
    <w:rsid w:val="00395C25"/>
    <w:rsid w:val="00395C2B"/>
    <w:rsid w:val="00395C4B"/>
    <w:rsid w:val="00395C7A"/>
    <w:rsid w:val="00395CC6"/>
    <w:rsid w:val="00395E22"/>
    <w:rsid w:val="00395FEF"/>
    <w:rsid w:val="003961B5"/>
    <w:rsid w:val="003962D6"/>
    <w:rsid w:val="0039638D"/>
    <w:rsid w:val="00396828"/>
    <w:rsid w:val="00396E02"/>
    <w:rsid w:val="00397119"/>
    <w:rsid w:val="0039723A"/>
    <w:rsid w:val="0039729F"/>
    <w:rsid w:val="003975C0"/>
    <w:rsid w:val="0039781F"/>
    <w:rsid w:val="00397D6F"/>
    <w:rsid w:val="003A0146"/>
    <w:rsid w:val="003A03F0"/>
    <w:rsid w:val="003A0743"/>
    <w:rsid w:val="003A0AB8"/>
    <w:rsid w:val="003A0C86"/>
    <w:rsid w:val="003A0EBC"/>
    <w:rsid w:val="003A193D"/>
    <w:rsid w:val="003A21D7"/>
    <w:rsid w:val="003A24F9"/>
    <w:rsid w:val="003A25B0"/>
    <w:rsid w:val="003A270F"/>
    <w:rsid w:val="003A2A9A"/>
    <w:rsid w:val="003A2E76"/>
    <w:rsid w:val="003A2EA3"/>
    <w:rsid w:val="003A309A"/>
    <w:rsid w:val="003A3237"/>
    <w:rsid w:val="003A3314"/>
    <w:rsid w:val="003A335C"/>
    <w:rsid w:val="003A36D3"/>
    <w:rsid w:val="003A3B8F"/>
    <w:rsid w:val="003A3E5B"/>
    <w:rsid w:val="003A3EF6"/>
    <w:rsid w:val="003A4264"/>
    <w:rsid w:val="003A4296"/>
    <w:rsid w:val="003A42CC"/>
    <w:rsid w:val="003A4319"/>
    <w:rsid w:val="003A4523"/>
    <w:rsid w:val="003A4954"/>
    <w:rsid w:val="003A4AA7"/>
    <w:rsid w:val="003A4AD7"/>
    <w:rsid w:val="003A4D30"/>
    <w:rsid w:val="003A50F8"/>
    <w:rsid w:val="003A52C4"/>
    <w:rsid w:val="003A5735"/>
    <w:rsid w:val="003A58C7"/>
    <w:rsid w:val="003A5ACF"/>
    <w:rsid w:val="003A618E"/>
    <w:rsid w:val="003A657A"/>
    <w:rsid w:val="003A66D7"/>
    <w:rsid w:val="003A66E0"/>
    <w:rsid w:val="003A6CDC"/>
    <w:rsid w:val="003A7265"/>
    <w:rsid w:val="003A7367"/>
    <w:rsid w:val="003A797C"/>
    <w:rsid w:val="003A7A6F"/>
    <w:rsid w:val="003A7FF6"/>
    <w:rsid w:val="003B03F4"/>
    <w:rsid w:val="003B0413"/>
    <w:rsid w:val="003B0677"/>
    <w:rsid w:val="003B083A"/>
    <w:rsid w:val="003B0A0F"/>
    <w:rsid w:val="003B0B9C"/>
    <w:rsid w:val="003B0D40"/>
    <w:rsid w:val="003B0EC1"/>
    <w:rsid w:val="003B12DD"/>
    <w:rsid w:val="003B16D2"/>
    <w:rsid w:val="003B192B"/>
    <w:rsid w:val="003B1B21"/>
    <w:rsid w:val="003B1C17"/>
    <w:rsid w:val="003B1CB6"/>
    <w:rsid w:val="003B1CE8"/>
    <w:rsid w:val="003B202F"/>
    <w:rsid w:val="003B206D"/>
    <w:rsid w:val="003B209A"/>
    <w:rsid w:val="003B20B8"/>
    <w:rsid w:val="003B2198"/>
    <w:rsid w:val="003B2498"/>
    <w:rsid w:val="003B28BC"/>
    <w:rsid w:val="003B29FE"/>
    <w:rsid w:val="003B2FDD"/>
    <w:rsid w:val="003B32F5"/>
    <w:rsid w:val="003B38CD"/>
    <w:rsid w:val="003B3A56"/>
    <w:rsid w:val="003B3D10"/>
    <w:rsid w:val="003B3F0A"/>
    <w:rsid w:val="003B44FE"/>
    <w:rsid w:val="003B46B5"/>
    <w:rsid w:val="003B4849"/>
    <w:rsid w:val="003B4A40"/>
    <w:rsid w:val="003B4A70"/>
    <w:rsid w:val="003B4D70"/>
    <w:rsid w:val="003B4EDF"/>
    <w:rsid w:val="003B4F2E"/>
    <w:rsid w:val="003B55EE"/>
    <w:rsid w:val="003B58B3"/>
    <w:rsid w:val="003B5B16"/>
    <w:rsid w:val="003B5C09"/>
    <w:rsid w:val="003B5C97"/>
    <w:rsid w:val="003B5D35"/>
    <w:rsid w:val="003B605D"/>
    <w:rsid w:val="003B6110"/>
    <w:rsid w:val="003B6255"/>
    <w:rsid w:val="003B632F"/>
    <w:rsid w:val="003B6346"/>
    <w:rsid w:val="003B6427"/>
    <w:rsid w:val="003B65D2"/>
    <w:rsid w:val="003B68ED"/>
    <w:rsid w:val="003B6960"/>
    <w:rsid w:val="003B6A9C"/>
    <w:rsid w:val="003B6B94"/>
    <w:rsid w:val="003B6C95"/>
    <w:rsid w:val="003B6DB5"/>
    <w:rsid w:val="003B6E55"/>
    <w:rsid w:val="003B7014"/>
    <w:rsid w:val="003B76BF"/>
    <w:rsid w:val="003B7716"/>
    <w:rsid w:val="003B7A53"/>
    <w:rsid w:val="003B7B24"/>
    <w:rsid w:val="003B7BB9"/>
    <w:rsid w:val="003B7BEB"/>
    <w:rsid w:val="003B7C5A"/>
    <w:rsid w:val="003B7ECE"/>
    <w:rsid w:val="003C00AB"/>
    <w:rsid w:val="003C041C"/>
    <w:rsid w:val="003C0F40"/>
    <w:rsid w:val="003C0F54"/>
    <w:rsid w:val="003C0FEF"/>
    <w:rsid w:val="003C121D"/>
    <w:rsid w:val="003C1658"/>
    <w:rsid w:val="003C1867"/>
    <w:rsid w:val="003C188E"/>
    <w:rsid w:val="003C1937"/>
    <w:rsid w:val="003C1EF3"/>
    <w:rsid w:val="003C260C"/>
    <w:rsid w:val="003C277F"/>
    <w:rsid w:val="003C281D"/>
    <w:rsid w:val="003C2897"/>
    <w:rsid w:val="003C29EE"/>
    <w:rsid w:val="003C2C8D"/>
    <w:rsid w:val="003C2E50"/>
    <w:rsid w:val="003C3016"/>
    <w:rsid w:val="003C319E"/>
    <w:rsid w:val="003C33A3"/>
    <w:rsid w:val="003C387E"/>
    <w:rsid w:val="003C3ACE"/>
    <w:rsid w:val="003C3CCD"/>
    <w:rsid w:val="003C3D25"/>
    <w:rsid w:val="003C3F26"/>
    <w:rsid w:val="003C40A4"/>
    <w:rsid w:val="003C44E3"/>
    <w:rsid w:val="003C45A6"/>
    <w:rsid w:val="003C4DC1"/>
    <w:rsid w:val="003C4ED1"/>
    <w:rsid w:val="003C4EEA"/>
    <w:rsid w:val="003C511B"/>
    <w:rsid w:val="003C53A9"/>
    <w:rsid w:val="003C53B5"/>
    <w:rsid w:val="003C587F"/>
    <w:rsid w:val="003C5A7A"/>
    <w:rsid w:val="003C6073"/>
    <w:rsid w:val="003C6114"/>
    <w:rsid w:val="003C64B5"/>
    <w:rsid w:val="003C64F7"/>
    <w:rsid w:val="003C675B"/>
    <w:rsid w:val="003C690E"/>
    <w:rsid w:val="003C6C49"/>
    <w:rsid w:val="003C6D10"/>
    <w:rsid w:val="003C6D72"/>
    <w:rsid w:val="003C6FBE"/>
    <w:rsid w:val="003C6FFB"/>
    <w:rsid w:val="003C74C2"/>
    <w:rsid w:val="003C757F"/>
    <w:rsid w:val="003C75B1"/>
    <w:rsid w:val="003C75B4"/>
    <w:rsid w:val="003C7820"/>
    <w:rsid w:val="003C79A3"/>
    <w:rsid w:val="003C7A19"/>
    <w:rsid w:val="003D00D2"/>
    <w:rsid w:val="003D056E"/>
    <w:rsid w:val="003D0A16"/>
    <w:rsid w:val="003D0AFB"/>
    <w:rsid w:val="003D0BD2"/>
    <w:rsid w:val="003D0BE3"/>
    <w:rsid w:val="003D1331"/>
    <w:rsid w:val="003D1730"/>
    <w:rsid w:val="003D184B"/>
    <w:rsid w:val="003D1C0A"/>
    <w:rsid w:val="003D1C91"/>
    <w:rsid w:val="003D203F"/>
    <w:rsid w:val="003D21F7"/>
    <w:rsid w:val="003D228D"/>
    <w:rsid w:val="003D23EE"/>
    <w:rsid w:val="003D2589"/>
    <w:rsid w:val="003D25F4"/>
    <w:rsid w:val="003D26D5"/>
    <w:rsid w:val="003D26F7"/>
    <w:rsid w:val="003D2CD5"/>
    <w:rsid w:val="003D2CEE"/>
    <w:rsid w:val="003D2F99"/>
    <w:rsid w:val="003D30D6"/>
    <w:rsid w:val="003D34E8"/>
    <w:rsid w:val="003D35E1"/>
    <w:rsid w:val="003D3A0C"/>
    <w:rsid w:val="003D3E70"/>
    <w:rsid w:val="003D41F2"/>
    <w:rsid w:val="003D4937"/>
    <w:rsid w:val="003D4B9D"/>
    <w:rsid w:val="003D4E2B"/>
    <w:rsid w:val="003D4F92"/>
    <w:rsid w:val="003D574C"/>
    <w:rsid w:val="003D576D"/>
    <w:rsid w:val="003D5BED"/>
    <w:rsid w:val="003D5CD5"/>
    <w:rsid w:val="003D5D4F"/>
    <w:rsid w:val="003D5E33"/>
    <w:rsid w:val="003D6151"/>
    <w:rsid w:val="003D61CE"/>
    <w:rsid w:val="003D6235"/>
    <w:rsid w:val="003D6672"/>
    <w:rsid w:val="003D670E"/>
    <w:rsid w:val="003D684E"/>
    <w:rsid w:val="003D690B"/>
    <w:rsid w:val="003D69FF"/>
    <w:rsid w:val="003D6CA1"/>
    <w:rsid w:val="003D6EE8"/>
    <w:rsid w:val="003D6F6F"/>
    <w:rsid w:val="003D70AA"/>
    <w:rsid w:val="003D728F"/>
    <w:rsid w:val="003D7461"/>
    <w:rsid w:val="003D746B"/>
    <w:rsid w:val="003D76CD"/>
    <w:rsid w:val="003D76F9"/>
    <w:rsid w:val="003D7B0C"/>
    <w:rsid w:val="003D7CF1"/>
    <w:rsid w:val="003E025F"/>
    <w:rsid w:val="003E029E"/>
    <w:rsid w:val="003E0730"/>
    <w:rsid w:val="003E0A59"/>
    <w:rsid w:val="003E0E48"/>
    <w:rsid w:val="003E1178"/>
    <w:rsid w:val="003E1723"/>
    <w:rsid w:val="003E1769"/>
    <w:rsid w:val="003E1A3A"/>
    <w:rsid w:val="003E1A8D"/>
    <w:rsid w:val="003E1B7B"/>
    <w:rsid w:val="003E1BC0"/>
    <w:rsid w:val="003E1BC4"/>
    <w:rsid w:val="003E1D15"/>
    <w:rsid w:val="003E1D48"/>
    <w:rsid w:val="003E1D49"/>
    <w:rsid w:val="003E1EE5"/>
    <w:rsid w:val="003E1F00"/>
    <w:rsid w:val="003E2078"/>
    <w:rsid w:val="003E23F6"/>
    <w:rsid w:val="003E2540"/>
    <w:rsid w:val="003E2AA8"/>
    <w:rsid w:val="003E2D9E"/>
    <w:rsid w:val="003E2ED0"/>
    <w:rsid w:val="003E3331"/>
    <w:rsid w:val="003E33DF"/>
    <w:rsid w:val="003E35BF"/>
    <w:rsid w:val="003E3637"/>
    <w:rsid w:val="003E3860"/>
    <w:rsid w:val="003E3A1D"/>
    <w:rsid w:val="003E3A8B"/>
    <w:rsid w:val="003E3B62"/>
    <w:rsid w:val="003E3B82"/>
    <w:rsid w:val="003E3CC2"/>
    <w:rsid w:val="003E404F"/>
    <w:rsid w:val="003E4096"/>
    <w:rsid w:val="003E4527"/>
    <w:rsid w:val="003E4927"/>
    <w:rsid w:val="003E49A2"/>
    <w:rsid w:val="003E49B0"/>
    <w:rsid w:val="003E4CF4"/>
    <w:rsid w:val="003E4FA2"/>
    <w:rsid w:val="003E5103"/>
    <w:rsid w:val="003E5330"/>
    <w:rsid w:val="003E5B22"/>
    <w:rsid w:val="003E5D70"/>
    <w:rsid w:val="003E5FD6"/>
    <w:rsid w:val="003E603E"/>
    <w:rsid w:val="003E61D8"/>
    <w:rsid w:val="003E629E"/>
    <w:rsid w:val="003E6517"/>
    <w:rsid w:val="003E6906"/>
    <w:rsid w:val="003E6985"/>
    <w:rsid w:val="003E6BF2"/>
    <w:rsid w:val="003E6D22"/>
    <w:rsid w:val="003E6D70"/>
    <w:rsid w:val="003E6FA0"/>
    <w:rsid w:val="003E7016"/>
    <w:rsid w:val="003E71CD"/>
    <w:rsid w:val="003E7E8B"/>
    <w:rsid w:val="003F006D"/>
    <w:rsid w:val="003F01F6"/>
    <w:rsid w:val="003F020C"/>
    <w:rsid w:val="003F033C"/>
    <w:rsid w:val="003F03C4"/>
    <w:rsid w:val="003F04C5"/>
    <w:rsid w:val="003F066F"/>
    <w:rsid w:val="003F07C3"/>
    <w:rsid w:val="003F0C9B"/>
    <w:rsid w:val="003F110B"/>
    <w:rsid w:val="003F1299"/>
    <w:rsid w:val="003F1C0F"/>
    <w:rsid w:val="003F1DD9"/>
    <w:rsid w:val="003F1F1D"/>
    <w:rsid w:val="003F2A8C"/>
    <w:rsid w:val="003F2CEF"/>
    <w:rsid w:val="003F2DEE"/>
    <w:rsid w:val="003F307C"/>
    <w:rsid w:val="003F30FE"/>
    <w:rsid w:val="003F31AE"/>
    <w:rsid w:val="003F325F"/>
    <w:rsid w:val="003F3282"/>
    <w:rsid w:val="003F34C8"/>
    <w:rsid w:val="003F3650"/>
    <w:rsid w:val="003F3733"/>
    <w:rsid w:val="003F3919"/>
    <w:rsid w:val="003F3982"/>
    <w:rsid w:val="003F39F1"/>
    <w:rsid w:val="003F3B54"/>
    <w:rsid w:val="003F3B8F"/>
    <w:rsid w:val="003F3CE3"/>
    <w:rsid w:val="003F416F"/>
    <w:rsid w:val="003F41F2"/>
    <w:rsid w:val="003F441C"/>
    <w:rsid w:val="003F443F"/>
    <w:rsid w:val="003F44C8"/>
    <w:rsid w:val="003F45EB"/>
    <w:rsid w:val="003F46B8"/>
    <w:rsid w:val="003F4D21"/>
    <w:rsid w:val="003F4DA7"/>
    <w:rsid w:val="003F576C"/>
    <w:rsid w:val="003F57F4"/>
    <w:rsid w:val="003F5BB3"/>
    <w:rsid w:val="003F5C88"/>
    <w:rsid w:val="003F62DB"/>
    <w:rsid w:val="003F62DE"/>
    <w:rsid w:val="003F62ED"/>
    <w:rsid w:val="003F647C"/>
    <w:rsid w:val="003F6545"/>
    <w:rsid w:val="003F66F8"/>
    <w:rsid w:val="003F6ABD"/>
    <w:rsid w:val="003F6B6C"/>
    <w:rsid w:val="003F6F06"/>
    <w:rsid w:val="003F6F6C"/>
    <w:rsid w:val="003F703F"/>
    <w:rsid w:val="003F711F"/>
    <w:rsid w:val="003F7546"/>
    <w:rsid w:val="003F77D2"/>
    <w:rsid w:val="003F77F7"/>
    <w:rsid w:val="003F78D8"/>
    <w:rsid w:val="004000F9"/>
    <w:rsid w:val="004001FC"/>
    <w:rsid w:val="00400398"/>
    <w:rsid w:val="004003A6"/>
    <w:rsid w:val="004007D0"/>
    <w:rsid w:val="0040082E"/>
    <w:rsid w:val="00400A90"/>
    <w:rsid w:val="00400B2C"/>
    <w:rsid w:val="00400D42"/>
    <w:rsid w:val="004010A5"/>
    <w:rsid w:val="004013E1"/>
    <w:rsid w:val="00401A04"/>
    <w:rsid w:val="00401A6B"/>
    <w:rsid w:val="00401C60"/>
    <w:rsid w:val="00401FCB"/>
    <w:rsid w:val="0040203A"/>
    <w:rsid w:val="00402B30"/>
    <w:rsid w:val="00402C69"/>
    <w:rsid w:val="004030CE"/>
    <w:rsid w:val="00403384"/>
    <w:rsid w:val="004034C1"/>
    <w:rsid w:val="004034E5"/>
    <w:rsid w:val="00403504"/>
    <w:rsid w:val="00403633"/>
    <w:rsid w:val="004036C5"/>
    <w:rsid w:val="00403812"/>
    <w:rsid w:val="00403959"/>
    <w:rsid w:val="00403B3C"/>
    <w:rsid w:val="00403DE5"/>
    <w:rsid w:val="00404053"/>
    <w:rsid w:val="004046CF"/>
    <w:rsid w:val="00404744"/>
    <w:rsid w:val="004047B2"/>
    <w:rsid w:val="004047F2"/>
    <w:rsid w:val="0040483C"/>
    <w:rsid w:val="00404BD5"/>
    <w:rsid w:val="00404F0C"/>
    <w:rsid w:val="00404FF8"/>
    <w:rsid w:val="00405095"/>
    <w:rsid w:val="0040521E"/>
    <w:rsid w:val="00405329"/>
    <w:rsid w:val="00405562"/>
    <w:rsid w:val="004059E0"/>
    <w:rsid w:val="00405C11"/>
    <w:rsid w:val="00406009"/>
    <w:rsid w:val="004065C4"/>
    <w:rsid w:val="004066EE"/>
    <w:rsid w:val="00406765"/>
    <w:rsid w:val="00406B99"/>
    <w:rsid w:val="00406E5B"/>
    <w:rsid w:val="00406E72"/>
    <w:rsid w:val="00406F6F"/>
    <w:rsid w:val="004073A8"/>
    <w:rsid w:val="00407428"/>
    <w:rsid w:val="004074FF"/>
    <w:rsid w:val="004077F4"/>
    <w:rsid w:val="00407840"/>
    <w:rsid w:val="0040796E"/>
    <w:rsid w:val="004079E9"/>
    <w:rsid w:val="00407E5D"/>
    <w:rsid w:val="0041021F"/>
    <w:rsid w:val="004103F2"/>
    <w:rsid w:val="00410619"/>
    <w:rsid w:val="0041073C"/>
    <w:rsid w:val="004107D2"/>
    <w:rsid w:val="00410AB1"/>
    <w:rsid w:val="00410F60"/>
    <w:rsid w:val="004112AE"/>
    <w:rsid w:val="00411903"/>
    <w:rsid w:val="00411CCB"/>
    <w:rsid w:val="00411E7E"/>
    <w:rsid w:val="00411F4F"/>
    <w:rsid w:val="00412042"/>
    <w:rsid w:val="004124B3"/>
    <w:rsid w:val="00412535"/>
    <w:rsid w:val="00412A7B"/>
    <w:rsid w:val="00412B5E"/>
    <w:rsid w:val="00412C90"/>
    <w:rsid w:val="00412D0B"/>
    <w:rsid w:val="0041303A"/>
    <w:rsid w:val="00413097"/>
    <w:rsid w:val="004133DE"/>
    <w:rsid w:val="004134C0"/>
    <w:rsid w:val="00413C08"/>
    <w:rsid w:val="00413FFE"/>
    <w:rsid w:val="0041408B"/>
    <w:rsid w:val="00414299"/>
    <w:rsid w:val="004145B4"/>
    <w:rsid w:val="00414967"/>
    <w:rsid w:val="00414A53"/>
    <w:rsid w:val="00414B5B"/>
    <w:rsid w:val="00414C19"/>
    <w:rsid w:val="00414CAD"/>
    <w:rsid w:val="004150F4"/>
    <w:rsid w:val="004157DC"/>
    <w:rsid w:val="00415BC5"/>
    <w:rsid w:val="00415C7B"/>
    <w:rsid w:val="00415DB8"/>
    <w:rsid w:val="00415EE3"/>
    <w:rsid w:val="00415F40"/>
    <w:rsid w:val="0041604E"/>
    <w:rsid w:val="004161DD"/>
    <w:rsid w:val="00416341"/>
    <w:rsid w:val="00416790"/>
    <w:rsid w:val="00416AB8"/>
    <w:rsid w:val="00416D2F"/>
    <w:rsid w:val="004173EB"/>
    <w:rsid w:val="00417B31"/>
    <w:rsid w:val="0042018B"/>
    <w:rsid w:val="004203E3"/>
    <w:rsid w:val="0042055A"/>
    <w:rsid w:val="00420BD0"/>
    <w:rsid w:val="00420CB0"/>
    <w:rsid w:val="00420F40"/>
    <w:rsid w:val="0042114F"/>
    <w:rsid w:val="00421840"/>
    <w:rsid w:val="00421975"/>
    <w:rsid w:val="00421BB3"/>
    <w:rsid w:val="00421F35"/>
    <w:rsid w:val="0042208B"/>
    <w:rsid w:val="00422404"/>
    <w:rsid w:val="004229AD"/>
    <w:rsid w:val="00422C05"/>
    <w:rsid w:val="0042304A"/>
    <w:rsid w:val="004232DA"/>
    <w:rsid w:val="004238F9"/>
    <w:rsid w:val="00423967"/>
    <w:rsid w:val="00423B8D"/>
    <w:rsid w:val="004240E0"/>
    <w:rsid w:val="00424879"/>
    <w:rsid w:val="00424B11"/>
    <w:rsid w:val="00424B6C"/>
    <w:rsid w:val="00424BC8"/>
    <w:rsid w:val="00424C9B"/>
    <w:rsid w:val="00424E78"/>
    <w:rsid w:val="00424F79"/>
    <w:rsid w:val="0042523D"/>
    <w:rsid w:val="0042527E"/>
    <w:rsid w:val="004252FB"/>
    <w:rsid w:val="00425683"/>
    <w:rsid w:val="00425907"/>
    <w:rsid w:val="00425987"/>
    <w:rsid w:val="00425A69"/>
    <w:rsid w:val="00425B72"/>
    <w:rsid w:val="00425CCF"/>
    <w:rsid w:val="00425E08"/>
    <w:rsid w:val="00425F1B"/>
    <w:rsid w:val="004260FD"/>
    <w:rsid w:val="004266A3"/>
    <w:rsid w:val="004266B1"/>
    <w:rsid w:val="00427696"/>
    <w:rsid w:val="00427865"/>
    <w:rsid w:val="00427876"/>
    <w:rsid w:val="004278E6"/>
    <w:rsid w:val="00430012"/>
    <w:rsid w:val="004302B7"/>
    <w:rsid w:val="004303B3"/>
    <w:rsid w:val="0043054F"/>
    <w:rsid w:val="00430567"/>
    <w:rsid w:val="004308E5"/>
    <w:rsid w:val="004309E8"/>
    <w:rsid w:val="00430DFD"/>
    <w:rsid w:val="00431096"/>
    <w:rsid w:val="004322D4"/>
    <w:rsid w:val="00432570"/>
    <w:rsid w:val="0043269D"/>
    <w:rsid w:val="00432A76"/>
    <w:rsid w:val="00432F05"/>
    <w:rsid w:val="004330BC"/>
    <w:rsid w:val="00433783"/>
    <w:rsid w:val="0043396B"/>
    <w:rsid w:val="00433C0B"/>
    <w:rsid w:val="00433CB7"/>
    <w:rsid w:val="00434174"/>
    <w:rsid w:val="0043417D"/>
    <w:rsid w:val="00434627"/>
    <w:rsid w:val="0043479C"/>
    <w:rsid w:val="00434A59"/>
    <w:rsid w:val="00434E88"/>
    <w:rsid w:val="00435099"/>
    <w:rsid w:val="004350A2"/>
    <w:rsid w:val="00435101"/>
    <w:rsid w:val="004351AE"/>
    <w:rsid w:val="00435632"/>
    <w:rsid w:val="00435734"/>
    <w:rsid w:val="0043584E"/>
    <w:rsid w:val="004358C5"/>
    <w:rsid w:val="0043594B"/>
    <w:rsid w:val="00435D10"/>
    <w:rsid w:val="004362BB"/>
    <w:rsid w:val="004368AE"/>
    <w:rsid w:val="004369C6"/>
    <w:rsid w:val="00436CDF"/>
    <w:rsid w:val="00437258"/>
    <w:rsid w:val="00437330"/>
    <w:rsid w:val="004378EC"/>
    <w:rsid w:val="004379D0"/>
    <w:rsid w:val="00440018"/>
    <w:rsid w:val="0044040B"/>
    <w:rsid w:val="00440604"/>
    <w:rsid w:val="00440DFC"/>
    <w:rsid w:val="00440E5B"/>
    <w:rsid w:val="00440FD7"/>
    <w:rsid w:val="0044129B"/>
    <w:rsid w:val="004412D1"/>
    <w:rsid w:val="0044130F"/>
    <w:rsid w:val="00441AFE"/>
    <w:rsid w:val="00441C3C"/>
    <w:rsid w:val="004421DB"/>
    <w:rsid w:val="00442386"/>
    <w:rsid w:val="0044251E"/>
    <w:rsid w:val="00442B2E"/>
    <w:rsid w:val="00442BD9"/>
    <w:rsid w:val="00442D21"/>
    <w:rsid w:val="00443182"/>
    <w:rsid w:val="004431E9"/>
    <w:rsid w:val="00443287"/>
    <w:rsid w:val="00443392"/>
    <w:rsid w:val="004433C5"/>
    <w:rsid w:val="004435A1"/>
    <w:rsid w:val="00443630"/>
    <w:rsid w:val="0044365B"/>
    <w:rsid w:val="0044368D"/>
    <w:rsid w:val="00443ADC"/>
    <w:rsid w:val="004443AF"/>
    <w:rsid w:val="00444631"/>
    <w:rsid w:val="00444B3D"/>
    <w:rsid w:val="00444C12"/>
    <w:rsid w:val="00444D1D"/>
    <w:rsid w:val="00444E76"/>
    <w:rsid w:val="00444EA8"/>
    <w:rsid w:val="00445089"/>
    <w:rsid w:val="00445144"/>
    <w:rsid w:val="0044536C"/>
    <w:rsid w:val="00445832"/>
    <w:rsid w:val="00445B21"/>
    <w:rsid w:val="00445CC2"/>
    <w:rsid w:val="00445CCE"/>
    <w:rsid w:val="00445E44"/>
    <w:rsid w:val="00446095"/>
    <w:rsid w:val="004460FE"/>
    <w:rsid w:val="004461F6"/>
    <w:rsid w:val="0044680C"/>
    <w:rsid w:val="00446A40"/>
    <w:rsid w:val="00446CE8"/>
    <w:rsid w:val="004477EF"/>
    <w:rsid w:val="00447895"/>
    <w:rsid w:val="00447A38"/>
    <w:rsid w:val="00447BCF"/>
    <w:rsid w:val="00450446"/>
    <w:rsid w:val="004504D6"/>
    <w:rsid w:val="004507E5"/>
    <w:rsid w:val="00450AC0"/>
    <w:rsid w:val="00450D71"/>
    <w:rsid w:val="00450D8A"/>
    <w:rsid w:val="004512E4"/>
    <w:rsid w:val="004516D6"/>
    <w:rsid w:val="004516F2"/>
    <w:rsid w:val="0045193A"/>
    <w:rsid w:val="004519F1"/>
    <w:rsid w:val="00451ED2"/>
    <w:rsid w:val="004525C1"/>
    <w:rsid w:val="004526DF"/>
    <w:rsid w:val="00452A17"/>
    <w:rsid w:val="00452C4A"/>
    <w:rsid w:val="00452E1E"/>
    <w:rsid w:val="00452E70"/>
    <w:rsid w:val="00453037"/>
    <w:rsid w:val="00453106"/>
    <w:rsid w:val="00453314"/>
    <w:rsid w:val="0045334B"/>
    <w:rsid w:val="004538DA"/>
    <w:rsid w:val="00453A19"/>
    <w:rsid w:val="00453B7D"/>
    <w:rsid w:val="00453FF4"/>
    <w:rsid w:val="0045437C"/>
    <w:rsid w:val="004543BB"/>
    <w:rsid w:val="00454739"/>
    <w:rsid w:val="00454A14"/>
    <w:rsid w:val="00454A30"/>
    <w:rsid w:val="00454D6E"/>
    <w:rsid w:val="00454F63"/>
    <w:rsid w:val="00454F87"/>
    <w:rsid w:val="0045588B"/>
    <w:rsid w:val="00455EA2"/>
    <w:rsid w:val="00455F9E"/>
    <w:rsid w:val="004563D6"/>
    <w:rsid w:val="00456654"/>
    <w:rsid w:val="00456AC0"/>
    <w:rsid w:val="00456C43"/>
    <w:rsid w:val="00456EC9"/>
    <w:rsid w:val="00456EF5"/>
    <w:rsid w:val="004577BF"/>
    <w:rsid w:val="0045781E"/>
    <w:rsid w:val="00457AFC"/>
    <w:rsid w:val="00457CFF"/>
    <w:rsid w:val="004600CC"/>
    <w:rsid w:val="00460494"/>
    <w:rsid w:val="004605BC"/>
    <w:rsid w:val="00460AD1"/>
    <w:rsid w:val="00461003"/>
    <w:rsid w:val="004618B2"/>
    <w:rsid w:val="004618B8"/>
    <w:rsid w:val="00461B72"/>
    <w:rsid w:val="00462001"/>
    <w:rsid w:val="00462117"/>
    <w:rsid w:val="00462400"/>
    <w:rsid w:val="004624B9"/>
    <w:rsid w:val="004627BC"/>
    <w:rsid w:val="00462C57"/>
    <w:rsid w:val="00462F8E"/>
    <w:rsid w:val="004630A2"/>
    <w:rsid w:val="00463226"/>
    <w:rsid w:val="004635B5"/>
    <w:rsid w:val="00463769"/>
    <w:rsid w:val="00463BA9"/>
    <w:rsid w:val="00463C42"/>
    <w:rsid w:val="00463C68"/>
    <w:rsid w:val="00463F28"/>
    <w:rsid w:val="004643B9"/>
    <w:rsid w:val="0046458A"/>
    <w:rsid w:val="004646EE"/>
    <w:rsid w:val="004648AF"/>
    <w:rsid w:val="004649AB"/>
    <w:rsid w:val="004649B8"/>
    <w:rsid w:val="00464DCD"/>
    <w:rsid w:val="00464DED"/>
    <w:rsid w:val="00464FC4"/>
    <w:rsid w:val="004651D0"/>
    <w:rsid w:val="0046566C"/>
    <w:rsid w:val="0046581F"/>
    <w:rsid w:val="0046584D"/>
    <w:rsid w:val="00465877"/>
    <w:rsid w:val="00465A90"/>
    <w:rsid w:val="00465AEB"/>
    <w:rsid w:val="00465CC2"/>
    <w:rsid w:val="00466357"/>
    <w:rsid w:val="004665D2"/>
    <w:rsid w:val="0046689D"/>
    <w:rsid w:val="00466AB7"/>
    <w:rsid w:val="00466B35"/>
    <w:rsid w:val="00466C93"/>
    <w:rsid w:val="00466D14"/>
    <w:rsid w:val="00466DE0"/>
    <w:rsid w:val="00466DF8"/>
    <w:rsid w:val="00467357"/>
    <w:rsid w:val="00467610"/>
    <w:rsid w:val="004677AB"/>
    <w:rsid w:val="00467906"/>
    <w:rsid w:val="00467A63"/>
    <w:rsid w:val="00467B7D"/>
    <w:rsid w:val="00467CFF"/>
    <w:rsid w:val="00467E58"/>
    <w:rsid w:val="00467FAA"/>
    <w:rsid w:val="00467FFC"/>
    <w:rsid w:val="00470031"/>
    <w:rsid w:val="004700AF"/>
    <w:rsid w:val="0047030E"/>
    <w:rsid w:val="0047041D"/>
    <w:rsid w:val="004704A3"/>
    <w:rsid w:val="004707D6"/>
    <w:rsid w:val="00470B1D"/>
    <w:rsid w:val="00470D18"/>
    <w:rsid w:val="00470F57"/>
    <w:rsid w:val="0047102C"/>
    <w:rsid w:val="004710D2"/>
    <w:rsid w:val="00471161"/>
    <w:rsid w:val="004711CD"/>
    <w:rsid w:val="0047151E"/>
    <w:rsid w:val="00471868"/>
    <w:rsid w:val="00471B16"/>
    <w:rsid w:val="00471B50"/>
    <w:rsid w:val="00471BD5"/>
    <w:rsid w:val="00471C87"/>
    <w:rsid w:val="00472153"/>
    <w:rsid w:val="00472155"/>
    <w:rsid w:val="0047239D"/>
    <w:rsid w:val="0047245C"/>
    <w:rsid w:val="00472465"/>
    <w:rsid w:val="00472807"/>
    <w:rsid w:val="00472866"/>
    <w:rsid w:val="00472A7A"/>
    <w:rsid w:val="00472BB9"/>
    <w:rsid w:val="00472D9E"/>
    <w:rsid w:val="00473214"/>
    <w:rsid w:val="00473405"/>
    <w:rsid w:val="0047349E"/>
    <w:rsid w:val="00473717"/>
    <w:rsid w:val="004738CB"/>
    <w:rsid w:val="004738F7"/>
    <w:rsid w:val="00473935"/>
    <w:rsid w:val="00473A0E"/>
    <w:rsid w:val="00473D60"/>
    <w:rsid w:val="00473EC6"/>
    <w:rsid w:val="00474437"/>
    <w:rsid w:val="0047457D"/>
    <w:rsid w:val="00474709"/>
    <w:rsid w:val="00474BEC"/>
    <w:rsid w:val="00474E90"/>
    <w:rsid w:val="00474F03"/>
    <w:rsid w:val="00475053"/>
    <w:rsid w:val="004750E2"/>
    <w:rsid w:val="004753C4"/>
    <w:rsid w:val="004753F4"/>
    <w:rsid w:val="00475535"/>
    <w:rsid w:val="00475849"/>
    <w:rsid w:val="0047592B"/>
    <w:rsid w:val="004759EC"/>
    <w:rsid w:val="00475AFC"/>
    <w:rsid w:val="00475D63"/>
    <w:rsid w:val="00475E7A"/>
    <w:rsid w:val="0047635D"/>
    <w:rsid w:val="00476425"/>
    <w:rsid w:val="00476711"/>
    <w:rsid w:val="004767BE"/>
    <w:rsid w:val="0047689B"/>
    <w:rsid w:val="00476AB0"/>
    <w:rsid w:val="00476BB5"/>
    <w:rsid w:val="00477631"/>
    <w:rsid w:val="00477975"/>
    <w:rsid w:val="00477D9B"/>
    <w:rsid w:val="0048001E"/>
    <w:rsid w:val="00480173"/>
    <w:rsid w:val="00480B68"/>
    <w:rsid w:val="00480B72"/>
    <w:rsid w:val="00480C66"/>
    <w:rsid w:val="00480E45"/>
    <w:rsid w:val="00480E46"/>
    <w:rsid w:val="00481225"/>
    <w:rsid w:val="0048131F"/>
    <w:rsid w:val="004813B3"/>
    <w:rsid w:val="004814A1"/>
    <w:rsid w:val="004816B2"/>
    <w:rsid w:val="0048198B"/>
    <w:rsid w:val="00481A23"/>
    <w:rsid w:val="00481C46"/>
    <w:rsid w:val="00481F8D"/>
    <w:rsid w:val="00482001"/>
    <w:rsid w:val="00482138"/>
    <w:rsid w:val="004824C5"/>
    <w:rsid w:val="004829E6"/>
    <w:rsid w:val="00482BD5"/>
    <w:rsid w:val="00482BDE"/>
    <w:rsid w:val="00482C59"/>
    <w:rsid w:val="00482CB3"/>
    <w:rsid w:val="00482E4F"/>
    <w:rsid w:val="00483022"/>
    <w:rsid w:val="004830C8"/>
    <w:rsid w:val="004831A9"/>
    <w:rsid w:val="004836B8"/>
    <w:rsid w:val="004838D7"/>
    <w:rsid w:val="00483B40"/>
    <w:rsid w:val="00483C6D"/>
    <w:rsid w:val="00483D75"/>
    <w:rsid w:val="0048412E"/>
    <w:rsid w:val="00484273"/>
    <w:rsid w:val="004847CB"/>
    <w:rsid w:val="00484937"/>
    <w:rsid w:val="00484953"/>
    <w:rsid w:val="00484A58"/>
    <w:rsid w:val="004852F4"/>
    <w:rsid w:val="0048552D"/>
    <w:rsid w:val="004855D7"/>
    <w:rsid w:val="0048585C"/>
    <w:rsid w:val="00485CDE"/>
    <w:rsid w:val="00485D08"/>
    <w:rsid w:val="00485FCD"/>
    <w:rsid w:val="0048641F"/>
    <w:rsid w:val="00486603"/>
    <w:rsid w:val="00486817"/>
    <w:rsid w:val="00486C0B"/>
    <w:rsid w:val="00486CB5"/>
    <w:rsid w:val="00486D4F"/>
    <w:rsid w:val="00486D50"/>
    <w:rsid w:val="00486D7F"/>
    <w:rsid w:val="00486E94"/>
    <w:rsid w:val="00486F13"/>
    <w:rsid w:val="00487009"/>
    <w:rsid w:val="00487069"/>
    <w:rsid w:val="004870C9"/>
    <w:rsid w:val="004871B7"/>
    <w:rsid w:val="00487659"/>
    <w:rsid w:val="00487A90"/>
    <w:rsid w:val="00487D7A"/>
    <w:rsid w:val="00487DFF"/>
    <w:rsid w:val="00487F5F"/>
    <w:rsid w:val="00490293"/>
    <w:rsid w:val="004907D3"/>
    <w:rsid w:val="004907F2"/>
    <w:rsid w:val="004908E5"/>
    <w:rsid w:val="004909B7"/>
    <w:rsid w:val="00490E8E"/>
    <w:rsid w:val="00491088"/>
    <w:rsid w:val="00491432"/>
    <w:rsid w:val="0049143C"/>
    <w:rsid w:val="00491A0A"/>
    <w:rsid w:val="00491E7D"/>
    <w:rsid w:val="00491FDA"/>
    <w:rsid w:val="0049203F"/>
    <w:rsid w:val="00492284"/>
    <w:rsid w:val="004924A9"/>
    <w:rsid w:val="00492788"/>
    <w:rsid w:val="00492A71"/>
    <w:rsid w:val="00492AA1"/>
    <w:rsid w:val="00492D47"/>
    <w:rsid w:val="00492DA2"/>
    <w:rsid w:val="00492E70"/>
    <w:rsid w:val="00492E75"/>
    <w:rsid w:val="004934CD"/>
    <w:rsid w:val="00493B0F"/>
    <w:rsid w:val="00493B38"/>
    <w:rsid w:val="00493B68"/>
    <w:rsid w:val="00493BA4"/>
    <w:rsid w:val="00493CCF"/>
    <w:rsid w:val="0049439A"/>
    <w:rsid w:val="00494505"/>
    <w:rsid w:val="00494589"/>
    <w:rsid w:val="00494683"/>
    <w:rsid w:val="004946F6"/>
    <w:rsid w:val="004949AD"/>
    <w:rsid w:val="00494C09"/>
    <w:rsid w:val="00494E20"/>
    <w:rsid w:val="00494F19"/>
    <w:rsid w:val="00494F75"/>
    <w:rsid w:val="00495054"/>
    <w:rsid w:val="004951BE"/>
    <w:rsid w:val="0049526A"/>
    <w:rsid w:val="00495557"/>
    <w:rsid w:val="00495658"/>
    <w:rsid w:val="00495748"/>
    <w:rsid w:val="004958A4"/>
    <w:rsid w:val="00495BB5"/>
    <w:rsid w:val="00495C30"/>
    <w:rsid w:val="00495C92"/>
    <w:rsid w:val="00495D27"/>
    <w:rsid w:val="00495D65"/>
    <w:rsid w:val="00495D8E"/>
    <w:rsid w:val="00495E63"/>
    <w:rsid w:val="00495F0C"/>
    <w:rsid w:val="00496031"/>
    <w:rsid w:val="004961B3"/>
    <w:rsid w:val="004961E7"/>
    <w:rsid w:val="0049622B"/>
    <w:rsid w:val="004962EB"/>
    <w:rsid w:val="00496865"/>
    <w:rsid w:val="00497272"/>
    <w:rsid w:val="00497671"/>
    <w:rsid w:val="0049782B"/>
    <w:rsid w:val="00497B7F"/>
    <w:rsid w:val="00497C2A"/>
    <w:rsid w:val="00497C74"/>
    <w:rsid w:val="00497CAB"/>
    <w:rsid w:val="004A0116"/>
    <w:rsid w:val="004A011E"/>
    <w:rsid w:val="004A03A0"/>
    <w:rsid w:val="004A03D9"/>
    <w:rsid w:val="004A05E1"/>
    <w:rsid w:val="004A07DF"/>
    <w:rsid w:val="004A09C8"/>
    <w:rsid w:val="004A0C18"/>
    <w:rsid w:val="004A108C"/>
    <w:rsid w:val="004A12D0"/>
    <w:rsid w:val="004A13B4"/>
    <w:rsid w:val="004A15F8"/>
    <w:rsid w:val="004A162D"/>
    <w:rsid w:val="004A1826"/>
    <w:rsid w:val="004A19E7"/>
    <w:rsid w:val="004A1A6D"/>
    <w:rsid w:val="004A1D9F"/>
    <w:rsid w:val="004A1F03"/>
    <w:rsid w:val="004A1FF3"/>
    <w:rsid w:val="004A2079"/>
    <w:rsid w:val="004A21D5"/>
    <w:rsid w:val="004A22D4"/>
    <w:rsid w:val="004A2355"/>
    <w:rsid w:val="004A23F0"/>
    <w:rsid w:val="004A272C"/>
    <w:rsid w:val="004A2805"/>
    <w:rsid w:val="004A2F7C"/>
    <w:rsid w:val="004A3254"/>
    <w:rsid w:val="004A3255"/>
    <w:rsid w:val="004A3261"/>
    <w:rsid w:val="004A34F8"/>
    <w:rsid w:val="004A3878"/>
    <w:rsid w:val="004A3E7B"/>
    <w:rsid w:val="004A3FB2"/>
    <w:rsid w:val="004A4356"/>
    <w:rsid w:val="004A4627"/>
    <w:rsid w:val="004A4629"/>
    <w:rsid w:val="004A4774"/>
    <w:rsid w:val="004A4B32"/>
    <w:rsid w:val="004A4CFD"/>
    <w:rsid w:val="004A537E"/>
    <w:rsid w:val="004A545D"/>
    <w:rsid w:val="004A5541"/>
    <w:rsid w:val="004A5660"/>
    <w:rsid w:val="004A5E07"/>
    <w:rsid w:val="004A5F03"/>
    <w:rsid w:val="004A5F07"/>
    <w:rsid w:val="004A6334"/>
    <w:rsid w:val="004A643D"/>
    <w:rsid w:val="004A709B"/>
    <w:rsid w:val="004A70FB"/>
    <w:rsid w:val="004A713E"/>
    <w:rsid w:val="004A72C3"/>
    <w:rsid w:val="004A73E9"/>
    <w:rsid w:val="004A7680"/>
    <w:rsid w:val="004A77AA"/>
    <w:rsid w:val="004A77B4"/>
    <w:rsid w:val="004A79E6"/>
    <w:rsid w:val="004B028E"/>
    <w:rsid w:val="004B038D"/>
    <w:rsid w:val="004B06B6"/>
    <w:rsid w:val="004B0891"/>
    <w:rsid w:val="004B08AF"/>
    <w:rsid w:val="004B0A61"/>
    <w:rsid w:val="004B0AEA"/>
    <w:rsid w:val="004B0BD9"/>
    <w:rsid w:val="004B0E7C"/>
    <w:rsid w:val="004B105B"/>
    <w:rsid w:val="004B14A4"/>
    <w:rsid w:val="004B14E1"/>
    <w:rsid w:val="004B15AD"/>
    <w:rsid w:val="004B15F1"/>
    <w:rsid w:val="004B17CB"/>
    <w:rsid w:val="004B1891"/>
    <w:rsid w:val="004B18BE"/>
    <w:rsid w:val="004B203E"/>
    <w:rsid w:val="004B20F7"/>
    <w:rsid w:val="004B277F"/>
    <w:rsid w:val="004B28A2"/>
    <w:rsid w:val="004B2BFD"/>
    <w:rsid w:val="004B33B9"/>
    <w:rsid w:val="004B340E"/>
    <w:rsid w:val="004B3420"/>
    <w:rsid w:val="004B37E4"/>
    <w:rsid w:val="004B399F"/>
    <w:rsid w:val="004B39D5"/>
    <w:rsid w:val="004B39F4"/>
    <w:rsid w:val="004B42FD"/>
    <w:rsid w:val="004B438E"/>
    <w:rsid w:val="004B440A"/>
    <w:rsid w:val="004B496B"/>
    <w:rsid w:val="004B4A44"/>
    <w:rsid w:val="004B4BEA"/>
    <w:rsid w:val="004B50E8"/>
    <w:rsid w:val="004B5595"/>
    <w:rsid w:val="004B55C8"/>
    <w:rsid w:val="004B5888"/>
    <w:rsid w:val="004B5CC1"/>
    <w:rsid w:val="004B5DB8"/>
    <w:rsid w:val="004B5F0D"/>
    <w:rsid w:val="004B60AC"/>
    <w:rsid w:val="004B612F"/>
    <w:rsid w:val="004B6485"/>
    <w:rsid w:val="004B6618"/>
    <w:rsid w:val="004B6819"/>
    <w:rsid w:val="004B6840"/>
    <w:rsid w:val="004B6B02"/>
    <w:rsid w:val="004B6C88"/>
    <w:rsid w:val="004B6D63"/>
    <w:rsid w:val="004B71A4"/>
    <w:rsid w:val="004B7D05"/>
    <w:rsid w:val="004C0571"/>
    <w:rsid w:val="004C093C"/>
    <w:rsid w:val="004C0BC9"/>
    <w:rsid w:val="004C0DF1"/>
    <w:rsid w:val="004C0DF8"/>
    <w:rsid w:val="004C0E96"/>
    <w:rsid w:val="004C0EF6"/>
    <w:rsid w:val="004C1479"/>
    <w:rsid w:val="004C14A0"/>
    <w:rsid w:val="004C1697"/>
    <w:rsid w:val="004C1747"/>
    <w:rsid w:val="004C1A61"/>
    <w:rsid w:val="004C1D49"/>
    <w:rsid w:val="004C1E97"/>
    <w:rsid w:val="004C2009"/>
    <w:rsid w:val="004C2076"/>
    <w:rsid w:val="004C236F"/>
    <w:rsid w:val="004C243B"/>
    <w:rsid w:val="004C246F"/>
    <w:rsid w:val="004C2683"/>
    <w:rsid w:val="004C26BA"/>
    <w:rsid w:val="004C27DD"/>
    <w:rsid w:val="004C2843"/>
    <w:rsid w:val="004C28D5"/>
    <w:rsid w:val="004C2ECD"/>
    <w:rsid w:val="004C3077"/>
    <w:rsid w:val="004C3089"/>
    <w:rsid w:val="004C349B"/>
    <w:rsid w:val="004C34ED"/>
    <w:rsid w:val="004C35D2"/>
    <w:rsid w:val="004C3944"/>
    <w:rsid w:val="004C394D"/>
    <w:rsid w:val="004C39B3"/>
    <w:rsid w:val="004C3B48"/>
    <w:rsid w:val="004C3BE1"/>
    <w:rsid w:val="004C3D8F"/>
    <w:rsid w:val="004C44E0"/>
    <w:rsid w:val="004C44E5"/>
    <w:rsid w:val="004C4550"/>
    <w:rsid w:val="004C4814"/>
    <w:rsid w:val="004C48EC"/>
    <w:rsid w:val="004C4A8E"/>
    <w:rsid w:val="004C4B4E"/>
    <w:rsid w:val="004C4C7D"/>
    <w:rsid w:val="004C4F0A"/>
    <w:rsid w:val="004C4FC4"/>
    <w:rsid w:val="004C50E9"/>
    <w:rsid w:val="004C5230"/>
    <w:rsid w:val="004C53F2"/>
    <w:rsid w:val="004C55A3"/>
    <w:rsid w:val="004C5831"/>
    <w:rsid w:val="004C5D9F"/>
    <w:rsid w:val="004C5E4F"/>
    <w:rsid w:val="004C5E76"/>
    <w:rsid w:val="004C602B"/>
    <w:rsid w:val="004C61E2"/>
    <w:rsid w:val="004C648E"/>
    <w:rsid w:val="004C66F5"/>
    <w:rsid w:val="004C67F9"/>
    <w:rsid w:val="004C6804"/>
    <w:rsid w:val="004C6A3A"/>
    <w:rsid w:val="004C6ADB"/>
    <w:rsid w:val="004C6BE0"/>
    <w:rsid w:val="004C6D24"/>
    <w:rsid w:val="004C7154"/>
    <w:rsid w:val="004C7503"/>
    <w:rsid w:val="004C76F3"/>
    <w:rsid w:val="004C776E"/>
    <w:rsid w:val="004C77D9"/>
    <w:rsid w:val="004C7921"/>
    <w:rsid w:val="004C7F3E"/>
    <w:rsid w:val="004D05F3"/>
    <w:rsid w:val="004D08BF"/>
    <w:rsid w:val="004D0B9F"/>
    <w:rsid w:val="004D0C77"/>
    <w:rsid w:val="004D0DD6"/>
    <w:rsid w:val="004D0DF6"/>
    <w:rsid w:val="004D0FF1"/>
    <w:rsid w:val="004D1027"/>
    <w:rsid w:val="004D13B6"/>
    <w:rsid w:val="004D156A"/>
    <w:rsid w:val="004D1B28"/>
    <w:rsid w:val="004D1D5E"/>
    <w:rsid w:val="004D1E00"/>
    <w:rsid w:val="004D1FEF"/>
    <w:rsid w:val="004D238F"/>
    <w:rsid w:val="004D323C"/>
    <w:rsid w:val="004D35C6"/>
    <w:rsid w:val="004D378E"/>
    <w:rsid w:val="004D3797"/>
    <w:rsid w:val="004D3A2C"/>
    <w:rsid w:val="004D3B94"/>
    <w:rsid w:val="004D3BF7"/>
    <w:rsid w:val="004D3FDF"/>
    <w:rsid w:val="004D4312"/>
    <w:rsid w:val="004D4544"/>
    <w:rsid w:val="004D4647"/>
    <w:rsid w:val="004D4C47"/>
    <w:rsid w:val="004D5477"/>
    <w:rsid w:val="004D5745"/>
    <w:rsid w:val="004D5CD9"/>
    <w:rsid w:val="004D5CDC"/>
    <w:rsid w:val="004D5E82"/>
    <w:rsid w:val="004D5F42"/>
    <w:rsid w:val="004D602D"/>
    <w:rsid w:val="004D6CF4"/>
    <w:rsid w:val="004D6E44"/>
    <w:rsid w:val="004D6EDA"/>
    <w:rsid w:val="004D6EE2"/>
    <w:rsid w:val="004D6F65"/>
    <w:rsid w:val="004D76BF"/>
    <w:rsid w:val="004D771F"/>
    <w:rsid w:val="004D7841"/>
    <w:rsid w:val="004D79F3"/>
    <w:rsid w:val="004D7B81"/>
    <w:rsid w:val="004E00C1"/>
    <w:rsid w:val="004E0480"/>
    <w:rsid w:val="004E0734"/>
    <w:rsid w:val="004E07AA"/>
    <w:rsid w:val="004E07AF"/>
    <w:rsid w:val="004E0DAB"/>
    <w:rsid w:val="004E0E58"/>
    <w:rsid w:val="004E0E80"/>
    <w:rsid w:val="004E0E9C"/>
    <w:rsid w:val="004E1294"/>
    <w:rsid w:val="004E140F"/>
    <w:rsid w:val="004E1447"/>
    <w:rsid w:val="004E18DF"/>
    <w:rsid w:val="004E1905"/>
    <w:rsid w:val="004E1992"/>
    <w:rsid w:val="004E1FDF"/>
    <w:rsid w:val="004E2138"/>
    <w:rsid w:val="004E21C6"/>
    <w:rsid w:val="004E22A4"/>
    <w:rsid w:val="004E2726"/>
    <w:rsid w:val="004E281C"/>
    <w:rsid w:val="004E283A"/>
    <w:rsid w:val="004E28FB"/>
    <w:rsid w:val="004E2A17"/>
    <w:rsid w:val="004E2ADF"/>
    <w:rsid w:val="004E2CE5"/>
    <w:rsid w:val="004E2E35"/>
    <w:rsid w:val="004E3543"/>
    <w:rsid w:val="004E366E"/>
    <w:rsid w:val="004E39FA"/>
    <w:rsid w:val="004E3AE0"/>
    <w:rsid w:val="004E3C70"/>
    <w:rsid w:val="004E3EFB"/>
    <w:rsid w:val="004E4161"/>
    <w:rsid w:val="004E438B"/>
    <w:rsid w:val="004E443C"/>
    <w:rsid w:val="004E44E9"/>
    <w:rsid w:val="004E451A"/>
    <w:rsid w:val="004E476F"/>
    <w:rsid w:val="004E4B90"/>
    <w:rsid w:val="004E4F11"/>
    <w:rsid w:val="004E53E0"/>
    <w:rsid w:val="004E5A51"/>
    <w:rsid w:val="004E5A77"/>
    <w:rsid w:val="004E5AD2"/>
    <w:rsid w:val="004E5C72"/>
    <w:rsid w:val="004E5FFF"/>
    <w:rsid w:val="004E6091"/>
    <w:rsid w:val="004E6617"/>
    <w:rsid w:val="004E6625"/>
    <w:rsid w:val="004E6929"/>
    <w:rsid w:val="004E698C"/>
    <w:rsid w:val="004E6EB9"/>
    <w:rsid w:val="004E74E2"/>
    <w:rsid w:val="004E7CA9"/>
    <w:rsid w:val="004E7CE1"/>
    <w:rsid w:val="004E7D7E"/>
    <w:rsid w:val="004E7E88"/>
    <w:rsid w:val="004E7FA9"/>
    <w:rsid w:val="004F0057"/>
    <w:rsid w:val="004F0144"/>
    <w:rsid w:val="004F01C3"/>
    <w:rsid w:val="004F01DD"/>
    <w:rsid w:val="004F02CE"/>
    <w:rsid w:val="004F0776"/>
    <w:rsid w:val="004F0C08"/>
    <w:rsid w:val="004F0D65"/>
    <w:rsid w:val="004F0D81"/>
    <w:rsid w:val="004F10BF"/>
    <w:rsid w:val="004F14DE"/>
    <w:rsid w:val="004F1AC2"/>
    <w:rsid w:val="004F1FAC"/>
    <w:rsid w:val="004F1FBB"/>
    <w:rsid w:val="004F1FE4"/>
    <w:rsid w:val="004F212A"/>
    <w:rsid w:val="004F217D"/>
    <w:rsid w:val="004F2426"/>
    <w:rsid w:val="004F2D15"/>
    <w:rsid w:val="004F3127"/>
    <w:rsid w:val="004F313B"/>
    <w:rsid w:val="004F327C"/>
    <w:rsid w:val="004F34D9"/>
    <w:rsid w:val="004F38E8"/>
    <w:rsid w:val="004F3B07"/>
    <w:rsid w:val="004F3B17"/>
    <w:rsid w:val="004F3D83"/>
    <w:rsid w:val="004F3E85"/>
    <w:rsid w:val="004F4071"/>
    <w:rsid w:val="004F41DE"/>
    <w:rsid w:val="004F4638"/>
    <w:rsid w:val="004F4655"/>
    <w:rsid w:val="004F481D"/>
    <w:rsid w:val="004F498B"/>
    <w:rsid w:val="004F4C1A"/>
    <w:rsid w:val="004F514F"/>
    <w:rsid w:val="004F58C9"/>
    <w:rsid w:val="004F5A1A"/>
    <w:rsid w:val="004F5AA1"/>
    <w:rsid w:val="004F5AE3"/>
    <w:rsid w:val="004F5AF2"/>
    <w:rsid w:val="004F5B97"/>
    <w:rsid w:val="004F6187"/>
    <w:rsid w:val="004F68F7"/>
    <w:rsid w:val="004F6C03"/>
    <w:rsid w:val="004F6E44"/>
    <w:rsid w:val="004F7584"/>
    <w:rsid w:val="004F7A0A"/>
    <w:rsid w:val="004F7A2C"/>
    <w:rsid w:val="004F7FEF"/>
    <w:rsid w:val="005001D7"/>
    <w:rsid w:val="00500369"/>
    <w:rsid w:val="00500412"/>
    <w:rsid w:val="00500480"/>
    <w:rsid w:val="005008E5"/>
    <w:rsid w:val="005009E3"/>
    <w:rsid w:val="00500B0C"/>
    <w:rsid w:val="00500DB5"/>
    <w:rsid w:val="00500DDC"/>
    <w:rsid w:val="00501282"/>
    <w:rsid w:val="005013AF"/>
    <w:rsid w:val="0050144E"/>
    <w:rsid w:val="005015B1"/>
    <w:rsid w:val="005016F1"/>
    <w:rsid w:val="00501720"/>
    <w:rsid w:val="005017BD"/>
    <w:rsid w:val="00501B32"/>
    <w:rsid w:val="00501B3C"/>
    <w:rsid w:val="00501CE9"/>
    <w:rsid w:val="00501E42"/>
    <w:rsid w:val="00501E71"/>
    <w:rsid w:val="0050214A"/>
    <w:rsid w:val="00502387"/>
    <w:rsid w:val="00502D0D"/>
    <w:rsid w:val="00502D67"/>
    <w:rsid w:val="00502F22"/>
    <w:rsid w:val="0050310D"/>
    <w:rsid w:val="0050345A"/>
    <w:rsid w:val="005035BF"/>
    <w:rsid w:val="0050397D"/>
    <w:rsid w:val="0050461E"/>
    <w:rsid w:val="005049A3"/>
    <w:rsid w:val="005052B3"/>
    <w:rsid w:val="00505426"/>
    <w:rsid w:val="005055E5"/>
    <w:rsid w:val="005057EA"/>
    <w:rsid w:val="00505A5D"/>
    <w:rsid w:val="00505B38"/>
    <w:rsid w:val="00505D76"/>
    <w:rsid w:val="005062A4"/>
    <w:rsid w:val="0050661D"/>
    <w:rsid w:val="0050681E"/>
    <w:rsid w:val="005069A8"/>
    <w:rsid w:val="00506C13"/>
    <w:rsid w:val="00506CFE"/>
    <w:rsid w:val="00507067"/>
    <w:rsid w:val="00507367"/>
    <w:rsid w:val="00507380"/>
    <w:rsid w:val="005074C9"/>
    <w:rsid w:val="005075AB"/>
    <w:rsid w:val="0050777D"/>
    <w:rsid w:val="005078B3"/>
    <w:rsid w:val="00507918"/>
    <w:rsid w:val="00507ABB"/>
    <w:rsid w:val="00507AEB"/>
    <w:rsid w:val="00507D22"/>
    <w:rsid w:val="00510059"/>
    <w:rsid w:val="0051085D"/>
    <w:rsid w:val="005108B1"/>
    <w:rsid w:val="00510991"/>
    <w:rsid w:val="005109F2"/>
    <w:rsid w:val="00510B8E"/>
    <w:rsid w:val="00510BAA"/>
    <w:rsid w:val="00510E9B"/>
    <w:rsid w:val="00510F84"/>
    <w:rsid w:val="00510FAF"/>
    <w:rsid w:val="00510FF4"/>
    <w:rsid w:val="0051108C"/>
    <w:rsid w:val="00511288"/>
    <w:rsid w:val="00511343"/>
    <w:rsid w:val="0051152C"/>
    <w:rsid w:val="0051194C"/>
    <w:rsid w:val="00511E58"/>
    <w:rsid w:val="005120EA"/>
    <w:rsid w:val="0051212A"/>
    <w:rsid w:val="00512314"/>
    <w:rsid w:val="005123D3"/>
    <w:rsid w:val="00512A6D"/>
    <w:rsid w:val="00512BA1"/>
    <w:rsid w:val="00512D0D"/>
    <w:rsid w:val="005133DD"/>
    <w:rsid w:val="0051347D"/>
    <w:rsid w:val="0051349F"/>
    <w:rsid w:val="00513851"/>
    <w:rsid w:val="00513877"/>
    <w:rsid w:val="00513BF5"/>
    <w:rsid w:val="00513CF8"/>
    <w:rsid w:val="005140E6"/>
    <w:rsid w:val="0051411E"/>
    <w:rsid w:val="005145C5"/>
    <w:rsid w:val="00514730"/>
    <w:rsid w:val="005147BB"/>
    <w:rsid w:val="005147F4"/>
    <w:rsid w:val="00514A3A"/>
    <w:rsid w:val="00514E17"/>
    <w:rsid w:val="005152C9"/>
    <w:rsid w:val="0051551E"/>
    <w:rsid w:val="0051560D"/>
    <w:rsid w:val="00515737"/>
    <w:rsid w:val="0051587A"/>
    <w:rsid w:val="00516066"/>
    <w:rsid w:val="00516265"/>
    <w:rsid w:val="005164B3"/>
    <w:rsid w:val="00516D9F"/>
    <w:rsid w:val="00516E9F"/>
    <w:rsid w:val="00516F49"/>
    <w:rsid w:val="00516FE4"/>
    <w:rsid w:val="0051702A"/>
    <w:rsid w:val="00517357"/>
    <w:rsid w:val="005175AE"/>
    <w:rsid w:val="0051783B"/>
    <w:rsid w:val="00517B20"/>
    <w:rsid w:val="00517CB7"/>
    <w:rsid w:val="00517F9D"/>
    <w:rsid w:val="00520154"/>
    <w:rsid w:val="005202BD"/>
    <w:rsid w:val="005204F4"/>
    <w:rsid w:val="005207FC"/>
    <w:rsid w:val="00520D7C"/>
    <w:rsid w:val="00521034"/>
    <w:rsid w:val="00521370"/>
    <w:rsid w:val="005214ED"/>
    <w:rsid w:val="0052164E"/>
    <w:rsid w:val="0052187E"/>
    <w:rsid w:val="005219B7"/>
    <w:rsid w:val="00521AB9"/>
    <w:rsid w:val="0052209B"/>
    <w:rsid w:val="005221B2"/>
    <w:rsid w:val="005223A5"/>
    <w:rsid w:val="0052243A"/>
    <w:rsid w:val="0052299E"/>
    <w:rsid w:val="00522DDE"/>
    <w:rsid w:val="0052304E"/>
    <w:rsid w:val="00523157"/>
    <w:rsid w:val="005231D6"/>
    <w:rsid w:val="0052349A"/>
    <w:rsid w:val="005235CB"/>
    <w:rsid w:val="005236AB"/>
    <w:rsid w:val="005237B8"/>
    <w:rsid w:val="005237BA"/>
    <w:rsid w:val="00523843"/>
    <w:rsid w:val="00523A83"/>
    <w:rsid w:val="00523AEC"/>
    <w:rsid w:val="00523D4E"/>
    <w:rsid w:val="00523E19"/>
    <w:rsid w:val="00523F25"/>
    <w:rsid w:val="00524136"/>
    <w:rsid w:val="00524150"/>
    <w:rsid w:val="00524370"/>
    <w:rsid w:val="005244C5"/>
    <w:rsid w:val="00524693"/>
    <w:rsid w:val="005246B0"/>
    <w:rsid w:val="0052474E"/>
    <w:rsid w:val="00524C6A"/>
    <w:rsid w:val="00524F60"/>
    <w:rsid w:val="005256E5"/>
    <w:rsid w:val="00525992"/>
    <w:rsid w:val="00525A0D"/>
    <w:rsid w:val="005260C5"/>
    <w:rsid w:val="0052615C"/>
    <w:rsid w:val="00526293"/>
    <w:rsid w:val="0052643B"/>
    <w:rsid w:val="005267DC"/>
    <w:rsid w:val="00526827"/>
    <w:rsid w:val="00526BD8"/>
    <w:rsid w:val="00526CA2"/>
    <w:rsid w:val="00526CA8"/>
    <w:rsid w:val="00526CCF"/>
    <w:rsid w:val="00526D49"/>
    <w:rsid w:val="00526E1F"/>
    <w:rsid w:val="00526EBD"/>
    <w:rsid w:val="005272D7"/>
    <w:rsid w:val="0052734A"/>
    <w:rsid w:val="005273F0"/>
    <w:rsid w:val="00527995"/>
    <w:rsid w:val="00527B51"/>
    <w:rsid w:val="00527CA2"/>
    <w:rsid w:val="0053006E"/>
    <w:rsid w:val="005300DA"/>
    <w:rsid w:val="00530157"/>
    <w:rsid w:val="00530208"/>
    <w:rsid w:val="00530472"/>
    <w:rsid w:val="005308E1"/>
    <w:rsid w:val="00530CAC"/>
    <w:rsid w:val="00531062"/>
    <w:rsid w:val="00531595"/>
    <w:rsid w:val="00531B26"/>
    <w:rsid w:val="00531F5D"/>
    <w:rsid w:val="0053232E"/>
    <w:rsid w:val="005323F1"/>
    <w:rsid w:val="005328B7"/>
    <w:rsid w:val="00532B79"/>
    <w:rsid w:val="00532BDF"/>
    <w:rsid w:val="00532D8A"/>
    <w:rsid w:val="00533088"/>
    <w:rsid w:val="005332CE"/>
    <w:rsid w:val="00533353"/>
    <w:rsid w:val="005337E4"/>
    <w:rsid w:val="00533922"/>
    <w:rsid w:val="00533E9B"/>
    <w:rsid w:val="00533FA2"/>
    <w:rsid w:val="00533FA7"/>
    <w:rsid w:val="00533FDB"/>
    <w:rsid w:val="005340E4"/>
    <w:rsid w:val="00534343"/>
    <w:rsid w:val="00534644"/>
    <w:rsid w:val="00534757"/>
    <w:rsid w:val="00535205"/>
    <w:rsid w:val="00535232"/>
    <w:rsid w:val="00535388"/>
    <w:rsid w:val="005358B3"/>
    <w:rsid w:val="00535B25"/>
    <w:rsid w:val="00535C32"/>
    <w:rsid w:val="00536069"/>
    <w:rsid w:val="0053639C"/>
    <w:rsid w:val="005365AA"/>
    <w:rsid w:val="00536692"/>
    <w:rsid w:val="00536975"/>
    <w:rsid w:val="0053698E"/>
    <w:rsid w:val="00536B68"/>
    <w:rsid w:val="00536B76"/>
    <w:rsid w:val="00536D4D"/>
    <w:rsid w:val="00536DD0"/>
    <w:rsid w:val="00537035"/>
    <w:rsid w:val="00537300"/>
    <w:rsid w:val="0053779B"/>
    <w:rsid w:val="00537854"/>
    <w:rsid w:val="005378AA"/>
    <w:rsid w:val="00537C42"/>
    <w:rsid w:val="00537C61"/>
    <w:rsid w:val="00537CF6"/>
    <w:rsid w:val="00537D43"/>
    <w:rsid w:val="00537E7F"/>
    <w:rsid w:val="005400BC"/>
    <w:rsid w:val="00540304"/>
    <w:rsid w:val="00540437"/>
    <w:rsid w:val="00540AF1"/>
    <w:rsid w:val="00540D35"/>
    <w:rsid w:val="00540E34"/>
    <w:rsid w:val="00540F30"/>
    <w:rsid w:val="00540F4B"/>
    <w:rsid w:val="0054144C"/>
    <w:rsid w:val="00541B3F"/>
    <w:rsid w:val="00541CB8"/>
    <w:rsid w:val="005427AE"/>
    <w:rsid w:val="005427D7"/>
    <w:rsid w:val="005428BB"/>
    <w:rsid w:val="00542B93"/>
    <w:rsid w:val="00543466"/>
    <w:rsid w:val="0054357A"/>
    <w:rsid w:val="00543717"/>
    <w:rsid w:val="0054383E"/>
    <w:rsid w:val="00543A8D"/>
    <w:rsid w:val="00543B2D"/>
    <w:rsid w:val="00543F46"/>
    <w:rsid w:val="00543F92"/>
    <w:rsid w:val="00544082"/>
    <w:rsid w:val="00544918"/>
    <w:rsid w:val="00544928"/>
    <w:rsid w:val="0054498D"/>
    <w:rsid w:val="00544B77"/>
    <w:rsid w:val="00544E23"/>
    <w:rsid w:val="00545062"/>
    <w:rsid w:val="0054534A"/>
    <w:rsid w:val="0054540D"/>
    <w:rsid w:val="005459D3"/>
    <w:rsid w:val="00545C38"/>
    <w:rsid w:val="00545D61"/>
    <w:rsid w:val="005462CB"/>
    <w:rsid w:val="00546375"/>
    <w:rsid w:val="0054653E"/>
    <w:rsid w:val="00546B02"/>
    <w:rsid w:val="00546D0E"/>
    <w:rsid w:val="00546D78"/>
    <w:rsid w:val="0054707A"/>
    <w:rsid w:val="005473EA"/>
    <w:rsid w:val="005475E1"/>
    <w:rsid w:val="0054763F"/>
    <w:rsid w:val="00547841"/>
    <w:rsid w:val="00547A50"/>
    <w:rsid w:val="00547DF0"/>
    <w:rsid w:val="00547F6E"/>
    <w:rsid w:val="005501E1"/>
    <w:rsid w:val="0055043E"/>
    <w:rsid w:val="0055050E"/>
    <w:rsid w:val="00550811"/>
    <w:rsid w:val="005508DC"/>
    <w:rsid w:val="00550BFF"/>
    <w:rsid w:val="00550CF4"/>
    <w:rsid w:val="00550DB7"/>
    <w:rsid w:val="00550F07"/>
    <w:rsid w:val="00550FC4"/>
    <w:rsid w:val="00551288"/>
    <w:rsid w:val="005513E0"/>
    <w:rsid w:val="005514EE"/>
    <w:rsid w:val="005516B2"/>
    <w:rsid w:val="0055194B"/>
    <w:rsid w:val="00551A60"/>
    <w:rsid w:val="00551B63"/>
    <w:rsid w:val="00551FED"/>
    <w:rsid w:val="005520B4"/>
    <w:rsid w:val="00552C21"/>
    <w:rsid w:val="00552DB9"/>
    <w:rsid w:val="00552E5E"/>
    <w:rsid w:val="00553081"/>
    <w:rsid w:val="005535AA"/>
    <w:rsid w:val="005535C2"/>
    <w:rsid w:val="0055362B"/>
    <w:rsid w:val="005536A7"/>
    <w:rsid w:val="005537A2"/>
    <w:rsid w:val="00553DAD"/>
    <w:rsid w:val="00554758"/>
    <w:rsid w:val="00554ACD"/>
    <w:rsid w:val="00554C20"/>
    <w:rsid w:val="00554D72"/>
    <w:rsid w:val="00554DAD"/>
    <w:rsid w:val="00554FA2"/>
    <w:rsid w:val="005550E6"/>
    <w:rsid w:val="0055520C"/>
    <w:rsid w:val="005554BC"/>
    <w:rsid w:val="005558D9"/>
    <w:rsid w:val="00555B72"/>
    <w:rsid w:val="00555BD7"/>
    <w:rsid w:val="00555CF6"/>
    <w:rsid w:val="00556361"/>
    <w:rsid w:val="005564B8"/>
    <w:rsid w:val="005569FC"/>
    <w:rsid w:val="00556A21"/>
    <w:rsid w:val="00556E35"/>
    <w:rsid w:val="00556F11"/>
    <w:rsid w:val="00556FD5"/>
    <w:rsid w:val="005570F7"/>
    <w:rsid w:val="0055711F"/>
    <w:rsid w:val="00557270"/>
    <w:rsid w:val="00557359"/>
    <w:rsid w:val="00557827"/>
    <w:rsid w:val="00557B9E"/>
    <w:rsid w:val="00557DE4"/>
    <w:rsid w:val="00557F82"/>
    <w:rsid w:val="00560102"/>
    <w:rsid w:val="005606DA"/>
    <w:rsid w:val="005609D2"/>
    <w:rsid w:val="00560A3D"/>
    <w:rsid w:val="00560F0F"/>
    <w:rsid w:val="005610A0"/>
    <w:rsid w:val="005612D0"/>
    <w:rsid w:val="00561631"/>
    <w:rsid w:val="0056185C"/>
    <w:rsid w:val="00561E6D"/>
    <w:rsid w:val="00561F9C"/>
    <w:rsid w:val="005621A6"/>
    <w:rsid w:val="00562224"/>
    <w:rsid w:val="005623E8"/>
    <w:rsid w:val="00562537"/>
    <w:rsid w:val="005625F4"/>
    <w:rsid w:val="005626BF"/>
    <w:rsid w:val="005629B1"/>
    <w:rsid w:val="00562BBA"/>
    <w:rsid w:val="0056371A"/>
    <w:rsid w:val="00563955"/>
    <w:rsid w:val="005639FD"/>
    <w:rsid w:val="00563B74"/>
    <w:rsid w:val="00563D08"/>
    <w:rsid w:val="00563DFF"/>
    <w:rsid w:val="00563E54"/>
    <w:rsid w:val="00563F47"/>
    <w:rsid w:val="00563F55"/>
    <w:rsid w:val="00564021"/>
    <w:rsid w:val="005643B1"/>
    <w:rsid w:val="005647DB"/>
    <w:rsid w:val="005648E4"/>
    <w:rsid w:val="00565272"/>
    <w:rsid w:val="00565921"/>
    <w:rsid w:val="00565D02"/>
    <w:rsid w:val="00565F56"/>
    <w:rsid w:val="0056637F"/>
    <w:rsid w:val="00566803"/>
    <w:rsid w:val="005668BB"/>
    <w:rsid w:val="0056697E"/>
    <w:rsid w:val="00566AB4"/>
    <w:rsid w:val="00566CD4"/>
    <w:rsid w:val="005670DA"/>
    <w:rsid w:val="0056743F"/>
    <w:rsid w:val="005675E9"/>
    <w:rsid w:val="0056777A"/>
    <w:rsid w:val="00567783"/>
    <w:rsid w:val="00567877"/>
    <w:rsid w:val="00567949"/>
    <w:rsid w:val="00567BC4"/>
    <w:rsid w:val="00567C85"/>
    <w:rsid w:val="00567E2F"/>
    <w:rsid w:val="00567FC5"/>
    <w:rsid w:val="00570010"/>
    <w:rsid w:val="00570129"/>
    <w:rsid w:val="00570147"/>
    <w:rsid w:val="005704F0"/>
    <w:rsid w:val="00570623"/>
    <w:rsid w:val="00570AEF"/>
    <w:rsid w:val="00570F91"/>
    <w:rsid w:val="005712A4"/>
    <w:rsid w:val="005718A8"/>
    <w:rsid w:val="00571942"/>
    <w:rsid w:val="00571B5A"/>
    <w:rsid w:val="005721A4"/>
    <w:rsid w:val="00572203"/>
    <w:rsid w:val="005722BC"/>
    <w:rsid w:val="005723B6"/>
    <w:rsid w:val="005723BB"/>
    <w:rsid w:val="0057289B"/>
    <w:rsid w:val="005731E9"/>
    <w:rsid w:val="00573302"/>
    <w:rsid w:val="00573552"/>
    <w:rsid w:val="00573647"/>
    <w:rsid w:val="00573903"/>
    <w:rsid w:val="005739D7"/>
    <w:rsid w:val="00573B1A"/>
    <w:rsid w:val="00573D33"/>
    <w:rsid w:val="00573DC5"/>
    <w:rsid w:val="00574223"/>
    <w:rsid w:val="0057498C"/>
    <w:rsid w:val="00574D66"/>
    <w:rsid w:val="00574E2E"/>
    <w:rsid w:val="00575284"/>
    <w:rsid w:val="00575397"/>
    <w:rsid w:val="0057546D"/>
    <w:rsid w:val="0057554A"/>
    <w:rsid w:val="00575822"/>
    <w:rsid w:val="00575973"/>
    <w:rsid w:val="00575DBA"/>
    <w:rsid w:val="00575E87"/>
    <w:rsid w:val="0057604C"/>
    <w:rsid w:val="00576147"/>
    <w:rsid w:val="00576436"/>
    <w:rsid w:val="00576564"/>
    <w:rsid w:val="005767C0"/>
    <w:rsid w:val="00576DD5"/>
    <w:rsid w:val="00576E83"/>
    <w:rsid w:val="00576EAA"/>
    <w:rsid w:val="00576FFD"/>
    <w:rsid w:val="005773DC"/>
    <w:rsid w:val="00577618"/>
    <w:rsid w:val="005776CB"/>
    <w:rsid w:val="0057779C"/>
    <w:rsid w:val="00577812"/>
    <w:rsid w:val="005779D6"/>
    <w:rsid w:val="00577B17"/>
    <w:rsid w:val="00577DE7"/>
    <w:rsid w:val="0058007E"/>
    <w:rsid w:val="0058019F"/>
    <w:rsid w:val="00580408"/>
    <w:rsid w:val="00580CCE"/>
    <w:rsid w:val="005814E6"/>
    <w:rsid w:val="0058172C"/>
    <w:rsid w:val="00581958"/>
    <w:rsid w:val="00581A42"/>
    <w:rsid w:val="00581C03"/>
    <w:rsid w:val="00581D7D"/>
    <w:rsid w:val="005821CC"/>
    <w:rsid w:val="0058248D"/>
    <w:rsid w:val="0058255F"/>
    <w:rsid w:val="00582915"/>
    <w:rsid w:val="00582D68"/>
    <w:rsid w:val="00582E7D"/>
    <w:rsid w:val="00582E8D"/>
    <w:rsid w:val="005833D3"/>
    <w:rsid w:val="00583944"/>
    <w:rsid w:val="00583E5F"/>
    <w:rsid w:val="00584205"/>
    <w:rsid w:val="00584757"/>
    <w:rsid w:val="00584838"/>
    <w:rsid w:val="00584BFE"/>
    <w:rsid w:val="00584D23"/>
    <w:rsid w:val="00584D98"/>
    <w:rsid w:val="00584EC4"/>
    <w:rsid w:val="00585172"/>
    <w:rsid w:val="00585537"/>
    <w:rsid w:val="005855E7"/>
    <w:rsid w:val="00585692"/>
    <w:rsid w:val="00585CF3"/>
    <w:rsid w:val="00585F57"/>
    <w:rsid w:val="00586025"/>
    <w:rsid w:val="005860DE"/>
    <w:rsid w:val="00586302"/>
    <w:rsid w:val="005864D9"/>
    <w:rsid w:val="0058654F"/>
    <w:rsid w:val="0058662C"/>
    <w:rsid w:val="0058693D"/>
    <w:rsid w:val="00586ACB"/>
    <w:rsid w:val="00586E61"/>
    <w:rsid w:val="00586F26"/>
    <w:rsid w:val="00587122"/>
    <w:rsid w:val="00587E8E"/>
    <w:rsid w:val="005901D4"/>
    <w:rsid w:val="00590248"/>
    <w:rsid w:val="005903FA"/>
    <w:rsid w:val="005906DF"/>
    <w:rsid w:val="0059077C"/>
    <w:rsid w:val="00590885"/>
    <w:rsid w:val="00591000"/>
    <w:rsid w:val="0059119C"/>
    <w:rsid w:val="005911E2"/>
    <w:rsid w:val="00591608"/>
    <w:rsid w:val="005916D5"/>
    <w:rsid w:val="005918AF"/>
    <w:rsid w:val="00591940"/>
    <w:rsid w:val="0059197A"/>
    <w:rsid w:val="00591C6E"/>
    <w:rsid w:val="00591CC1"/>
    <w:rsid w:val="00591EF0"/>
    <w:rsid w:val="005926E2"/>
    <w:rsid w:val="00592AA8"/>
    <w:rsid w:val="005931F5"/>
    <w:rsid w:val="00593202"/>
    <w:rsid w:val="0059340C"/>
    <w:rsid w:val="00593546"/>
    <w:rsid w:val="005940A3"/>
    <w:rsid w:val="00594376"/>
    <w:rsid w:val="00594451"/>
    <w:rsid w:val="0059465D"/>
    <w:rsid w:val="005949B6"/>
    <w:rsid w:val="00594A50"/>
    <w:rsid w:val="005951D7"/>
    <w:rsid w:val="0059526A"/>
    <w:rsid w:val="005958A4"/>
    <w:rsid w:val="00595993"/>
    <w:rsid w:val="00595CF0"/>
    <w:rsid w:val="00595ECA"/>
    <w:rsid w:val="00596061"/>
    <w:rsid w:val="005961F8"/>
    <w:rsid w:val="0059622C"/>
    <w:rsid w:val="0059629E"/>
    <w:rsid w:val="005967D4"/>
    <w:rsid w:val="0059681A"/>
    <w:rsid w:val="00596B26"/>
    <w:rsid w:val="00596B65"/>
    <w:rsid w:val="00596CA5"/>
    <w:rsid w:val="00596DEF"/>
    <w:rsid w:val="00597096"/>
    <w:rsid w:val="0059734D"/>
    <w:rsid w:val="00597394"/>
    <w:rsid w:val="0059741D"/>
    <w:rsid w:val="0059783C"/>
    <w:rsid w:val="00597C14"/>
    <w:rsid w:val="005A03EA"/>
    <w:rsid w:val="005A05F8"/>
    <w:rsid w:val="005A0983"/>
    <w:rsid w:val="005A0C39"/>
    <w:rsid w:val="005A0C46"/>
    <w:rsid w:val="005A0D27"/>
    <w:rsid w:val="005A127B"/>
    <w:rsid w:val="005A12CE"/>
    <w:rsid w:val="005A14C5"/>
    <w:rsid w:val="005A16D2"/>
    <w:rsid w:val="005A1867"/>
    <w:rsid w:val="005A19A2"/>
    <w:rsid w:val="005A19B3"/>
    <w:rsid w:val="005A1B49"/>
    <w:rsid w:val="005A1BD4"/>
    <w:rsid w:val="005A214D"/>
    <w:rsid w:val="005A2383"/>
    <w:rsid w:val="005A2C93"/>
    <w:rsid w:val="005A2D82"/>
    <w:rsid w:val="005A2DFD"/>
    <w:rsid w:val="005A2E96"/>
    <w:rsid w:val="005A3447"/>
    <w:rsid w:val="005A3602"/>
    <w:rsid w:val="005A36B6"/>
    <w:rsid w:val="005A3DA1"/>
    <w:rsid w:val="005A4487"/>
    <w:rsid w:val="005A4609"/>
    <w:rsid w:val="005A4977"/>
    <w:rsid w:val="005A4A3A"/>
    <w:rsid w:val="005A4ECB"/>
    <w:rsid w:val="005A5135"/>
    <w:rsid w:val="005A54D4"/>
    <w:rsid w:val="005A5968"/>
    <w:rsid w:val="005A5B14"/>
    <w:rsid w:val="005A5B44"/>
    <w:rsid w:val="005A5BDE"/>
    <w:rsid w:val="005A602F"/>
    <w:rsid w:val="005A60E0"/>
    <w:rsid w:val="005A633C"/>
    <w:rsid w:val="005A6889"/>
    <w:rsid w:val="005A6BF6"/>
    <w:rsid w:val="005A6E15"/>
    <w:rsid w:val="005A6E9C"/>
    <w:rsid w:val="005A6EFE"/>
    <w:rsid w:val="005A7074"/>
    <w:rsid w:val="005A7121"/>
    <w:rsid w:val="005A71D1"/>
    <w:rsid w:val="005A7276"/>
    <w:rsid w:val="005A74F7"/>
    <w:rsid w:val="005A756C"/>
    <w:rsid w:val="005A7869"/>
    <w:rsid w:val="005A7895"/>
    <w:rsid w:val="005A7B3C"/>
    <w:rsid w:val="005B0135"/>
    <w:rsid w:val="005B0157"/>
    <w:rsid w:val="005B045A"/>
    <w:rsid w:val="005B08D3"/>
    <w:rsid w:val="005B0963"/>
    <w:rsid w:val="005B0BE8"/>
    <w:rsid w:val="005B0C83"/>
    <w:rsid w:val="005B10C2"/>
    <w:rsid w:val="005B1338"/>
    <w:rsid w:val="005B141E"/>
    <w:rsid w:val="005B18B3"/>
    <w:rsid w:val="005B1AB3"/>
    <w:rsid w:val="005B1F12"/>
    <w:rsid w:val="005B20C7"/>
    <w:rsid w:val="005B215A"/>
    <w:rsid w:val="005B25EC"/>
    <w:rsid w:val="005B2820"/>
    <w:rsid w:val="005B2CBF"/>
    <w:rsid w:val="005B31C8"/>
    <w:rsid w:val="005B3204"/>
    <w:rsid w:val="005B32A0"/>
    <w:rsid w:val="005B363A"/>
    <w:rsid w:val="005B466D"/>
    <w:rsid w:val="005B4BB9"/>
    <w:rsid w:val="005B4EE9"/>
    <w:rsid w:val="005B4F48"/>
    <w:rsid w:val="005B5615"/>
    <w:rsid w:val="005B56F3"/>
    <w:rsid w:val="005B5751"/>
    <w:rsid w:val="005B57A5"/>
    <w:rsid w:val="005B5CB2"/>
    <w:rsid w:val="005B60C7"/>
    <w:rsid w:val="005B60D6"/>
    <w:rsid w:val="005B636A"/>
    <w:rsid w:val="005B640F"/>
    <w:rsid w:val="005B6763"/>
    <w:rsid w:val="005B69F0"/>
    <w:rsid w:val="005B6A18"/>
    <w:rsid w:val="005B7207"/>
    <w:rsid w:val="005B780A"/>
    <w:rsid w:val="005B7E45"/>
    <w:rsid w:val="005B7F65"/>
    <w:rsid w:val="005C0039"/>
    <w:rsid w:val="005C0448"/>
    <w:rsid w:val="005C0981"/>
    <w:rsid w:val="005C098F"/>
    <w:rsid w:val="005C0A8D"/>
    <w:rsid w:val="005C0BF7"/>
    <w:rsid w:val="005C0BFD"/>
    <w:rsid w:val="005C1201"/>
    <w:rsid w:val="005C131D"/>
    <w:rsid w:val="005C1634"/>
    <w:rsid w:val="005C1AC5"/>
    <w:rsid w:val="005C1B7D"/>
    <w:rsid w:val="005C2352"/>
    <w:rsid w:val="005C2882"/>
    <w:rsid w:val="005C28BB"/>
    <w:rsid w:val="005C2956"/>
    <w:rsid w:val="005C2DD4"/>
    <w:rsid w:val="005C2E02"/>
    <w:rsid w:val="005C2E7C"/>
    <w:rsid w:val="005C2F04"/>
    <w:rsid w:val="005C3288"/>
    <w:rsid w:val="005C3317"/>
    <w:rsid w:val="005C389C"/>
    <w:rsid w:val="005C3A23"/>
    <w:rsid w:val="005C3B0C"/>
    <w:rsid w:val="005C3BF3"/>
    <w:rsid w:val="005C3CFC"/>
    <w:rsid w:val="005C3E80"/>
    <w:rsid w:val="005C407B"/>
    <w:rsid w:val="005C4284"/>
    <w:rsid w:val="005C43E2"/>
    <w:rsid w:val="005C469E"/>
    <w:rsid w:val="005C4877"/>
    <w:rsid w:val="005C4892"/>
    <w:rsid w:val="005C4922"/>
    <w:rsid w:val="005C4EAA"/>
    <w:rsid w:val="005C5095"/>
    <w:rsid w:val="005C53DD"/>
    <w:rsid w:val="005C58FD"/>
    <w:rsid w:val="005C5A7E"/>
    <w:rsid w:val="005C5B7B"/>
    <w:rsid w:val="005C5BE0"/>
    <w:rsid w:val="005C5DF6"/>
    <w:rsid w:val="005C5EE0"/>
    <w:rsid w:val="005C6425"/>
    <w:rsid w:val="005C65AB"/>
    <w:rsid w:val="005C684A"/>
    <w:rsid w:val="005C69BE"/>
    <w:rsid w:val="005C6A03"/>
    <w:rsid w:val="005C6ADA"/>
    <w:rsid w:val="005C6C3D"/>
    <w:rsid w:val="005C6DDF"/>
    <w:rsid w:val="005C71A6"/>
    <w:rsid w:val="005C71EA"/>
    <w:rsid w:val="005C730E"/>
    <w:rsid w:val="005C74DA"/>
    <w:rsid w:val="005C78FE"/>
    <w:rsid w:val="005C7BF3"/>
    <w:rsid w:val="005C7DFF"/>
    <w:rsid w:val="005D0215"/>
    <w:rsid w:val="005D027C"/>
    <w:rsid w:val="005D077F"/>
    <w:rsid w:val="005D10A9"/>
    <w:rsid w:val="005D1144"/>
    <w:rsid w:val="005D19AC"/>
    <w:rsid w:val="005D1C5B"/>
    <w:rsid w:val="005D1EF4"/>
    <w:rsid w:val="005D2072"/>
    <w:rsid w:val="005D221A"/>
    <w:rsid w:val="005D2333"/>
    <w:rsid w:val="005D234F"/>
    <w:rsid w:val="005D24AF"/>
    <w:rsid w:val="005D289E"/>
    <w:rsid w:val="005D297B"/>
    <w:rsid w:val="005D2A4F"/>
    <w:rsid w:val="005D2A97"/>
    <w:rsid w:val="005D2F3A"/>
    <w:rsid w:val="005D3430"/>
    <w:rsid w:val="005D360C"/>
    <w:rsid w:val="005D36CE"/>
    <w:rsid w:val="005D39EF"/>
    <w:rsid w:val="005D3B50"/>
    <w:rsid w:val="005D3E72"/>
    <w:rsid w:val="005D4028"/>
    <w:rsid w:val="005D4937"/>
    <w:rsid w:val="005D4997"/>
    <w:rsid w:val="005D51F0"/>
    <w:rsid w:val="005D5298"/>
    <w:rsid w:val="005D52A1"/>
    <w:rsid w:val="005D532B"/>
    <w:rsid w:val="005D5392"/>
    <w:rsid w:val="005D54EF"/>
    <w:rsid w:val="005D5533"/>
    <w:rsid w:val="005D55A7"/>
    <w:rsid w:val="005D55D2"/>
    <w:rsid w:val="005D56BC"/>
    <w:rsid w:val="005D5866"/>
    <w:rsid w:val="005D5C1F"/>
    <w:rsid w:val="005D603E"/>
    <w:rsid w:val="005D60C9"/>
    <w:rsid w:val="005D6198"/>
    <w:rsid w:val="005D660C"/>
    <w:rsid w:val="005D678B"/>
    <w:rsid w:val="005D6C8E"/>
    <w:rsid w:val="005D73A6"/>
    <w:rsid w:val="005D7574"/>
    <w:rsid w:val="005D77C7"/>
    <w:rsid w:val="005D790D"/>
    <w:rsid w:val="005D7951"/>
    <w:rsid w:val="005E018B"/>
    <w:rsid w:val="005E0524"/>
    <w:rsid w:val="005E0660"/>
    <w:rsid w:val="005E0815"/>
    <w:rsid w:val="005E0A1F"/>
    <w:rsid w:val="005E0D4F"/>
    <w:rsid w:val="005E0E6C"/>
    <w:rsid w:val="005E1480"/>
    <w:rsid w:val="005E1512"/>
    <w:rsid w:val="005E15E3"/>
    <w:rsid w:val="005E1A55"/>
    <w:rsid w:val="005E1BEE"/>
    <w:rsid w:val="005E1E55"/>
    <w:rsid w:val="005E2005"/>
    <w:rsid w:val="005E224F"/>
    <w:rsid w:val="005E2460"/>
    <w:rsid w:val="005E262C"/>
    <w:rsid w:val="005E2A6D"/>
    <w:rsid w:val="005E2B22"/>
    <w:rsid w:val="005E2C61"/>
    <w:rsid w:val="005E2CA4"/>
    <w:rsid w:val="005E2CC8"/>
    <w:rsid w:val="005E3046"/>
    <w:rsid w:val="005E3510"/>
    <w:rsid w:val="005E36D6"/>
    <w:rsid w:val="005E38C2"/>
    <w:rsid w:val="005E3967"/>
    <w:rsid w:val="005E3A70"/>
    <w:rsid w:val="005E3D05"/>
    <w:rsid w:val="005E3E22"/>
    <w:rsid w:val="005E3F5B"/>
    <w:rsid w:val="005E443D"/>
    <w:rsid w:val="005E449A"/>
    <w:rsid w:val="005E45FB"/>
    <w:rsid w:val="005E4723"/>
    <w:rsid w:val="005E4E46"/>
    <w:rsid w:val="005E50AA"/>
    <w:rsid w:val="005E51EC"/>
    <w:rsid w:val="005E521A"/>
    <w:rsid w:val="005E526A"/>
    <w:rsid w:val="005E5311"/>
    <w:rsid w:val="005E571B"/>
    <w:rsid w:val="005E5771"/>
    <w:rsid w:val="005E5A02"/>
    <w:rsid w:val="005E5B7D"/>
    <w:rsid w:val="005E6317"/>
    <w:rsid w:val="005E636F"/>
    <w:rsid w:val="005E6EC2"/>
    <w:rsid w:val="005E6F07"/>
    <w:rsid w:val="005E74B4"/>
    <w:rsid w:val="005E79D7"/>
    <w:rsid w:val="005E7E6E"/>
    <w:rsid w:val="005E7E8D"/>
    <w:rsid w:val="005F006A"/>
    <w:rsid w:val="005F00E1"/>
    <w:rsid w:val="005F00FC"/>
    <w:rsid w:val="005F018E"/>
    <w:rsid w:val="005F0231"/>
    <w:rsid w:val="005F02B2"/>
    <w:rsid w:val="005F0691"/>
    <w:rsid w:val="005F09F5"/>
    <w:rsid w:val="005F0A4B"/>
    <w:rsid w:val="005F0A74"/>
    <w:rsid w:val="005F0BF7"/>
    <w:rsid w:val="005F1311"/>
    <w:rsid w:val="005F14F7"/>
    <w:rsid w:val="005F1558"/>
    <w:rsid w:val="005F188D"/>
    <w:rsid w:val="005F1D8D"/>
    <w:rsid w:val="005F2107"/>
    <w:rsid w:val="005F21C9"/>
    <w:rsid w:val="005F241F"/>
    <w:rsid w:val="005F247D"/>
    <w:rsid w:val="005F26B1"/>
    <w:rsid w:val="005F2EF6"/>
    <w:rsid w:val="005F30BF"/>
    <w:rsid w:val="005F372C"/>
    <w:rsid w:val="005F3739"/>
    <w:rsid w:val="005F3E71"/>
    <w:rsid w:val="005F3FB8"/>
    <w:rsid w:val="005F4312"/>
    <w:rsid w:val="005F44DE"/>
    <w:rsid w:val="005F4523"/>
    <w:rsid w:val="005F4788"/>
    <w:rsid w:val="005F4856"/>
    <w:rsid w:val="005F4B69"/>
    <w:rsid w:val="005F4D38"/>
    <w:rsid w:val="005F4EA7"/>
    <w:rsid w:val="005F502B"/>
    <w:rsid w:val="005F5040"/>
    <w:rsid w:val="005F51F2"/>
    <w:rsid w:val="005F520D"/>
    <w:rsid w:val="005F5249"/>
    <w:rsid w:val="005F52DD"/>
    <w:rsid w:val="005F54FF"/>
    <w:rsid w:val="005F56AE"/>
    <w:rsid w:val="005F5978"/>
    <w:rsid w:val="005F5CB9"/>
    <w:rsid w:val="005F5E35"/>
    <w:rsid w:val="005F61FC"/>
    <w:rsid w:val="005F6447"/>
    <w:rsid w:val="005F645F"/>
    <w:rsid w:val="005F64CD"/>
    <w:rsid w:val="005F653A"/>
    <w:rsid w:val="005F6615"/>
    <w:rsid w:val="005F68A0"/>
    <w:rsid w:val="005F69B7"/>
    <w:rsid w:val="005F6AC0"/>
    <w:rsid w:val="005F6BFF"/>
    <w:rsid w:val="005F6D52"/>
    <w:rsid w:val="005F73C6"/>
    <w:rsid w:val="005F7421"/>
    <w:rsid w:val="005F7DB6"/>
    <w:rsid w:val="005F7E7B"/>
    <w:rsid w:val="0060026E"/>
    <w:rsid w:val="00600389"/>
    <w:rsid w:val="0060043C"/>
    <w:rsid w:val="00600815"/>
    <w:rsid w:val="006009AC"/>
    <w:rsid w:val="006009F3"/>
    <w:rsid w:val="00600E99"/>
    <w:rsid w:val="006011BA"/>
    <w:rsid w:val="0060144C"/>
    <w:rsid w:val="00601957"/>
    <w:rsid w:val="00601AF8"/>
    <w:rsid w:val="00602081"/>
    <w:rsid w:val="00602180"/>
    <w:rsid w:val="00602383"/>
    <w:rsid w:val="006023DB"/>
    <w:rsid w:val="006026AC"/>
    <w:rsid w:val="006026E6"/>
    <w:rsid w:val="00602BEF"/>
    <w:rsid w:val="00602E57"/>
    <w:rsid w:val="00603012"/>
    <w:rsid w:val="006030BB"/>
    <w:rsid w:val="006030BD"/>
    <w:rsid w:val="00603808"/>
    <w:rsid w:val="00603C02"/>
    <w:rsid w:val="00603C48"/>
    <w:rsid w:val="006047B1"/>
    <w:rsid w:val="006047D4"/>
    <w:rsid w:val="006049BF"/>
    <w:rsid w:val="00604C70"/>
    <w:rsid w:val="00604DE8"/>
    <w:rsid w:val="00605261"/>
    <w:rsid w:val="0060548A"/>
    <w:rsid w:val="006054D2"/>
    <w:rsid w:val="006055B8"/>
    <w:rsid w:val="0060563D"/>
    <w:rsid w:val="00605BE0"/>
    <w:rsid w:val="00605BE6"/>
    <w:rsid w:val="00605FAA"/>
    <w:rsid w:val="00606608"/>
    <w:rsid w:val="0060683B"/>
    <w:rsid w:val="006069D1"/>
    <w:rsid w:val="00606BA1"/>
    <w:rsid w:val="00606C4D"/>
    <w:rsid w:val="00606D98"/>
    <w:rsid w:val="00606FA7"/>
    <w:rsid w:val="0060719F"/>
    <w:rsid w:val="0060722B"/>
    <w:rsid w:val="006076E6"/>
    <w:rsid w:val="00607856"/>
    <w:rsid w:val="006079D1"/>
    <w:rsid w:val="00607B19"/>
    <w:rsid w:val="00607BD8"/>
    <w:rsid w:val="00607C4F"/>
    <w:rsid w:val="00607CC4"/>
    <w:rsid w:val="00607DA0"/>
    <w:rsid w:val="00610168"/>
    <w:rsid w:val="006101F7"/>
    <w:rsid w:val="0061038F"/>
    <w:rsid w:val="00610465"/>
    <w:rsid w:val="00610479"/>
    <w:rsid w:val="00610764"/>
    <w:rsid w:val="00610A82"/>
    <w:rsid w:val="00610A92"/>
    <w:rsid w:val="00610BAF"/>
    <w:rsid w:val="00611228"/>
    <w:rsid w:val="0061156F"/>
    <w:rsid w:val="00611990"/>
    <w:rsid w:val="00611B42"/>
    <w:rsid w:val="00611BAB"/>
    <w:rsid w:val="00611CF8"/>
    <w:rsid w:val="00611E6A"/>
    <w:rsid w:val="00611EAE"/>
    <w:rsid w:val="00612031"/>
    <w:rsid w:val="006120DC"/>
    <w:rsid w:val="0061213B"/>
    <w:rsid w:val="006122F0"/>
    <w:rsid w:val="006124F6"/>
    <w:rsid w:val="0061286F"/>
    <w:rsid w:val="00612A4F"/>
    <w:rsid w:val="00612B0B"/>
    <w:rsid w:val="00612E7B"/>
    <w:rsid w:val="0061317B"/>
    <w:rsid w:val="006131C5"/>
    <w:rsid w:val="006131EF"/>
    <w:rsid w:val="00613534"/>
    <w:rsid w:val="0061373D"/>
    <w:rsid w:val="0061388C"/>
    <w:rsid w:val="006139BA"/>
    <w:rsid w:val="00613A9B"/>
    <w:rsid w:val="00613B66"/>
    <w:rsid w:val="00613CCA"/>
    <w:rsid w:val="00614424"/>
    <w:rsid w:val="006146E4"/>
    <w:rsid w:val="006148CD"/>
    <w:rsid w:val="00614C5D"/>
    <w:rsid w:val="00614D6C"/>
    <w:rsid w:val="00614E47"/>
    <w:rsid w:val="0061530F"/>
    <w:rsid w:val="006154AB"/>
    <w:rsid w:val="0061557B"/>
    <w:rsid w:val="006160C4"/>
    <w:rsid w:val="00616265"/>
    <w:rsid w:val="006163CF"/>
    <w:rsid w:val="0061668C"/>
    <w:rsid w:val="00616B95"/>
    <w:rsid w:val="00617344"/>
    <w:rsid w:val="00617401"/>
    <w:rsid w:val="006176D6"/>
    <w:rsid w:val="00617784"/>
    <w:rsid w:val="00617C86"/>
    <w:rsid w:val="00617EEA"/>
    <w:rsid w:val="006206B5"/>
    <w:rsid w:val="006207FC"/>
    <w:rsid w:val="006208FF"/>
    <w:rsid w:val="00620D96"/>
    <w:rsid w:val="00621183"/>
    <w:rsid w:val="0062127A"/>
    <w:rsid w:val="0062190D"/>
    <w:rsid w:val="006219AD"/>
    <w:rsid w:val="00621B7A"/>
    <w:rsid w:val="00621C4D"/>
    <w:rsid w:val="00621C61"/>
    <w:rsid w:val="00621D64"/>
    <w:rsid w:val="00621E7D"/>
    <w:rsid w:val="00622278"/>
    <w:rsid w:val="0062254B"/>
    <w:rsid w:val="00622929"/>
    <w:rsid w:val="00622E59"/>
    <w:rsid w:val="00623205"/>
    <w:rsid w:val="00623262"/>
    <w:rsid w:val="006233E1"/>
    <w:rsid w:val="00623446"/>
    <w:rsid w:val="00623488"/>
    <w:rsid w:val="00623515"/>
    <w:rsid w:val="006235BB"/>
    <w:rsid w:val="006236DB"/>
    <w:rsid w:val="0062377F"/>
    <w:rsid w:val="00623907"/>
    <w:rsid w:val="00623954"/>
    <w:rsid w:val="00623B98"/>
    <w:rsid w:val="00623C13"/>
    <w:rsid w:val="0062415F"/>
    <w:rsid w:val="00624376"/>
    <w:rsid w:val="0062460B"/>
    <w:rsid w:val="0062479F"/>
    <w:rsid w:val="0062495F"/>
    <w:rsid w:val="00624A70"/>
    <w:rsid w:val="00624AB7"/>
    <w:rsid w:val="00624B39"/>
    <w:rsid w:val="00624BA2"/>
    <w:rsid w:val="00624DAB"/>
    <w:rsid w:val="0062509A"/>
    <w:rsid w:val="0062595E"/>
    <w:rsid w:val="00625C6D"/>
    <w:rsid w:val="00625F42"/>
    <w:rsid w:val="00626004"/>
    <w:rsid w:val="006262F3"/>
    <w:rsid w:val="006264E6"/>
    <w:rsid w:val="006269A8"/>
    <w:rsid w:val="00626A30"/>
    <w:rsid w:val="00626CEC"/>
    <w:rsid w:val="0062703F"/>
    <w:rsid w:val="006270A1"/>
    <w:rsid w:val="006270A7"/>
    <w:rsid w:val="006272A4"/>
    <w:rsid w:val="00627705"/>
    <w:rsid w:val="0062773E"/>
    <w:rsid w:val="0062796F"/>
    <w:rsid w:val="006279C8"/>
    <w:rsid w:val="00627D4A"/>
    <w:rsid w:val="006300E3"/>
    <w:rsid w:val="0063013E"/>
    <w:rsid w:val="006306A9"/>
    <w:rsid w:val="006307DF"/>
    <w:rsid w:val="00630A13"/>
    <w:rsid w:val="00630A60"/>
    <w:rsid w:val="00630EB3"/>
    <w:rsid w:val="006312D6"/>
    <w:rsid w:val="00631344"/>
    <w:rsid w:val="0063139E"/>
    <w:rsid w:val="006314DF"/>
    <w:rsid w:val="00631605"/>
    <w:rsid w:val="0063176C"/>
    <w:rsid w:val="00631A71"/>
    <w:rsid w:val="00631DA7"/>
    <w:rsid w:val="00631E62"/>
    <w:rsid w:val="00631FF6"/>
    <w:rsid w:val="00632021"/>
    <w:rsid w:val="0063274C"/>
    <w:rsid w:val="00632A39"/>
    <w:rsid w:val="00632C15"/>
    <w:rsid w:val="00632EE5"/>
    <w:rsid w:val="006334FA"/>
    <w:rsid w:val="00633969"/>
    <w:rsid w:val="00633A06"/>
    <w:rsid w:val="00633A5F"/>
    <w:rsid w:val="00633CAE"/>
    <w:rsid w:val="00633E70"/>
    <w:rsid w:val="006340AF"/>
    <w:rsid w:val="006341F7"/>
    <w:rsid w:val="00634297"/>
    <w:rsid w:val="00634C12"/>
    <w:rsid w:val="00634C5F"/>
    <w:rsid w:val="00634CB5"/>
    <w:rsid w:val="00634ECD"/>
    <w:rsid w:val="00634F72"/>
    <w:rsid w:val="00635127"/>
    <w:rsid w:val="00635301"/>
    <w:rsid w:val="00635317"/>
    <w:rsid w:val="00635457"/>
    <w:rsid w:val="00635485"/>
    <w:rsid w:val="0063561D"/>
    <w:rsid w:val="0063563F"/>
    <w:rsid w:val="00635860"/>
    <w:rsid w:val="006359F5"/>
    <w:rsid w:val="00635C89"/>
    <w:rsid w:val="00635DF2"/>
    <w:rsid w:val="00635E59"/>
    <w:rsid w:val="00636336"/>
    <w:rsid w:val="00636542"/>
    <w:rsid w:val="006366DB"/>
    <w:rsid w:val="00636717"/>
    <w:rsid w:val="00636C84"/>
    <w:rsid w:val="00636CAE"/>
    <w:rsid w:val="00636DF1"/>
    <w:rsid w:val="00636E73"/>
    <w:rsid w:val="0063717F"/>
    <w:rsid w:val="00637224"/>
    <w:rsid w:val="006377C8"/>
    <w:rsid w:val="00637999"/>
    <w:rsid w:val="00637B92"/>
    <w:rsid w:val="00637C9E"/>
    <w:rsid w:val="00637CC6"/>
    <w:rsid w:val="00637D06"/>
    <w:rsid w:val="00637E56"/>
    <w:rsid w:val="006400B3"/>
    <w:rsid w:val="00640161"/>
    <w:rsid w:val="0064022B"/>
    <w:rsid w:val="00640412"/>
    <w:rsid w:val="006405B9"/>
    <w:rsid w:val="00640967"/>
    <w:rsid w:val="006409F4"/>
    <w:rsid w:val="00640AA9"/>
    <w:rsid w:val="00640AEF"/>
    <w:rsid w:val="00640D07"/>
    <w:rsid w:val="00641163"/>
    <w:rsid w:val="00641298"/>
    <w:rsid w:val="0064145C"/>
    <w:rsid w:val="00641721"/>
    <w:rsid w:val="00641F9C"/>
    <w:rsid w:val="0064200B"/>
    <w:rsid w:val="0064202D"/>
    <w:rsid w:val="0064226C"/>
    <w:rsid w:val="0064238B"/>
    <w:rsid w:val="00642605"/>
    <w:rsid w:val="006429DB"/>
    <w:rsid w:val="00642A43"/>
    <w:rsid w:val="00642C89"/>
    <w:rsid w:val="00642E56"/>
    <w:rsid w:val="00642FD8"/>
    <w:rsid w:val="006430AE"/>
    <w:rsid w:val="0064310B"/>
    <w:rsid w:val="006431A1"/>
    <w:rsid w:val="00643313"/>
    <w:rsid w:val="0064346C"/>
    <w:rsid w:val="006434A3"/>
    <w:rsid w:val="00643563"/>
    <w:rsid w:val="006439A0"/>
    <w:rsid w:val="006439E9"/>
    <w:rsid w:val="00643AE4"/>
    <w:rsid w:val="00643DE6"/>
    <w:rsid w:val="00644553"/>
    <w:rsid w:val="00644E7A"/>
    <w:rsid w:val="00644E7E"/>
    <w:rsid w:val="00644E87"/>
    <w:rsid w:val="0064511E"/>
    <w:rsid w:val="00645339"/>
    <w:rsid w:val="00645457"/>
    <w:rsid w:val="00645512"/>
    <w:rsid w:val="006457C8"/>
    <w:rsid w:val="00645D23"/>
    <w:rsid w:val="00645EBF"/>
    <w:rsid w:val="00646231"/>
    <w:rsid w:val="00646235"/>
    <w:rsid w:val="00646259"/>
    <w:rsid w:val="0064625A"/>
    <w:rsid w:val="0064670F"/>
    <w:rsid w:val="006469BA"/>
    <w:rsid w:val="00646E88"/>
    <w:rsid w:val="00646EE8"/>
    <w:rsid w:val="00646F62"/>
    <w:rsid w:val="00646FE0"/>
    <w:rsid w:val="0064706F"/>
    <w:rsid w:val="0064732A"/>
    <w:rsid w:val="006474B3"/>
    <w:rsid w:val="006474F2"/>
    <w:rsid w:val="006475CC"/>
    <w:rsid w:val="00647EB2"/>
    <w:rsid w:val="00647FD7"/>
    <w:rsid w:val="0065008E"/>
    <w:rsid w:val="00650092"/>
    <w:rsid w:val="006506EC"/>
    <w:rsid w:val="0065098C"/>
    <w:rsid w:val="00650D8F"/>
    <w:rsid w:val="00651340"/>
    <w:rsid w:val="006513A5"/>
    <w:rsid w:val="006513C3"/>
    <w:rsid w:val="00651686"/>
    <w:rsid w:val="0065172C"/>
    <w:rsid w:val="00651740"/>
    <w:rsid w:val="0065180D"/>
    <w:rsid w:val="00651A4F"/>
    <w:rsid w:val="00651C93"/>
    <w:rsid w:val="00651CD7"/>
    <w:rsid w:val="00651E14"/>
    <w:rsid w:val="00651FF6"/>
    <w:rsid w:val="006520E3"/>
    <w:rsid w:val="006522EC"/>
    <w:rsid w:val="006527D6"/>
    <w:rsid w:val="00652939"/>
    <w:rsid w:val="0065299B"/>
    <w:rsid w:val="00652AA8"/>
    <w:rsid w:val="00652CC1"/>
    <w:rsid w:val="0065326D"/>
    <w:rsid w:val="0065343C"/>
    <w:rsid w:val="0065343E"/>
    <w:rsid w:val="0065373D"/>
    <w:rsid w:val="00653842"/>
    <w:rsid w:val="006539EE"/>
    <w:rsid w:val="00653E17"/>
    <w:rsid w:val="0065406F"/>
    <w:rsid w:val="00654090"/>
    <w:rsid w:val="00654280"/>
    <w:rsid w:val="006542F2"/>
    <w:rsid w:val="006543E4"/>
    <w:rsid w:val="006546BB"/>
    <w:rsid w:val="0065481D"/>
    <w:rsid w:val="00654A84"/>
    <w:rsid w:val="00654AB8"/>
    <w:rsid w:val="00654AD7"/>
    <w:rsid w:val="00654B50"/>
    <w:rsid w:val="00654B83"/>
    <w:rsid w:val="006550AE"/>
    <w:rsid w:val="00655436"/>
    <w:rsid w:val="006554E8"/>
    <w:rsid w:val="006555CF"/>
    <w:rsid w:val="006556B5"/>
    <w:rsid w:val="00655798"/>
    <w:rsid w:val="006559E6"/>
    <w:rsid w:val="00655ACC"/>
    <w:rsid w:val="00655CB3"/>
    <w:rsid w:val="00656066"/>
    <w:rsid w:val="006561E2"/>
    <w:rsid w:val="0065663A"/>
    <w:rsid w:val="00656AF0"/>
    <w:rsid w:val="00656C7F"/>
    <w:rsid w:val="00656CC2"/>
    <w:rsid w:val="00656E87"/>
    <w:rsid w:val="00656F8B"/>
    <w:rsid w:val="00656FCA"/>
    <w:rsid w:val="00657366"/>
    <w:rsid w:val="0065795A"/>
    <w:rsid w:val="00657AE5"/>
    <w:rsid w:val="00657BE2"/>
    <w:rsid w:val="00657C4B"/>
    <w:rsid w:val="00657EBC"/>
    <w:rsid w:val="00657EC9"/>
    <w:rsid w:val="00657F70"/>
    <w:rsid w:val="00657FC6"/>
    <w:rsid w:val="00660110"/>
    <w:rsid w:val="0066015F"/>
    <w:rsid w:val="00660361"/>
    <w:rsid w:val="006604B7"/>
    <w:rsid w:val="006605BE"/>
    <w:rsid w:val="00660675"/>
    <w:rsid w:val="00660BE4"/>
    <w:rsid w:val="00660D14"/>
    <w:rsid w:val="00660E38"/>
    <w:rsid w:val="00660E89"/>
    <w:rsid w:val="00660EFE"/>
    <w:rsid w:val="006619C8"/>
    <w:rsid w:val="00661BC4"/>
    <w:rsid w:val="00661DD0"/>
    <w:rsid w:val="006621A6"/>
    <w:rsid w:val="0066224E"/>
    <w:rsid w:val="006626D9"/>
    <w:rsid w:val="00662883"/>
    <w:rsid w:val="00662EDB"/>
    <w:rsid w:val="0066301F"/>
    <w:rsid w:val="006631F7"/>
    <w:rsid w:val="006633C0"/>
    <w:rsid w:val="006635CF"/>
    <w:rsid w:val="0066376F"/>
    <w:rsid w:val="006637E3"/>
    <w:rsid w:val="0066384C"/>
    <w:rsid w:val="00663AFC"/>
    <w:rsid w:val="00663FB6"/>
    <w:rsid w:val="00664103"/>
    <w:rsid w:val="00664205"/>
    <w:rsid w:val="006646A5"/>
    <w:rsid w:val="00664883"/>
    <w:rsid w:val="00664975"/>
    <w:rsid w:val="00664ADF"/>
    <w:rsid w:val="00664CFD"/>
    <w:rsid w:val="00665A2E"/>
    <w:rsid w:val="00665AD4"/>
    <w:rsid w:val="00665C42"/>
    <w:rsid w:val="00665C96"/>
    <w:rsid w:val="00666084"/>
    <w:rsid w:val="006661EA"/>
    <w:rsid w:val="00666215"/>
    <w:rsid w:val="00666499"/>
    <w:rsid w:val="0066655F"/>
    <w:rsid w:val="006665CB"/>
    <w:rsid w:val="0066661F"/>
    <w:rsid w:val="00666B90"/>
    <w:rsid w:val="006675B0"/>
    <w:rsid w:val="006677C2"/>
    <w:rsid w:val="00667961"/>
    <w:rsid w:val="00667D30"/>
    <w:rsid w:val="0067002B"/>
    <w:rsid w:val="00670147"/>
    <w:rsid w:val="0067029D"/>
    <w:rsid w:val="00670403"/>
    <w:rsid w:val="006704C3"/>
    <w:rsid w:val="0067053F"/>
    <w:rsid w:val="00670B0C"/>
    <w:rsid w:val="00670F2F"/>
    <w:rsid w:val="00671028"/>
    <w:rsid w:val="00671299"/>
    <w:rsid w:val="006713DF"/>
    <w:rsid w:val="0067143B"/>
    <w:rsid w:val="00671487"/>
    <w:rsid w:val="00671D6A"/>
    <w:rsid w:val="00672129"/>
    <w:rsid w:val="0067253E"/>
    <w:rsid w:val="00672583"/>
    <w:rsid w:val="00672736"/>
    <w:rsid w:val="006729B7"/>
    <w:rsid w:val="00672CD3"/>
    <w:rsid w:val="006732E8"/>
    <w:rsid w:val="00673426"/>
    <w:rsid w:val="00673482"/>
    <w:rsid w:val="0067369D"/>
    <w:rsid w:val="006737AC"/>
    <w:rsid w:val="006738FF"/>
    <w:rsid w:val="00673A9C"/>
    <w:rsid w:val="00673D17"/>
    <w:rsid w:val="00673E4F"/>
    <w:rsid w:val="00673F85"/>
    <w:rsid w:val="0067444B"/>
    <w:rsid w:val="00674684"/>
    <w:rsid w:val="00674AAE"/>
    <w:rsid w:val="00674B42"/>
    <w:rsid w:val="00674BAF"/>
    <w:rsid w:val="006752F2"/>
    <w:rsid w:val="00675509"/>
    <w:rsid w:val="006757AA"/>
    <w:rsid w:val="00675916"/>
    <w:rsid w:val="006759B3"/>
    <w:rsid w:val="00675AD1"/>
    <w:rsid w:val="00675C3F"/>
    <w:rsid w:val="00675CC8"/>
    <w:rsid w:val="00675F5D"/>
    <w:rsid w:val="00675FCF"/>
    <w:rsid w:val="006760AC"/>
    <w:rsid w:val="00676467"/>
    <w:rsid w:val="006766AA"/>
    <w:rsid w:val="006767BC"/>
    <w:rsid w:val="006768DE"/>
    <w:rsid w:val="00676904"/>
    <w:rsid w:val="0067695B"/>
    <w:rsid w:val="00677523"/>
    <w:rsid w:val="00677604"/>
    <w:rsid w:val="00677861"/>
    <w:rsid w:val="0067798F"/>
    <w:rsid w:val="00677AD6"/>
    <w:rsid w:val="006800E7"/>
    <w:rsid w:val="00680197"/>
    <w:rsid w:val="006804C4"/>
    <w:rsid w:val="00680500"/>
    <w:rsid w:val="006806CA"/>
    <w:rsid w:val="00680D30"/>
    <w:rsid w:val="00680ED3"/>
    <w:rsid w:val="00680F0D"/>
    <w:rsid w:val="00680F69"/>
    <w:rsid w:val="00681293"/>
    <w:rsid w:val="006816AC"/>
    <w:rsid w:val="00681933"/>
    <w:rsid w:val="0068194A"/>
    <w:rsid w:val="00681A7A"/>
    <w:rsid w:val="00681C42"/>
    <w:rsid w:val="00681D47"/>
    <w:rsid w:val="00681EF1"/>
    <w:rsid w:val="006825F9"/>
    <w:rsid w:val="00682847"/>
    <w:rsid w:val="006829C2"/>
    <w:rsid w:val="00682A2B"/>
    <w:rsid w:val="00682ECE"/>
    <w:rsid w:val="00683473"/>
    <w:rsid w:val="00683520"/>
    <w:rsid w:val="006836B9"/>
    <w:rsid w:val="0068374A"/>
    <w:rsid w:val="006838ED"/>
    <w:rsid w:val="00683A16"/>
    <w:rsid w:val="006840C6"/>
    <w:rsid w:val="006840EA"/>
    <w:rsid w:val="006847B6"/>
    <w:rsid w:val="006847CF"/>
    <w:rsid w:val="006848D2"/>
    <w:rsid w:val="00684B52"/>
    <w:rsid w:val="00684BF5"/>
    <w:rsid w:val="00684D60"/>
    <w:rsid w:val="00684EEF"/>
    <w:rsid w:val="006851A5"/>
    <w:rsid w:val="006851A7"/>
    <w:rsid w:val="00685266"/>
    <w:rsid w:val="00685571"/>
    <w:rsid w:val="00685698"/>
    <w:rsid w:val="006856F1"/>
    <w:rsid w:val="006858DF"/>
    <w:rsid w:val="00685A4D"/>
    <w:rsid w:val="00685ACD"/>
    <w:rsid w:val="00685B24"/>
    <w:rsid w:val="006861E9"/>
    <w:rsid w:val="00686313"/>
    <w:rsid w:val="0068655A"/>
    <w:rsid w:val="00686C7F"/>
    <w:rsid w:val="0068775A"/>
    <w:rsid w:val="00687BC0"/>
    <w:rsid w:val="00687E54"/>
    <w:rsid w:val="00690013"/>
    <w:rsid w:val="0069026C"/>
    <w:rsid w:val="0069071A"/>
    <w:rsid w:val="00690823"/>
    <w:rsid w:val="00690A1B"/>
    <w:rsid w:val="00690BDE"/>
    <w:rsid w:val="00690C39"/>
    <w:rsid w:val="00690D30"/>
    <w:rsid w:val="00690F7C"/>
    <w:rsid w:val="00691180"/>
    <w:rsid w:val="00691460"/>
    <w:rsid w:val="0069149A"/>
    <w:rsid w:val="006915DD"/>
    <w:rsid w:val="00691864"/>
    <w:rsid w:val="00691935"/>
    <w:rsid w:val="00691ABB"/>
    <w:rsid w:val="00691B2F"/>
    <w:rsid w:val="00691B50"/>
    <w:rsid w:val="00691C9D"/>
    <w:rsid w:val="006920F4"/>
    <w:rsid w:val="0069258D"/>
    <w:rsid w:val="00692D95"/>
    <w:rsid w:val="00693086"/>
    <w:rsid w:val="0069346F"/>
    <w:rsid w:val="0069360E"/>
    <w:rsid w:val="0069389B"/>
    <w:rsid w:val="00693943"/>
    <w:rsid w:val="00693A6B"/>
    <w:rsid w:val="00693AC5"/>
    <w:rsid w:val="00693D4E"/>
    <w:rsid w:val="00693F81"/>
    <w:rsid w:val="0069432C"/>
    <w:rsid w:val="006945B4"/>
    <w:rsid w:val="0069471C"/>
    <w:rsid w:val="00694A94"/>
    <w:rsid w:val="00694C68"/>
    <w:rsid w:val="00694E98"/>
    <w:rsid w:val="0069509A"/>
    <w:rsid w:val="006952CE"/>
    <w:rsid w:val="00695629"/>
    <w:rsid w:val="006956AF"/>
    <w:rsid w:val="00695BC0"/>
    <w:rsid w:val="00695C46"/>
    <w:rsid w:val="00695D25"/>
    <w:rsid w:val="00696041"/>
    <w:rsid w:val="006963CB"/>
    <w:rsid w:val="006969DC"/>
    <w:rsid w:val="00696B47"/>
    <w:rsid w:val="00696E73"/>
    <w:rsid w:val="00696EAD"/>
    <w:rsid w:val="00696EF5"/>
    <w:rsid w:val="006971B0"/>
    <w:rsid w:val="00697310"/>
    <w:rsid w:val="00697441"/>
    <w:rsid w:val="006A01DE"/>
    <w:rsid w:val="006A024D"/>
    <w:rsid w:val="006A0927"/>
    <w:rsid w:val="006A0A0A"/>
    <w:rsid w:val="006A0C73"/>
    <w:rsid w:val="006A0D67"/>
    <w:rsid w:val="006A114D"/>
    <w:rsid w:val="006A153A"/>
    <w:rsid w:val="006A1831"/>
    <w:rsid w:val="006A1981"/>
    <w:rsid w:val="006A1C0D"/>
    <w:rsid w:val="006A1F34"/>
    <w:rsid w:val="006A2071"/>
    <w:rsid w:val="006A2238"/>
    <w:rsid w:val="006A22D0"/>
    <w:rsid w:val="006A2370"/>
    <w:rsid w:val="006A2479"/>
    <w:rsid w:val="006A25BC"/>
    <w:rsid w:val="006A264A"/>
    <w:rsid w:val="006A2D94"/>
    <w:rsid w:val="006A300D"/>
    <w:rsid w:val="006A3278"/>
    <w:rsid w:val="006A327C"/>
    <w:rsid w:val="006A33EF"/>
    <w:rsid w:val="006A3415"/>
    <w:rsid w:val="006A34E2"/>
    <w:rsid w:val="006A3535"/>
    <w:rsid w:val="006A36F7"/>
    <w:rsid w:val="006A3804"/>
    <w:rsid w:val="006A3908"/>
    <w:rsid w:val="006A3964"/>
    <w:rsid w:val="006A3B63"/>
    <w:rsid w:val="006A3CA5"/>
    <w:rsid w:val="006A3CB4"/>
    <w:rsid w:val="006A44FD"/>
    <w:rsid w:val="006A4694"/>
    <w:rsid w:val="006A4C45"/>
    <w:rsid w:val="006A4E79"/>
    <w:rsid w:val="006A4F27"/>
    <w:rsid w:val="006A4F64"/>
    <w:rsid w:val="006A5093"/>
    <w:rsid w:val="006A52D5"/>
    <w:rsid w:val="006A544E"/>
    <w:rsid w:val="006A5729"/>
    <w:rsid w:val="006A5A90"/>
    <w:rsid w:val="006A5BCC"/>
    <w:rsid w:val="006A5D48"/>
    <w:rsid w:val="006A5D76"/>
    <w:rsid w:val="006A5E27"/>
    <w:rsid w:val="006A5EA3"/>
    <w:rsid w:val="006A5F2A"/>
    <w:rsid w:val="006A63F1"/>
    <w:rsid w:val="006A64A4"/>
    <w:rsid w:val="006A677A"/>
    <w:rsid w:val="006A6BD0"/>
    <w:rsid w:val="006A6C22"/>
    <w:rsid w:val="006A6C6C"/>
    <w:rsid w:val="006A6D16"/>
    <w:rsid w:val="006A6E8C"/>
    <w:rsid w:val="006A70FE"/>
    <w:rsid w:val="006A7227"/>
    <w:rsid w:val="006A735B"/>
    <w:rsid w:val="006A7738"/>
    <w:rsid w:val="006A788F"/>
    <w:rsid w:val="006A7DBE"/>
    <w:rsid w:val="006A7F52"/>
    <w:rsid w:val="006A7FF0"/>
    <w:rsid w:val="006B0129"/>
    <w:rsid w:val="006B028F"/>
    <w:rsid w:val="006B0992"/>
    <w:rsid w:val="006B09D4"/>
    <w:rsid w:val="006B0C5B"/>
    <w:rsid w:val="006B0DB4"/>
    <w:rsid w:val="006B130E"/>
    <w:rsid w:val="006B1587"/>
    <w:rsid w:val="006B1766"/>
    <w:rsid w:val="006B1AD0"/>
    <w:rsid w:val="006B1ED2"/>
    <w:rsid w:val="006B21BB"/>
    <w:rsid w:val="006B2449"/>
    <w:rsid w:val="006B2734"/>
    <w:rsid w:val="006B2D56"/>
    <w:rsid w:val="006B2EA4"/>
    <w:rsid w:val="006B3151"/>
    <w:rsid w:val="006B31C4"/>
    <w:rsid w:val="006B320C"/>
    <w:rsid w:val="006B3462"/>
    <w:rsid w:val="006B36B3"/>
    <w:rsid w:val="006B3832"/>
    <w:rsid w:val="006B3891"/>
    <w:rsid w:val="006B3A2C"/>
    <w:rsid w:val="006B3AB6"/>
    <w:rsid w:val="006B3ADC"/>
    <w:rsid w:val="006B3CAB"/>
    <w:rsid w:val="006B3FAE"/>
    <w:rsid w:val="006B42AA"/>
    <w:rsid w:val="006B44CB"/>
    <w:rsid w:val="006B46BC"/>
    <w:rsid w:val="006B49B3"/>
    <w:rsid w:val="006B49D2"/>
    <w:rsid w:val="006B4CE5"/>
    <w:rsid w:val="006B51BB"/>
    <w:rsid w:val="006B570A"/>
    <w:rsid w:val="006B5715"/>
    <w:rsid w:val="006B5A61"/>
    <w:rsid w:val="006B648C"/>
    <w:rsid w:val="006B6546"/>
    <w:rsid w:val="006B65A0"/>
    <w:rsid w:val="006B6728"/>
    <w:rsid w:val="006B6CB7"/>
    <w:rsid w:val="006B6D0B"/>
    <w:rsid w:val="006B6ED5"/>
    <w:rsid w:val="006B6F1F"/>
    <w:rsid w:val="006B6F7D"/>
    <w:rsid w:val="006B7082"/>
    <w:rsid w:val="006B709A"/>
    <w:rsid w:val="006B7254"/>
    <w:rsid w:val="006B7408"/>
    <w:rsid w:val="006B7501"/>
    <w:rsid w:val="006B7513"/>
    <w:rsid w:val="006B760E"/>
    <w:rsid w:val="006B7837"/>
    <w:rsid w:val="006B785A"/>
    <w:rsid w:val="006B7910"/>
    <w:rsid w:val="006B7A59"/>
    <w:rsid w:val="006B7D98"/>
    <w:rsid w:val="006C01C8"/>
    <w:rsid w:val="006C0253"/>
    <w:rsid w:val="006C03A4"/>
    <w:rsid w:val="006C0412"/>
    <w:rsid w:val="006C0632"/>
    <w:rsid w:val="006C067E"/>
    <w:rsid w:val="006C071F"/>
    <w:rsid w:val="006C0A54"/>
    <w:rsid w:val="006C0C90"/>
    <w:rsid w:val="006C0EE9"/>
    <w:rsid w:val="006C0FCD"/>
    <w:rsid w:val="006C1729"/>
    <w:rsid w:val="006C192D"/>
    <w:rsid w:val="006C1C38"/>
    <w:rsid w:val="006C1CD1"/>
    <w:rsid w:val="006C1F89"/>
    <w:rsid w:val="006C1FFF"/>
    <w:rsid w:val="006C2550"/>
    <w:rsid w:val="006C2678"/>
    <w:rsid w:val="006C29F9"/>
    <w:rsid w:val="006C2A17"/>
    <w:rsid w:val="006C2C38"/>
    <w:rsid w:val="006C2C45"/>
    <w:rsid w:val="006C2C8F"/>
    <w:rsid w:val="006C2E24"/>
    <w:rsid w:val="006C2E65"/>
    <w:rsid w:val="006C2E7F"/>
    <w:rsid w:val="006C2F33"/>
    <w:rsid w:val="006C2F83"/>
    <w:rsid w:val="006C3037"/>
    <w:rsid w:val="006C31A3"/>
    <w:rsid w:val="006C31F8"/>
    <w:rsid w:val="006C39EA"/>
    <w:rsid w:val="006C3C36"/>
    <w:rsid w:val="006C3DC2"/>
    <w:rsid w:val="006C3E46"/>
    <w:rsid w:val="006C402B"/>
    <w:rsid w:val="006C40E5"/>
    <w:rsid w:val="006C40F8"/>
    <w:rsid w:val="006C410E"/>
    <w:rsid w:val="006C42C4"/>
    <w:rsid w:val="006C4313"/>
    <w:rsid w:val="006C4338"/>
    <w:rsid w:val="006C440F"/>
    <w:rsid w:val="006C4623"/>
    <w:rsid w:val="006C4703"/>
    <w:rsid w:val="006C4EB7"/>
    <w:rsid w:val="006C52E8"/>
    <w:rsid w:val="006C5346"/>
    <w:rsid w:val="006C583D"/>
    <w:rsid w:val="006C589E"/>
    <w:rsid w:val="006C58E9"/>
    <w:rsid w:val="006C5B44"/>
    <w:rsid w:val="006C5E0C"/>
    <w:rsid w:val="006C5F68"/>
    <w:rsid w:val="006C61B7"/>
    <w:rsid w:val="006C61F8"/>
    <w:rsid w:val="006C64D5"/>
    <w:rsid w:val="006C67DA"/>
    <w:rsid w:val="006C6D0C"/>
    <w:rsid w:val="006C6E6D"/>
    <w:rsid w:val="006C7242"/>
    <w:rsid w:val="006C74DD"/>
    <w:rsid w:val="006C78A9"/>
    <w:rsid w:val="006C79A8"/>
    <w:rsid w:val="006C7AE2"/>
    <w:rsid w:val="006C7CB0"/>
    <w:rsid w:val="006C7CC7"/>
    <w:rsid w:val="006D077B"/>
    <w:rsid w:val="006D096B"/>
    <w:rsid w:val="006D0974"/>
    <w:rsid w:val="006D09D2"/>
    <w:rsid w:val="006D0A72"/>
    <w:rsid w:val="006D0C8A"/>
    <w:rsid w:val="006D0D92"/>
    <w:rsid w:val="006D121E"/>
    <w:rsid w:val="006D13F9"/>
    <w:rsid w:val="006D176E"/>
    <w:rsid w:val="006D1BD4"/>
    <w:rsid w:val="006D1C17"/>
    <w:rsid w:val="006D1EE5"/>
    <w:rsid w:val="006D2145"/>
    <w:rsid w:val="006D2ED4"/>
    <w:rsid w:val="006D2FF8"/>
    <w:rsid w:val="006D302A"/>
    <w:rsid w:val="006D30B2"/>
    <w:rsid w:val="006D3168"/>
    <w:rsid w:val="006D35FD"/>
    <w:rsid w:val="006D3811"/>
    <w:rsid w:val="006D3872"/>
    <w:rsid w:val="006D3F34"/>
    <w:rsid w:val="006D40E7"/>
    <w:rsid w:val="006D429C"/>
    <w:rsid w:val="006D447B"/>
    <w:rsid w:val="006D4954"/>
    <w:rsid w:val="006D496A"/>
    <w:rsid w:val="006D49C4"/>
    <w:rsid w:val="006D4ACE"/>
    <w:rsid w:val="006D4BE1"/>
    <w:rsid w:val="006D4C73"/>
    <w:rsid w:val="006D4D3F"/>
    <w:rsid w:val="006D4F23"/>
    <w:rsid w:val="006D5154"/>
    <w:rsid w:val="006D517D"/>
    <w:rsid w:val="006D518F"/>
    <w:rsid w:val="006D5268"/>
    <w:rsid w:val="006D58DB"/>
    <w:rsid w:val="006D5C2B"/>
    <w:rsid w:val="006D5C96"/>
    <w:rsid w:val="006D6010"/>
    <w:rsid w:val="006D6080"/>
    <w:rsid w:val="006D656D"/>
    <w:rsid w:val="006D668D"/>
    <w:rsid w:val="006D68C5"/>
    <w:rsid w:val="006D6AD3"/>
    <w:rsid w:val="006D6B10"/>
    <w:rsid w:val="006D6B95"/>
    <w:rsid w:val="006D6C39"/>
    <w:rsid w:val="006D6E5E"/>
    <w:rsid w:val="006D6F77"/>
    <w:rsid w:val="006D7146"/>
    <w:rsid w:val="006D7309"/>
    <w:rsid w:val="006D74E0"/>
    <w:rsid w:val="006D7795"/>
    <w:rsid w:val="006D79BA"/>
    <w:rsid w:val="006E0258"/>
    <w:rsid w:val="006E0651"/>
    <w:rsid w:val="006E06B3"/>
    <w:rsid w:val="006E09ED"/>
    <w:rsid w:val="006E0BB8"/>
    <w:rsid w:val="006E0D37"/>
    <w:rsid w:val="006E0FB9"/>
    <w:rsid w:val="006E1324"/>
    <w:rsid w:val="006E14B3"/>
    <w:rsid w:val="006E175D"/>
    <w:rsid w:val="006E191C"/>
    <w:rsid w:val="006E1963"/>
    <w:rsid w:val="006E1EAC"/>
    <w:rsid w:val="006E1F52"/>
    <w:rsid w:val="006E22E1"/>
    <w:rsid w:val="006E2653"/>
    <w:rsid w:val="006E27DA"/>
    <w:rsid w:val="006E2875"/>
    <w:rsid w:val="006E2D3E"/>
    <w:rsid w:val="006E329A"/>
    <w:rsid w:val="006E3477"/>
    <w:rsid w:val="006E358D"/>
    <w:rsid w:val="006E3A90"/>
    <w:rsid w:val="006E3CC7"/>
    <w:rsid w:val="006E43C2"/>
    <w:rsid w:val="006E4585"/>
    <w:rsid w:val="006E4900"/>
    <w:rsid w:val="006E4923"/>
    <w:rsid w:val="006E4960"/>
    <w:rsid w:val="006E4DC4"/>
    <w:rsid w:val="006E4FEC"/>
    <w:rsid w:val="006E5332"/>
    <w:rsid w:val="006E533F"/>
    <w:rsid w:val="006E53A3"/>
    <w:rsid w:val="006E5696"/>
    <w:rsid w:val="006E5BBA"/>
    <w:rsid w:val="006E6338"/>
    <w:rsid w:val="006E66A7"/>
    <w:rsid w:val="006E68C1"/>
    <w:rsid w:val="006E6EAF"/>
    <w:rsid w:val="006E6F14"/>
    <w:rsid w:val="006E79B9"/>
    <w:rsid w:val="006F007E"/>
    <w:rsid w:val="006F02FD"/>
    <w:rsid w:val="006F0D91"/>
    <w:rsid w:val="006F0DA1"/>
    <w:rsid w:val="006F0E98"/>
    <w:rsid w:val="006F14F2"/>
    <w:rsid w:val="006F169D"/>
    <w:rsid w:val="006F18BB"/>
    <w:rsid w:val="006F1A95"/>
    <w:rsid w:val="006F1B02"/>
    <w:rsid w:val="006F1BCA"/>
    <w:rsid w:val="006F1CA0"/>
    <w:rsid w:val="006F1D16"/>
    <w:rsid w:val="006F1EFF"/>
    <w:rsid w:val="006F23EC"/>
    <w:rsid w:val="006F2578"/>
    <w:rsid w:val="006F2F10"/>
    <w:rsid w:val="006F2F8C"/>
    <w:rsid w:val="006F344B"/>
    <w:rsid w:val="006F357D"/>
    <w:rsid w:val="006F3664"/>
    <w:rsid w:val="006F40BA"/>
    <w:rsid w:val="006F42AE"/>
    <w:rsid w:val="006F4507"/>
    <w:rsid w:val="006F502E"/>
    <w:rsid w:val="006F5608"/>
    <w:rsid w:val="006F560B"/>
    <w:rsid w:val="006F604B"/>
    <w:rsid w:val="006F6337"/>
    <w:rsid w:val="006F6502"/>
    <w:rsid w:val="006F6847"/>
    <w:rsid w:val="006F6F0F"/>
    <w:rsid w:val="006F7262"/>
    <w:rsid w:val="006F73B3"/>
    <w:rsid w:val="006F73B4"/>
    <w:rsid w:val="006F73FC"/>
    <w:rsid w:val="006F7524"/>
    <w:rsid w:val="006F7546"/>
    <w:rsid w:val="006F76C5"/>
    <w:rsid w:val="006F78B1"/>
    <w:rsid w:val="006F794B"/>
    <w:rsid w:val="006F7A24"/>
    <w:rsid w:val="006F7CA3"/>
    <w:rsid w:val="006F7E88"/>
    <w:rsid w:val="006F7F53"/>
    <w:rsid w:val="007003D9"/>
    <w:rsid w:val="0070089D"/>
    <w:rsid w:val="0070116F"/>
    <w:rsid w:val="00701369"/>
    <w:rsid w:val="007013B5"/>
    <w:rsid w:val="00701496"/>
    <w:rsid w:val="00701705"/>
    <w:rsid w:val="0070170E"/>
    <w:rsid w:val="0070175F"/>
    <w:rsid w:val="00701D18"/>
    <w:rsid w:val="00701F44"/>
    <w:rsid w:val="007027F8"/>
    <w:rsid w:val="00702AAC"/>
    <w:rsid w:val="00702C97"/>
    <w:rsid w:val="00702D7E"/>
    <w:rsid w:val="00702E1B"/>
    <w:rsid w:val="00702F50"/>
    <w:rsid w:val="007030C7"/>
    <w:rsid w:val="0070343A"/>
    <w:rsid w:val="007035D6"/>
    <w:rsid w:val="007035E8"/>
    <w:rsid w:val="007039BA"/>
    <w:rsid w:val="00703AFB"/>
    <w:rsid w:val="00703EFD"/>
    <w:rsid w:val="00703F9F"/>
    <w:rsid w:val="007040E6"/>
    <w:rsid w:val="007044BB"/>
    <w:rsid w:val="00704F73"/>
    <w:rsid w:val="00705306"/>
    <w:rsid w:val="007053A6"/>
    <w:rsid w:val="007054E5"/>
    <w:rsid w:val="00705812"/>
    <w:rsid w:val="00706076"/>
    <w:rsid w:val="007060FC"/>
    <w:rsid w:val="00706625"/>
    <w:rsid w:val="0070690C"/>
    <w:rsid w:val="00706952"/>
    <w:rsid w:val="00706B0E"/>
    <w:rsid w:val="00706B29"/>
    <w:rsid w:val="00706B40"/>
    <w:rsid w:val="00706C5A"/>
    <w:rsid w:val="00706C63"/>
    <w:rsid w:val="00706FC4"/>
    <w:rsid w:val="007073B1"/>
    <w:rsid w:val="0070768C"/>
    <w:rsid w:val="007076E6"/>
    <w:rsid w:val="00707BC0"/>
    <w:rsid w:val="00707D18"/>
    <w:rsid w:val="00707F91"/>
    <w:rsid w:val="00710129"/>
    <w:rsid w:val="00710736"/>
    <w:rsid w:val="00710F1F"/>
    <w:rsid w:val="007112F8"/>
    <w:rsid w:val="00711AB9"/>
    <w:rsid w:val="00711E02"/>
    <w:rsid w:val="0071226A"/>
    <w:rsid w:val="007122DA"/>
    <w:rsid w:val="00712475"/>
    <w:rsid w:val="0071247C"/>
    <w:rsid w:val="0071255A"/>
    <w:rsid w:val="00712622"/>
    <w:rsid w:val="007126B1"/>
    <w:rsid w:val="007127A2"/>
    <w:rsid w:val="007127A3"/>
    <w:rsid w:val="007129D9"/>
    <w:rsid w:val="00712C57"/>
    <w:rsid w:val="00712F2D"/>
    <w:rsid w:val="00713515"/>
    <w:rsid w:val="00713587"/>
    <w:rsid w:val="0071385C"/>
    <w:rsid w:val="007138DE"/>
    <w:rsid w:val="00713970"/>
    <w:rsid w:val="00714A31"/>
    <w:rsid w:val="00714A43"/>
    <w:rsid w:val="00714D4E"/>
    <w:rsid w:val="007150B0"/>
    <w:rsid w:val="007155A6"/>
    <w:rsid w:val="00715797"/>
    <w:rsid w:val="00715A9A"/>
    <w:rsid w:val="00715B97"/>
    <w:rsid w:val="00716314"/>
    <w:rsid w:val="007166A6"/>
    <w:rsid w:val="00716813"/>
    <w:rsid w:val="00716926"/>
    <w:rsid w:val="00716979"/>
    <w:rsid w:val="00716A08"/>
    <w:rsid w:val="00716B77"/>
    <w:rsid w:val="00716CF5"/>
    <w:rsid w:val="00717224"/>
    <w:rsid w:val="0071732C"/>
    <w:rsid w:val="00717392"/>
    <w:rsid w:val="007175CC"/>
    <w:rsid w:val="007177D8"/>
    <w:rsid w:val="007177D9"/>
    <w:rsid w:val="0071796A"/>
    <w:rsid w:val="00717D89"/>
    <w:rsid w:val="00717EA3"/>
    <w:rsid w:val="00720157"/>
    <w:rsid w:val="007201AB"/>
    <w:rsid w:val="007207E0"/>
    <w:rsid w:val="007207F3"/>
    <w:rsid w:val="00720953"/>
    <w:rsid w:val="00720992"/>
    <w:rsid w:val="007209F3"/>
    <w:rsid w:val="00720B6F"/>
    <w:rsid w:val="00720BAA"/>
    <w:rsid w:val="00720BFD"/>
    <w:rsid w:val="00720D83"/>
    <w:rsid w:val="00721020"/>
    <w:rsid w:val="00721163"/>
    <w:rsid w:val="00721572"/>
    <w:rsid w:val="007217D3"/>
    <w:rsid w:val="007219BF"/>
    <w:rsid w:val="00721ACB"/>
    <w:rsid w:val="00721BAF"/>
    <w:rsid w:val="00721D1C"/>
    <w:rsid w:val="00721DC7"/>
    <w:rsid w:val="00721DDE"/>
    <w:rsid w:val="00721E02"/>
    <w:rsid w:val="00721F29"/>
    <w:rsid w:val="00722140"/>
    <w:rsid w:val="007222B1"/>
    <w:rsid w:val="007224BD"/>
    <w:rsid w:val="0072282B"/>
    <w:rsid w:val="00722A36"/>
    <w:rsid w:val="00722D3C"/>
    <w:rsid w:val="00722F29"/>
    <w:rsid w:val="0072339E"/>
    <w:rsid w:val="007233C9"/>
    <w:rsid w:val="0072350A"/>
    <w:rsid w:val="00723619"/>
    <w:rsid w:val="00723859"/>
    <w:rsid w:val="00723D05"/>
    <w:rsid w:val="00723D0A"/>
    <w:rsid w:val="00723EF0"/>
    <w:rsid w:val="00723F44"/>
    <w:rsid w:val="00724316"/>
    <w:rsid w:val="007249C7"/>
    <w:rsid w:val="00724CC7"/>
    <w:rsid w:val="00724DE0"/>
    <w:rsid w:val="00724F53"/>
    <w:rsid w:val="007250E5"/>
    <w:rsid w:val="00725157"/>
    <w:rsid w:val="00725267"/>
    <w:rsid w:val="007254F6"/>
    <w:rsid w:val="00725838"/>
    <w:rsid w:val="00725D0B"/>
    <w:rsid w:val="00725E6B"/>
    <w:rsid w:val="007262BD"/>
    <w:rsid w:val="00726333"/>
    <w:rsid w:val="00726414"/>
    <w:rsid w:val="007265FA"/>
    <w:rsid w:val="00726997"/>
    <w:rsid w:val="00726A2C"/>
    <w:rsid w:val="00726F50"/>
    <w:rsid w:val="00726FA4"/>
    <w:rsid w:val="007276BE"/>
    <w:rsid w:val="00727856"/>
    <w:rsid w:val="00727AD4"/>
    <w:rsid w:val="00727BD2"/>
    <w:rsid w:val="00727F76"/>
    <w:rsid w:val="00730269"/>
    <w:rsid w:val="00730286"/>
    <w:rsid w:val="007306DC"/>
    <w:rsid w:val="007309B3"/>
    <w:rsid w:val="00730C79"/>
    <w:rsid w:val="007312CA"/>
    <w:rsid w:val="007317E5"/>
    <w:rsid w:val="0073183B"/>
    <w:rsid w:val="00731859"/>
    <w:rsid w:val="007318DD"/>
    <w:rsid w:val="00731D48"/>
    <w:rsid w:val="00731DB2"/>
    <w:rsid w:val="00732583"/>
    <w:rsid w:val="00732779"/>
    <w:rsid w:val="00732854"/>
    <w:rsid w:val="00732C89"/>
    <w:rsid w:val="00732C99"/>
    <w:rsid w:val="00732DFE"/>
    <w:rsid w:val="00732FCA"/>
    <w:rsid w:val="007330EB"/>
    <w:rsid w:val="007334CA"/>
    <w:rsid w:val="007334CC"/>
    <w:rsid w:val="007335B6"/>
    <w:rsid w:val="007336DE"/>
    <w:rsid w:val="0073402E"/>
    <w:rsid w:val="00734033"/>
    <w:rsid w:val="007344BB"/>
    <w:rsid w:val="007346F5"/>
    <w:rsid w:val="0073489F"/>
    <w:rsid w:val="007349EC"/>
    <w:rsid w:val="00734C92"/>
    <w:rsid w:val="00734ED8"/>
    <w:rsid w:val="007352FB"/>
    <w:rsid w:val="0073538B"/>
    <w:rsid w:val="00735467"/>
    <w:rsid w:val="007354B7"/>
    <w:rsid w:val="00735528"/>
    <w:rsid w:val="00735A18"/>
    <w:rsid w:val="00735BA3"/>
    <w:rsid w:val="00736037"/>
    <w:rsid w:val="0073605C"/>
    <w:rsid w:val="007364DE"/>
    <w:rsid w:val="007365B7"/>
    <w:rsid w:val="00736924"/>
    <w:rsid w:val="00736971"/>
    <w:rsid w:val="00736A21"/>
    <w:rsid w:val="007371C1"/>
    <w:rsid w:val="007371F5"/>
    <w:rsid w:val="007373D9"/>
    <w:rsid w:val="00737595"/>
    <w:rsid w:val="00737925"/>
    <w:rsid w:val="00737C55"/>
    <w:rsid w:val="00737D5E"/>
    <w:rsid w:val="0074002E"/>
    <w:rsid w:val="00740045"/>
    <w:rsid w:val="007401CE"/>
    <w:rsid w:val="00740260"/>
    <w:rsid w:val="0074028F"/>
    <w:rsid w:val="007402F4"/>
    <w:rsid w:val="00740B5A"/>
    <w:rsid w:val="0074107F"/>
    <w:rsid w:val="0074122F"/>
    <w:rsid w:val="00741684"/>
    <w:rsid w:val="00741714"/>
    <w:rsid w:val="007417A9"/>
    <w:rsid w:val="0074188B"/>
    <w:rsid w:val="007418C7"/>
    <w:rsid w:val="007418E5"/>
    <w:rsid w:val="00741A20"/>
    <w:rsid w:val="00741B43"/>
    <w:rsid w:val="00741F41"/>
    <w:rsid w:val="00741FFB"/>
    <w:rsid w:val="00742016"/>
    <w:rsid w:val="00742242"/>
    <w:rsid w:val="00742245"/>
    <w:rsid w:val="007422D9"/>
    <w:rsid w:val="007423BB"/>
    <w:rsid w:val="00742666"/>
    <w:rsid w:val="00742862"/>
    <w:rsid w:val="00742B32"/>
    <w:rsid w:val="00743169"/>
    <w:rsid w:val="0074338A"/>
    <w:rsid w:val="00743682"/>
    <w:rsid w:val="00743964"/>
    <w:rsid w:val="007439D0"/>
    <w:rsid w:val="00743A8A"/>
    <w:rsid w:val="00743B3A"/>
    <w:rsid w:val="00743EFB"/>
    <w:rsid w:val="00743FA6"/>
    <w:rsid w:val="00744A81"/>
    <w:rsid w:val="00744AF4"/>
    <w:rsid w:val="00744C07"/>
    <w:rsid w:val="00744EE4"/>
    <w:rsid w:val="007457BD"/>
    <w:rsid w:val="0074586F"/>
    <w:rsid w:val="007459BF"/>
    <w:rsid w:val="00745A65"/>
    <w:rsid w:val="00745CA3"/>
    <w:rsid w:val="00745D71"/>
    <w:rsid w:val="0074607B"/>
    <w:rsid w:val="007460AE"/>
    <w:rsid w:val="00746214"/>
    <w:rsid w:val="007463AA"/>
    <w:rsid w:val="00746512"/>
    <w:rsid w:val="00746597"/>
    <w:rsid w:val="007465F4"/>
    <w:rsid w:val="007468D5"/>
    <w:rsid w:val="00746F46"/>
    <w:rsid w:val="007471F8"/>
    <w:rsid w:val="00747516"/>
    <w:rsid w:val="0074755D"/>
    <w:rsid w:val="007476F0"/>
    <w:rsid w:val="00747949"/>
    <w:rsid w:val="00747BB2"/>
    <w:rsid w:val="00747E51"/>
    <w:rsid w:val="00750897"/>
    <w:rsid w:val="00750981"/>
    <w:rsid w:val="00750C2F"/>
    <w:rsid w:val="00750D2E"/>
    <w:rsid w:val="00751098"/>
    <w:rsid w:val="0075111B"/>
    <w:rsid w:val="007513EE"/>
    <w:rsid w:val="00751B89"/>
    <w:rsid w:val="00751B8F"/>
    <w:rsid w:val="00751C7C"/>
    <w:rsid w:val="00751F34"/>
    <w:rsid w:val="0075295E"/>
    <w:rsid w:val="007529BE"/>
    <w:rsid w:val="00752ACF"/>
    <w:rsid w:val="00752D8F"/>
    <w:rsid w:val="00752E3A"/>
    <w:rsid w:val="00752E8D"/>
    <w:rsid w:val="00752E92"/>
    <w:rsid w:val="00752EC6"/>
    <w:rsid w:val="00752FB3"/>
    <w:rsid w:val="00752FD3"/>
    <w:rsid w:val="007532EE"/>
    <w:rsid w:val="007536E9"/>
    <w:rsid w:val="0075393B"/>
    <w:rsid w:val="00753A31"/>
    <w:rsid w:val="00754589"/>
    <w:rsid w:val="0075483D"/>
    <w:rsid w:val="00754F4E"/>
    <w:rsid w:val="00754F9F"/>
    <w:rsid w:val="00755089"/>
    <w:rsid w:val="00755223"/>
    <w:rsid w:val="00755262"/>
    <w:rsid w:val="00755366"/>
    <w:rsid w:val="007555BA"/>
    <w:rsid w:val="007555DD"/>
    <w:rsid w:val="007555F5"/>
    <w:rsid w:val="00755851"/>
    <w:rsid w:val="00755C64"/>
    <w:rsid w:val="00755F22"/>
    <w:rsid w:val="00755FD6"/>
    <w:rsid w:val="00755FF4"/>
    <w:rsid w:val="007560B5"/>
    <w:rsid w:val="00756393"/>
    <w:rsid w:val="00756B24"/>
    <w:rsid w:val="00756D40"/>
    <w:rsid w:val="00756D44"/>
    <w:rsid w:val="00756D82"/>
    <w:rsid w:val="00756E5D"/>
    <w:rsid w:val="00756FC0"/>
    <w:rsid w:val="007571F0"/>
    <w:rsid w:val="0075728D"/>
    <w:rsid w:val="00757377"/>
    <w:rsid w:val="007577C1"/>
    <w:rsid w:val="00757B34"/>
    <w:rsid w:val="00757ED3"/>
    <w:rsid w:val="00757EF0"/>
    <w:rsid w:val="00757F3F"/>
    <w:rsid w:val="00757FDF"/>
    <w:rsid w:val="00760136"/>
    <w:rsid w:val="0076014D"/>
    <w:rsid w:val="007604D5"/>
    <w:rsid w:val="007604FB"/>
    <w:rsid w:val="007606EE"/>
    <w:rsid w:val="00760711"/>
    <w:rsid w:val="00760715"/>
    <w:rsid w:val="00760F11"/>
    <w:rsid w:val="0076101C"/>
    <w:rsid w:val="0076146C"/>
    <w:rsid w:val="00761660"/>
    <w:rsid w:val="00761894"/>
    <w:rsid w:val="00761949"/>
    <w:rsid w:val="00761AB1"/>
    <w:rsid w:val="00761B7E"/>
    <w:rsid w:val="00761CEB"/>
    <w:rsid w:val="00762031"/>
    <w:rsid w:val="007620CF"/>
    <w:rsid w:val="0076227B"/>
    <w:rsid w:val="00762364"/>
    <w:rsid w:val="0076237E"/>
    <w:rsid w:val="0076238A"/>
    <w:rsid w:val="007623B8"/>
    <w:rsid w:val="007629C0"/>
    <w:rsid w:val="00762A95"/>
    <w:rsid w:val="00762B54"/>
    <w:rsid w:val="00762D6F"/>
    <w:rsid w:val="00763648"/>
    <w:rsid w:val="007636BD"/>
    <w:rsid w:val="00763CB7"/>
    <w:rsid w:val="00763F2D"/>
    <w:rsid w:val="00764135"/>
    <w:rsid w:val="00764194"/>
    <w:rsid w:val="0076445A"/>
    <w:rsid w:val="0076446C"/>
    <w:rsid w:val="00764490"/>
    <w:rsid w:val="007646AC"/>
    <w:rsid w:val="00764A6D"/>
    <w:rsid w:val="00764C3D"/>
    <w:rsid w:val="00765A1B"/>
    <w:rsid w:val="00765A2E"/>
    <w:rsid w:val="00765C5D"/>
    <w:rsid w:val="00765ECF"/>
    <w:rsid w:val="00765FE6"/>
    <w:rsid w:val="0076612F"/>
    <w:rsid w:val="0076642C"/>
    <w:rsid w:val="0076647C"/>
    <w:rsid w:val="00766491"/>
    <w:rsid w:val="007664B8"/>
    <w:rsid w:val="00766609"/>
    <w:rsid w:val="0076685D"/>
    <w:rsid w:val="0076687C"/>
    <w:rsid w:val="00766A6D"/>
    <w:rsid w:val="00766F38"/>
    <w:rsid w:val="00767400"/>
    <w:rsid w:val="007675D8"/>
    <w:rsid w:val="0076768E"/>
    <w:rsid w:val="007676E5"/>
    <w:rsid w:val="00767700"/>
    <w:rsid w:val="0076771A"/>
    <w:rsid w:val="00767D35"/>
    <w:rsid w:val="00767D4F"/>
    <w:rsid w:val="00767E15"/>
    <w:rsid w:val="00767FD9"/>
    <w:rsid w:val="007700F8"/>
    <w:rsid w:val="007703E0"/>
    <w:rsid w:val="00770553"/>
    <w:rsid w:val="00770D59"/>
    <w:rsid w:val="00770D71"/>
    <w:rsid w:val="007713FB"/>
    <w:rsid w:val="00771693"/>
    <w:rsid w:val="00771AE2"/>
    <w:rsid w:val="00771BFA"/>
    <w:rsid w:val="00771C6C"/>
    <w:rsid w:val="00771D80"/>
    <w:rsid w:val="00771E2B"/>
    <w:rsid w:val="007721A7"/>
    <w:rsid w:val="007721DC"/>
    <w:rsid w:val="00772257"/>
    <w:rsid w:val="00772356"/>
    <w:rsid w:val="007725AF"/>
    <w:rsid w:val="007726A9"/>
    <w:rsid w:val="00772723"/>
    <w:rsid w:val="00772BB8"/>
    <w:rsid w:val="00772E41"/>
    <w:rsid w:val="00772FCF"/>
    <w:rsid w:val="0077313D"/>
    <w:rsid w:val="007735A3"/>
    <w:rsid w:val="007735FD"/>
    <w:rsid w:val="0077367E"/>
    <w:rsid w:val="007736A6"/>
    <w:rsid w:val="00773830"/>
    <w:rsid w:val="007738D3"/>
    <w:rsid w:val="00773A64"/>
    <w:rsid w:val="00773FF9"/>
    <w:rsid w:val="00774581"/>
    <w:rsid w:val="00774779"/>
    <w:rsid w:val="00774A0D"/>
    <w:rsid w:val="00774AAA"/>
    <w:rsid w:val="00774FCC"/>
    <w:rsid w:val="0077510C"/>
    <w:rsid w:val="00775284"/>
    <w:rsid w:val="007753C8"/>
    <w:rsid w:val="00775874"/>
    <w:rsid w:val="00775886"/>
    <w:rsid w:val="00775934"/>
    <w:rsid w:val="00775974"/>
    <w:rsid w:val="00775CBC"/>
    <w:rsid w:val="00775F0A"/>
    <w:rsid w:val="00776165"/>
    <w:rsid w:val="00776209"/>
    <w:rsid w:val="007762E2"/>
    <w:rsid w:val="00776B7F"/>
    <w:rsid w:val="00776DA5"/>
    <w:rsid w:val="0077711A"/>
    <w:rsid w:val="007773AE"/>
    <w:rsid w:val="00777789"/>
    <w:rsid w:val="0077778C"/>
    <w:rsid w:val="00777CD2"/>
    <w:rsid w:val="00777D1A"/>
    <w:rsid w:val="00777E6D"/>
    <w:rsid w:val="00777FA6"/>
    <w:rsid w:val="00777FCC"/>
    <w:rsid w:val="00780084"/>
    <w:rsid w:val="007802F9"/>
    <w:rsid w:val="00780541"/>
    <w:rsid w:val="00780617"/>
    <w:rsid w:val="007807F3"/>
    <w:rsid w:val="007809B8"/>
    <w:rsid w:val="007809E7"/>
    <w:rsid w:val="00780BB3"/>
    <w:rsid w:val="00780D9E"/>
    <w:rsid w:val="00780E5D"/>
    <w:rsid w:val="007813C1"/>
    <w:rsid w:val="007814AB"/>
    <w:rsid w:val="007814F2"/>
    <w:rsid w:val="0078189F"/>
    <w:rsid w:val="00781BEF"/>
    <w:rsid w:val="00781C13"/>
    <w:rsid w:val="00781C96"/>
    <w:rsid w:val="00781EA9"/>
    <w:rsid w:val="007820BF"/>
    <w:rsid w:val="00782305"/>
    <w:rsid w:val="00782599"/>
    <w:rsid w:val="0078262A"/>
    <w:rsid w:val="00782A7E"/>
    <w:rsid w:val="00782D4D"/>
    <w:rsid w:val="00782D7F"/>
    <w:rsid w:val="00782DA2"/>
    <w:rsid w:val="00782EE3"/>
    <w:rsid w:val="00783197"/>
    <w:rsid w:val="007834F3"/>
    <w:rsid w:val="00783A1E"/>
    <w:rsid w:val="00783B53"/>
    <w:rsid w:val="00784389"/>
    <w:rsid w:val="00784513"/>
    <w:rsid w:val="0078476D"/>
    <w:rsid w:val="007847CD"/>
    <w:rsid w:val="00784840"/>
    <w:rsid w:val="00784C02"/>
    <w:rsid w:val="00784C1B"/>
    <w:rsid w:val="00784D76"/>
    <w:rsid w:val="00784E22"/>
    <w:rsid w:val="00784FC2"/>
    <w:rsid w:val="007852E8"/>
    <w:rsid w:val="00785562"/>
    <w:rsid w:val="00785A27"/>
    <w:rsid w:val="00785F6D"/>
    <w:rsid w:val="0078660B"/>
    <w:rsid w:val="00786A73"/>
    <w:rsid w:val="00786ACC"/>
    <w:rsid w:val="00786B12"/>
    <w:rsid w:val="00786CE9"/>
    <w:rsid w:val="00786D0E"/>
    <w:rsid w:val="00786D77"/>
    <w:rsid w:val="00787634"/>
    <w:rsid w:val="0078771B"/>
    <w:rsid w:val="00787778"/>
    <w:rsid w:val="0078784E"/>
    <w:rsid w:val="00787999"/>
    <w:rsid w:val="00787FCB"/>
    <w:rsid w:val="0079035A"/>
    <w:rsid w:val="007906A1"/>
    <w:rsid w:val="007906F9"/>
    <w:rsid w:val="007907BA"/>
    <w:rsid w:val="00790A2F"/>
    <w:rsid w:val="00790E92"/>
    <w:rsid w:val="0079139D"/>
    <w:rsid w:val="00791536"/>
    <w:rsid w:val="007915C8"/>
    <w:rsid w:val="007915DD"/>
    <w:rsid w:val="00791AC8"/>
    <w:rsid w:val="0079224B"/>
    <w:rsid w:val="0079229A"/>
    <w:rsid w:val="0079230E"/>
    <w:rsid w:val="00792514"/>
    <w:rsid w:val="007925DE"/>
    <w:rsid w:val="00792683"/>
    <w:rsid w:val="007926C8"/>
    <w:rsid w:val="007926E9"/>
    <w:rsid w:val="00792813"/>
    <w:rsid w:val="007929F5"/>
    <w:rsid w:val="00792AAC"/>
    <w:rsid w:val="00792D38"/>
    <w:rsid w:val="0079348E"/>
    <w:rsid w:val="007935C4"/>
    <w:rsid w:val="007936A6"/>
    <w:rsid w:val="007936F3"/>
    <w:rsid w:val="00793884"/>
    <w:rsid w:val="007942FC"/>
    <w:rsid w:val="00794503"/>
    <w:rsid w:val="007946CE"/>
    <w:rsid w:val="00794740"/>
    <w:rsid w:val="007948B5"/>
    <w:rsid w:val="007949EC"/>
    <w:rsid w:val="00794BA7"/>
    <w:rsid w:val="00794F8E"/>
    <w:rsid w:val="00795330"/>
    <w:rsid w:val="007954DA"/>
    <w:rsid w:val="007959A9"/>
    <w:rsid w:val="007959D7"/>
    <w:rsid w:val="00795AC3"/>
    <w:rsid w:val="00795AD3"/>
    <w:rsid w:val="00795BEE"/>
    <w:rsid w:val="007962E0"/>
    <w:rsid w:val="007962EF"/>
    <w:rsid w:val="00796386"/>
    <w:rsid w:val="007966B4"/>
    <w:rsid w:val="00796862"/>
    <w:rsid w:val="00796CFC"/>
    <w:rsid w:val="00796D4B"/>
    <w:rsid w:val="00797165"/>
    <w:rsid w:val="007974B1"/>
    <w:rsid w:val="00797545"/>
    <w:rsid w:val="007975F5"/>
    <w:rsid w:val="00797701"/>
    <w:rsid w:val="00797CF0"/>
    <w:rsid w:val="00797F43"/>
    <w:rsid w:val="007A055C"/>
    <w:rsid w:val="007A0767"/>
    <w:rsid w:val="007A0928"/>
    <w:rsid w:val="007A09A0"/>
    <w:rsid w:val="007A0C8F"/>
    <w:rsid w:val="007A0D76"/>
    <w:rsid w:val="007A111B"/>
    <w:rsid w:val="007A1381"/>
    <w:rsid w:val="007A16F4"/>
    <w:rsid w:val="007A194E"/>
    <w:rsid w:val="007A19B2"/>
    <w:rsid w:val="007A19E0"/>
    <w:rsid w:val="007A1D46"/>
    <w:rsid w:val="007A2072"/>
    <w:rsid w:val="007A2162"/>
    <w:rsid w:val="007A216C"/>
    <w:rsid w:val="007A242A"/>
    <w:rsid w:val="007A2553"/>
    <w:rsid w:val="007A2A37"/>
    <w:rsid w:val="007A2E2A"/>
    <w:rsid w:val="007A3364"/>
    <w:rsid w:val="007A3CC4"/>
    <w:rsid w:val="007A3D28"/>
    <w:rsid w:val="007A3FE3"/>
    <w:rsid w:val="007A4074"/>
    <w:rsid w:val="007A41F4"/>
    <w:rsid w:val="007A44F7"/>
    <w:rsid w:val="007A476B"/>
    <w:rsid w:val="007A483E"/>
    <w:rsid w:val="007A4DE6"/>
    <w:rsid w:val="007A4E7D"/>
    <w:rsid w:val="007A518E"/>
    <w:rsid w:val="007A51C1"/>
    <w:rsid w:val="007A55C4"/>
    <w:rsid w:val="007A55F4"/>
    <w:rsid w:val="007A5738"/>
    <w:rsid w:val="007A573A"/>
    <w:rsid w:val="007A58E0"/>
    <w:rsid w:val="007A5B85"/>
    <w:rsid w:val="007A5D89"/>
    <w:rsid w:val="007A5EEB"/>
    <w:rsid w:val="007A5F26"/>
    <w:rsid w:val="007A60E5"/>
    <w:rsid w:val="007A64CF"/>
    <w:rsid w:val="007A6708"/>
    <w:rsid w:val="007A685F"/>
    <w:rsid w:val="007A6B94"/>
    <w:rsid w:val="007A6ED6"/>
    <w:rsid w:val="007A71D7"/>
    <w:rsid w:val="007A7356"/>
    <w:rsid w:val="007A7600"/>
    <w:rsid w:val="007A7960"/>
    <w:rsid w:val="007B0002"/>
    <w:rsid w:val="007B017D"/>
    <w:rsid w:val="007B01AF"/>
    <w:rsid w:val="007B05C1"/>
    <w:rsid w:val="007B075C"/>
    <w:rsid w:val="007B083D"/>
    <w:rsid w:val="007B09B4"/>
    <w:rsid w:val="007B09D1"/>
    <w:rsid w:val="007B1265"/>
    <w:rsid w:val="007B14A0"/>
    <w:rsid w:val="007B1A21"/>
    <w:rsid w:val="007B1ACD"/>
    <w:rsid w:val="007B21B1"/>
    <w:rsid w:val="007B234D"/>
    <w:rsid w:val="007B2840"/>
    <w:rsid w:val="007B28B4"/>
    <w:rsid w:val="007B2E6D"/>
    <w:rsid w:val="007B2E7A"/>
    <w:rsid w:val="007B2FDF"/>
    <w:rsid w:val="007B30EA"/>
    <w:rsid w:val="007B33D2"/>
    <w:rsid w:val="007B354B"/>
    <w:rsid w:val="007B3A86"/>
    <w:rsid w:val="007B3B9A"/>
    <w:rsid w:val="007B3DE7"/>
    <w:rsid w:val="007B4246"/>
    <w:rsid w:val="007B43A1"/>
    <w:rsid w:val="007B4499"/>
    <w:rsid w:val="007B473D"/>
    <w:rsid w:val="007B4BFD"/>
    <w:rsid w:val="007B5366"/>
    <w:rsid w:val="007B5419"/>
    <w:rsid w:val="007B544B"/>
    <w:rsid w:val="007B55D0"/>
    <w:rsid w:val="007B58B3"/>
    <w:rsid w:val="007B5B06"/>
    <w:rsid w:val="007B5E6F"/>
    <w:rsid w:val="007B5F7A"/>
    <w:rsid w:val="007B6168"/>
    <w:rsid w:val="007B6199"/>
    <w:rsid w:val="007B63AE"/>
    <w:rsid w:val="007B65FD"/>
    <w:rsid w:val="007B677E"/>
    <w:rsid w:val="007B690E"/>
    <w:rsid w:val="007B6AAE"/>
    <w:rsid w:val="007B6BCD"/>
    <w:rsid w:val="007B6C4C"/>
    <w:rsid w:val="007B6F26"/>
    <w:rsid w:val="007B7279"/>
    <w:rsid w:val="007B7837"/>
    <w:rsid w:val="007B7A69"/>
    <w:rsid w:val="007B7DF3"/>
    <w:rsid w:val="007B7E46"/>
    <w:rsid w:val="007B7ED7"/>
    <w:rsid w:val="007B7F1B"/>
    <w:rsid w:val="007C051B"/>
    <w:rsid w:val="007C056D"/>
    <w:rsid w:val="007C05EB"/>
    <w:rsid w:val="007C0A22"/>
    <w:rsid w:val="007C0F4F"/>
    <w:rsid w:val="007C1743"/>
    <w:rsid w:val="007C1AA2"/>
    <w:rsid w:val="007C1F3A"/>
    <w:rsid w:val="007C2114"/>
    <w:rsid w:val="007C231D"/>
    <w:rsid w:val="007C23AE"/>
    <w:rsid w:val="007C261E"/>
    <w:rsid w:val="007C2806"/>
    <w:rsid w:val="007C2AEF"/>
    <w:rsid w:val="007C2DEB"/>
    <w:rsid w:val="007C34BA"/>
    <w:rsid w:val="007C3946"/>
    <w:rsid w:val="007C3A53"/>
    <w:rsid w:val="007C3A83"/>
    <w:rsid w:val="007C3C2C"/>
    <w:rsid w:val="007C3C72"/>
    <w:rsid w:val="007C4201"/>
    <w:rsid w:val="007C463C"/>
    <w:rsid w:val="007C46BA"/>
    <w:rsid w:val="007C4ABD"/>
    <w:rsid w:val="007C4B44"/>
    <w:rsid w:val="007C5273"/>
    <w:rsid w:val="007C5886"/>
    <w:rsid w:val="007C59EB"/>
    <w:rsid w:val="007C5A14"/>
    <w:rsid w:val="007C5C83"/>
    <w:rsid w:val="007C5D8A"/>
    <w:rsid w:val="007C6321"/>
    <w:rsid w:val="007C64EA"/>
    <w:rsid w:val="007C662A"/>
    <w:rsid w:val="007C66AF"/>
    <w:rsid w:val="007C6958"/>
    <w:rsid w:val="007C6A21"/>
    <w:rsid w:val="007C6AAA"/>
    <w:rsid w:val="007C708A"/>
    <w:rsid w:val="007C70D1"/>
    <w:rsid w:val="007C7680"/>
    <w:rsid w:val="007C7D92"/>
    <w:rsid w:val="007D00FA"/>
    <w:rsid w:val="007D014E"/>
    <w:rsid w:val="007D022D"/>
    <w:rsid w:val="007D0527"/>
    <w:rsid w:val="007D0846"/>
    <w:rsid w:val="007D0C47"/>
    <w:rsid w:val="007D0D50"/>
    <w:rsid w:val="007D0DD4"/>
    <w:rsid w:val="007D0EF7"/>
    <w:rsid w:val="007D16FF"/>
    <w:rsid w:val="007D1945"/>
    <w:rsid w:val="007D1995"/>
    <w:rsid w:val="007D1A42"/>
    <w:rsid w:val="007D1A5A"/>
    <w:rsid w:val="007D1AFC"/>
    <w:rsid w:val="007D1DE9"/>
    <w:rsid w:val="007D221D"/>
    <w:rsid w:val="007D269C"/>
    <w:rsid w:val="007D26D0"/>
    <w:rsid w:val="007D2B58"/>
    <w:rsid w:val="007D2B94"/>
    <w:rsid w:val="007D2CAF"/>
    <w:rsid w:val="007D31A0"/>
    <w:rsid w:val="007D34B9"/>
    <w:rsid w:val="007D35B2"/>
    <w:rsid w:val="007D38E8"/>
    <w:rsid w:val="007D3AEC"/>
    <w:rsid w:val="007D3BA8"/>
    <w:rsid w:val="007D3FD8"/>
    <w:rsid w:val="007D4DC3"/>
    <w:rsid w:val="007D50FE"/>
    <w:rsid w:val="007D5181"/>
    <w:rsid w:val="007D5317"/>
    <w:rsid w:val="007D5450"/>
    <w:rsid w:val="007D573B"/>
    <w:rsid w:val="007D57F6"/>
    <w:rsid w:val="007D5967"/>
    <w:rsid w:val="007D5E26"/>
    <w:rsid w:val="007D5F56"/>
    <w:rsid w:val="007D602B"/>
    <w:rsid w:val="007D61E4"/>
    <w:rsid w:val="007D628A"/>
    <w:rsid w:val="007D62B4"/>
    <w:rsid w:val="007D64D8"/>
    <w:rsid w:val="007D67A4"/>
    <w:rsid w:val="007D69BC"/>
    <w:rsid w:val="007D6AFB"/>
    <w:rsid w:val="007D6BAA"/>
    <w:rsid w:val="007D6FC8"/>
    <w:rsid w:val="007D7175"/>
    <w:rsid w:val="007D73E1"/>
    <w:rsid w:val="007D769B"/>
    <w:rsid w:val="007D76AE"/>
    <w:rsid w:val="007D77C7"/>
    <w:rsid w:val="007D7CC8"/>
    <w:rsid w:val="007E0349"/>
    <w:rsid w:val="007E0432"/>
    <w:rsid w:val="007E0597"/>
    <w:rsid w:val="007E069D"/>
    <w:rsid w:val="007E0BC4"/>
    <w:rsid w:val="007E0F92"/>
    <w:rsid w:val="007E122B"/>
    <w:rsid w:val="007E172D"/>
    <w:rsid w:val="007E1915"/>
    <w:rsid w:val="007E2202"/>
    <w:rsid w:val="007E2457"/>
    <w:rsid w:val="007E249B"/>
    <w:rsid w:val="007E2590"/>
    <w:rsid w:val="007E2756"/>
    <w:rsid w:val="007E2770"/>
    <w:rsid w:val="007E288F"/>
    <w:rsid w:val="007E2A73"/>
    <w:rsid w:val="007E2E46"/>
    <w:rsid w:val="007E2F5A"/>
    <w:rsid w:val="007E320E"/>
    <w:rsid w:val="007E340D"/>
    <w:rsid w:val="007E3484"/>
    <w:rsid w:val="007E3982"/>
    <w:rsid w:val="007E4176"/>
    <w:rsid w:val="007E41A5"/>
    <w:rsid w:val="007E4646"/>
    <w:rsid w:val="007E4795"/>
    <w:rsid w:val="007E48FD"/>
    <w:rsid w:val="007E4EB3"/>
    <w:rsid w:val="007E4EE6"/>
    <w:rsid w:val="007E5099"/>
    <w:rsid w:val="007E50C5"/>
    <w:rsid w:val="007E55BE"/>
    <w:rsid w:val="007E5A5A"/>
    <w:rsid w:val="007E5BC4"/>
    <w:rsid w:val="007E5CD4"/>
    <w:rsid w:val="007E5CE2"/>
    <w:rsid w:val="007E5D41"/>
    <w:rsid w:val="007E5E2C"/>
    <w:rsid w:val="007E5F27"/>
    <w:rsid w:val="007E5F71"/>
    <w:rsid w:val="007E6043"/>
    <w:rsid w:val="007E619E"/>
    <w:rsid w:val="007E6254"/>
    <w:rsid w:val="007E62B4"/>
    <w:rsid w:val="007E656D"/>
    <w:rsid w:val="007E65DD"/>
    <w:rsid w:val="007E66E2"/>
    <w:rsid w:val="007E67FB"/>
    <w:rsid w:val="007E6AAB"/>
    <w:rsid w:val="007E6FAA"/>
    <w:rsid w:val="007E7501"/>
    <w:rsid w:val="007E756C"/>
    <w:rsid w:val="007E7B9F"/>
    <w:rsid w:val="007E7D0D"/>
    <w:rsid w:val="007E7E1C"/>
    <w:rsid w:val="007F0776"/>
    <w:rsid w:val="007F07F4"/>
    <w:rsid w:val="007F07FD"/>
    <w:rsid w:val="007F0BF6"/>
    <w:rsid w:val="007F0CB8"/>
    <w:rsid w:val="007F0FD2"/>
    <w:rsid w:val="007F10FC"/>
    <w:rsid w:val="007F142B"/>
    <w:rsid w:val="007F17E3"/>
    <w:rsid w:val="007F190C"/>
    <w:rsid w:val="007F19AA"/>
    <w:rsid w:val="007F2272"/>
    <w:rsid w:val="007F2306"/>
    <w:rsid w:val="007F26DB"/>
    <w:rsid w:val="007F2BFA"/>
    <w:rsid w:val="007F2C18"/>
    <w:rsid w:val="007F2DF4"/>
    <w:rsid w:val="007F2F43"/>
    <w:rsid w:val="007F2F4D"/>
    <w:rsid w:val="007F37AD"/>
    <w:rsid w:val="007F38D3"/>
    <w:rsid w:val="007F3C73"/>
    <w:rsid w:val="007F3E5D"/>
    <w:rsid w:val="007F42CF"/>
    <w:rsid w:val="007F4331"/>
    <w:rsid w:val="007F48BB"/>
    <w:rsid w:val="007F48ED"/>
    <w:rsid w:val="007F4D56"/>
    <w:rsid w:val="007F4D74"/>
    <w:rsid w:val="007F4F16"/>
    <w:rsid w:val="007F53A9"/>
    <w:rsid w:val="007F545D"/>
    <w:rsid w:val="007F55F1"/>
    <w:rsid w:val="007F5C43"/>
    <w:rsid w:val="007F5D52"/>
    <w:rsid w:val="007F5EAD"/>
    <w:rsid w:val="007F5F33"/>
    <w:rsid w:val="007F67A9"/>
    <w:rsid w:val="007F691E"/>
    <w:rsid w:val="007F6E0C"/>
    <w:rsid w:val="007F727C"/>
    <w:rsid w:val="007F73E2"/>
    <w:rsid w:val="007F748F"/>
    <w:rsid w:val="007F7624"/>
    <w:rsid w:val="007F76BB"/>
    <w:rsid w:val="007F7E2B"/>
    <w:rsid w:val="0080043A"/>
    <w:rsid w:val="00800555"/>
    <w:rsid w:val="008005CC"/>
    <w:rsid w:val="0080060F"/>
    <w:rsid w:val="00800797"/>
    <w:rsid w:val="00800C51"/>
    <w:rsid w:val="00800CA5"/>
    <w:rsid w:val="00800CAA"/>
    <w:rsid w:val="00800FC4"/>
    <w:rsid w:val="00801189"/>
    <w:rsid w:val="00801548"/>
    <w:rsid w:val="00801586"/>
    <w:rsid w:val="0080159E"/>
    <w:rsid w:val="008019DF"/>
    <w:rsid w:val="00801A3A"/>
    <w:rsid w:val="00801E69"/>
    <w:rsid w:val="00802340"/>
    <w:rsid w:val="00802385"/>
    <w:rsid w:val="0080240A"/>
    <w:rsid w:val="008026E5"/>
    <w:rsid w:val="0080298A"/>
    <w:rsid w:val="0080298B"/>
    <w:rsid w:val="00802A07"/>
    <w:rsid w:val="00802C75"/>
    <w:rsid w:val="00802DA5"/>
    <w:rsid w:val="00803046"/>
    <w:rsid w:val="00803776"/>
    <w:rsid w:val="008037DB"/>
    <w:rsid w:val="008039AB"/>
    <w:rsid w:val="00803B4B"/>
    <w:rsid w:val="008040B3"/>
    <w:rsid w:val="008040BC"/>
    <w:rsid w:val="008040E8"/>
    <w:rsid w:val="00804470"/>
    <w:rsid w:val="008045AD"/>
    <w:rsid w:val="008048AD"/>
    <w:rsid w:val="00804913"/>
    <w:rsid w:val="00804ABA"/>
    <w:rsid w:val="00804E79"/>
    <w:rsid w:val="0080503F"/>
    <w:rsid w:val="00805262"/>
    <w:rsid w:val="00805269"/>
    <w:rsid w:val="0080543D"/>
    <w:rsid w:val="008055A7"/>
    <w:rsid w:val="008055EA"/>
    <w:rsid w:val="0080578D"/>
    <w:rsid w:val="008058F6"/>
    <w:rsid w:val="00805C7D"/>
    <w:rsid w:val="00805FB9"/>
    <w:rsid w:val="00806141"/>
    <w:rsid w:val="00806758"/>
    <w:rsid w:val="00806932"/>
    <w:rsid w:val="00806B10"/>
    <w:rsid w:val="00806BF8"/>
    <w:rsid w:val="00807252"/>
    <w:rsid w:val="00807383"/>
    <w:rsid w:val="00807419"/>
    <w:rsid w:val="008076A5"/>
    <w:rsid w:val="008077B2"/>
    <w:rsid w:val="0080780B"/>
    <w:rsid w:val="008078B7"/>
    <w:rsid w:val="00807CE2"/>
    <w:rsid w:val="00807CE5"/>
    <w:rsid w:val="008111F2"/>
    <w:rsid w:val="0081147E"/>
    <w:rsid w:val="00812128"/>
    <w:rsid w:val="00812176"/>
    <w:rsid w:val="0081230A"/>
    <w:rsid w:val="00812AF2"/>
    <w:rsid w:val="00812CDD"/>
    <w:rsid w:val="00812D5C"/>
    <w:rsid w:val="00812E06"/>
    <w:rsid w:val="00813274"/>
    <w:rsid w:val="00813288"/>
    <w:rsid w:val="00813315"/>
    <w:rsid w:val="008133B2"/>
    <w:rsid w:val="008134F2"/>
    <w:rsid w:val="008136B2"/>
    <w:rsid w:val="00813804"/>
    <w:rsid w:val="00813855"/>
    <w:rsid w:val="00813888"/>
    <w:rsid w:val="00813B58"/>
    <w:rsid w:val="008141D2"/>
    <w:rsid w:val="0081445E"/>
    <w:rsid w:val="0081457A"/>
    <w:rsid w:val="008145BC"/>
    <w:rsid w:val="00814855"/>
    <w:rsid w:val="00814AC5"/>
    <w:rsid w:val="00814AF0"/>
    <w:rsid w:val="00814D42"/>
    <w:rsid w:val="00814F0E"/>
    <w:rsid w:val="00815556"/>
    <w:rsid w:val="00815A27"/>
    <w:rsid w:val="00816205"/>
    <w:rsid w:val="00816359"/>
    <w:rsid w:val="00816442"/>
    <w:rsid w:val="008164CF"/>
    <w:rsid w:val="0081656D"/>
    <w:rsid w:val="0081659C"/>
    <w:rsid w:val="00816884"/>
    <w:rsid w:val="00816F05"/>
    <w:rsid w:val="00817166"/>
    <w:rsid w:val="008173A5"/>
    <w:rsid w:val="00817469"/>
    <w:rsid w:val="008174E0"/>
    <w:rsid w:val="008177C2"/>
    <w:rsid w:val="00817A33"/>
    <w:rsid w:val="00817C17"/>
    <w:rsid w:val="008200F6"/>
    <w:rsid w:val="0082043D"/>
    <w:rsid w:val="008204D5"/>
    <w:rsid w:val="008206A5"/>
    <w:rsid w:val="008208ED"/>
    <w:rsid w:val="008208F4"/>
    <w:rsid w:val="00820AEC"/>
    <w:rsid w:val="00820B2F"/>
    <w:rsid w:val="00820CE9"/>
    <w:rsid w:val="00820D90"/>
    <w:rsid w:val="00820DC9"/>
    <w:rsid w:val="00820F3A"/>
    <w:rsid w:val="00820FC7"/>
    <w:rsid w:val="00821271"/>
    <w:rsid w:val="00821C68"/>
    <w:rsid w:val="00821C76"/>
    <w:rsid w:val="00821C8D"/>
    <w:rsid w:val="00821CA8"/>
    <w:rsid w:val="00822050"/>
    <w:rsid w:val="0082225E"/>
    <w:rsid w:val="00822425"/>
    <w:rsid w:val="0082242E"/>
    <w:rsid w:val="00822787"/>
    <w:rsid w:val="00822798"/>
    <w:rsid w:val="00822DF8"/>
    <w:rsid w:val="00822E12"/>
    <w:rsid w:val="00822F9D"/>
    <w:rsid w:val="00822FEE"/>
    <w:rsid w:val="0082313E"/>
    <w:rsid w:val="008232CC"/>
    <w:rsid w:val="0082343D"/>
    <w:rsid w:val="00823459"/>
    <w:rsid w:val="00823477"/>
    <w:rsid w:val="00823C26"/>
    <w:rsid w:val="00823EAE"/>
    <w:rsid w:val="00823F6F"/>
    <w:rsid w:val="00824055"/>
    <w:rsid w:val="0082405D"/>
    <w:rsid w:val="0082429A"/>
    <w:rsid w:val="008242B4"/>
    <w:rsid w:val="008245F9"/>
    <w:rsid w:val="00824671"/>
    <w:rsid w:val="008246B9"/>
    <w:rsid w:val="00824A4A"/>
    <w:rsid w:val="00824AF1"/>
    <w:rsid w:val="00824BE7"/>
    <w:rsid w:val="00824D37"/>
    <w:rsid w:val="00824D4D"/>
    <w:rsid w:val="00824E2F"/>
    <w:rsid w:val="00824E46"/>
    <w:rsid w:val="00824E90"/>
    <w:rsid w:val="00825189"/>
    <w:rsid w:val="0082519E"/>
    <w:rsid w:val="008252D3"/>
    <w:rsid w:val="00825335"/>
    <w:rsid w:val="008253A1"/>
    <w:rsid w:val="008255D5"/>
    <w:rsid w:val="008257AA"/>
    <w:rsid w:val="0082585C"/>
    <w:rsid w:val="008259D7"/>
    <w:rsid w:val="00825B33"/>
    <w:rsid w:val="00825C27"/>
    <w:rsid w:val="00825CBB"/>
    <w:rsid w:val="00825DFA"/>
    <w:rsid w:val="00825FA7"/>
    <w:rsid w:val="008263BD"/>
    <w:rsid w:val="008264D6"/>
    <w:rsid w:val="0082663A"/>
    <w:rsid w:val="008266F1"/>
    <w:rsid w:val="00826789"/>
    <w:rsid w:val="008268CA"/>
    <w:rsid w:val="00826994"/>
    <w:rsid w:val="008269A8"/>
    <w:rsid w:val="00826EB4"/>
    <w:rsid w:val="008270CD"/>
    <w:rsid w:val="008273FF"/>
    <w:rsid w:val="0082748B"/>
    <w:rsid w:val="008275F5"/>
    <w:rsid w:val="008276E7"/>
    <w:rsid w:val="00827733"/>
    <w:rsid w:val="00827924"/>
    <w:rsid w:val="00827ACF"/>
    <w:rsid w:val="00827F8D"/>
    <w:rsid w:val="00830030"/>
    <w:rsid w:val="00830074"/>
    <w:rsid w:val="008300C9"/>
    <w:rsid w:val="00830447"/>
    <w:rsid w:val="008306D8"/>
    <w:rsid w:val="00830920"/>
    <w:rsid w:val="00830AC8"/>
    <w:rsid w:val="00830C27"/>
    <w:rsid w:val="008312E3"/>
    <w:rsid w:val="008313BB"/>
    <w:rsid w:val="00831943"/>
    <w:rsid w:val="00831B63"/>
    <w:rsid w:val="00831BD2"/>
    <w:rsid w:val="00831E69"/>
    <w:rsid w:val="00831EFF"/>
    <w:rsid w:val="00831F1E"/>
    <w:rsid w:val="0083219B"/>
    <w:rsid w:val="0083247A"/>
    <w:rsid w:val="00832974"/>
    <w:rsid w:val="00832DA5"/>
    <w:rsid w:val="008331E9"/>
    <w:rsid w:val="008332FE"/>
    <w:rsid w:val="0083341C"/>
    <w:rsid w:val="00833474"/>
    <w:rsid w:val="00833663"/>
    <w:rsid w:val="008336D4"/>
    <w:rsid w:val="00833AF4"/>
    <w:rsid w:val="00833BA9"/>
    <w:rsid w:val="00833CCA"/>
    <w:rsid w:val="00833DDE"/>
    <w:rsid w:val="0083403D"/>
    <w:rsid w:val="00834301"/>
    <w:rsid w:val="0083440F"/>
    <w:rsid w:val="00834420"/>
    <w:rsid w:val="00834505"/>
    <w:rsid w:val="008345BF"/>
    <w:rsid w:val="00834876"/>
    <w:rsid w:val="008348F3"/>
    <w:rsid w:val="00834AAD"/>
    <w:rsid w:val="00834CE9"/>
    <w:rsid w:val="00835077"/>
    <w:rsid w:val="00835635"/>
    <w:rsid w:val="00835773"/>
    <w:rsid w:val="00835B17"/>
    <w:rsid w:val="00835CCC"/>
    <w:rsid w:val="00835FCE"/>
    <w:rsid w:val="0083602B"/>
    <w:rsid w:val="00836126"/>
    <w:rsid w:val="008364BE"/>
    <w:rsid w:val="00836715"/>
    <w:rsid w:val="00836E03"/>
    <w:rsid w:val="00836F2C"/>
    <w:rsid w:val="00837848"/>
    <w:rsid w:val="008379C8"/>
    <w:rsid w:val="00837D08"/>
    <w:rsid w:val="00840853"/>
    <w:rsid w:val="0084097C"/>
    <w:rsid w:val="00840AAC"/>
    <w:rsid w:val="00840B80"/>
    <w:rsid w:val="00841076"/>
    <w:rsid w:val="008416C0"/>
    <w:rsid w:val="008416F2"/>
    <w:rsid w:val="008418B1"/>
    <w:rsid w:val="008418F3"/>
    <w:rsid w:val="008419C5"/>
    <w:rsid w:val="00841AA2"/>
    <w:rsid w:val="00841BFE"/>
    <w:rsid w:val="00841C7E"/>
    <w:rsid w:val="00841F59"/>
    <w:rsid w:val="00841F66"/>
    <w:rsid w:val="00842175"/>
    <w:rsid w:val="0084226A"/>
    <w:rsid w:val="00842BB3"/>
    <w:rsid w:val="00842F90"/>
    <w:rsid w:val="00843591"/>
    <w:rsid w:val="00843761"/>
    <w:rsid w:val="008438B6"/>
    <w:rsid w:val="00843AA6"/>
    <w:rsid w:val="00843E2B"/>
    <w:rsid w:val="00843FFE"/>
    <w:rsid w:val="0084406B"/>
    <w:rsid w:val="008443BA"/>
    <w:rsid w:val="0084458D"/>
    <w:rsid w:val="00844606"/>
    <w:rsid w:val="008446F6"/>
    <w:rsid w:val="00844AA5"/>
    <w:rsid w:val="008458D1"/>
    <w:rsid w:val="00845939"/>
    <w:rsid w:val="00845AEA"/>
    <w:rsid w:val="00845C2E"/>
    <w:rsid w:val="00845D3D"/>
    <w:rsid w:val="00846069"/>
    <w:rsid w:val="008460AE"/>
    <w:rsid w:val="008462C7"/>
    <w:rsid w:val="0084644F"/>
    <w:rsid w:val="008464D2"/>
    <w:rsid w:val="008465E6"/>
    <w:rsid w:val="00846809"/>
    <w:rsid w:val="00846905"/>
    <w:rsid w:val="00846A7E"/>
    <w:rsid w:val="00847223"/>
    <w:rsid w:val="00847379"/>
    <w:rsid w:val="00847536"/>
    <w:rsid w:val="008476AA"/>
    <w:rsid w:val="008477BD"/>
    <w:rsid w:val="0084781B"/>
    <w:rsid w:val="0084791B"/>
    <w:rsid w:val="0084796D"/>
    <w:rsid w:val="00847B3A"/>
    <w:rsid w:val="00847CB1"/>
    <w:rsid w:val="00847D3B"/>
    <w:rsid w:val="00847ED7"/>
    <w:rsid w:val="00847F2D"/>
    <w:rsid w:val="008500FA"/>
    <w:rsid w:val="00850396"/>
    <w:rsid w:val="00850608"/>
    <w:rsid w:val="008506D0"/>
    <w:rsid w:val="00850895"/>
    <w:rsid w:val="008509E2"/>
    <w:rsid w:val="00850CC6"/>
    <w:rsid w:val="00850DEB"/>
    <w:rsid w:val="008511B7"/>
    <w:rsid w:val="008512A6"/>
    <w:rsid w:val="008513C5"/>
    <w:rsid w:val="008513EA"/>
    <w:rsid w:val="008514DE"/>
    <w:rsid w:val="008514F5"/>
    <w:rsid w:val="008517C9"/>
    <w:rsid w:val="008517EE"/>
    <w:rsid w:val="00851A99"/>
    <w:rsid w:val="00851B1C"/>
    <w:rsid w:val="00851B27"/>
    <w:rsid w:val="00851C82"/>
    <w:rsid w:val="00851ED1"/>
    <w:rsid w:val="00851F36"/>
    <w:rsid w:val="00852052"/>
    <w:rsid w:val="00852113"/>
    <w:rsid w:val="00852141"/>
    <w:rsid w:val="008523E1"/>
    <w:rsid w:val="00852728"/>
    <w:rsid w:val="0085294E"/>
    <w:rsid w:val="00852A01"/>
    <w:rsid w:val="00852AB5"/>
    <w:rsid w:val="00852BFE"/>
    <w:rsid w:val="00852F8B"/>
    <w:rsid w:val="00853100"/>
    <w:rsid w:val="0085396A"/>
    <w:rsid w:val="00853A2E"/>
    <w:rsid w:val="00853BC0"/>
    <w:rsid w:val="00853D05"/>
    <w:rsid w:val="00853D12"/>
    <w:rsid w:val="00853F0F"/>
    <w:rsid w:val="00853F97"/>
    <w:rsid w:val="008540EB"/>
    <w:rsid w:val="0085431B"/>
    <w:rsid w:val="0085444A"/>
    <w:rsid w:val="008544B5"/>
    <w:rsid w:val="00854566"/>
    <w:rsid w:val="00854948"/>
    <w:rsid w:val="00854AC2"/>
    <w:rsid w:val="00854BC0"/>
    <w:rsid w:val="00854C05"/>
    <w:rsid w:val="008558EF"/>
    <w:rsid w:val="008559A4"/>
    <w:rsid w:val="008559FD"/>
    <w:rsid w:val="00855A3E"/>
    <w:rsid w:val="00855C66"/>
    <w:rsid w:val="00855D46"/>
    <w:rsid w:val="008560CE"/>
    <w:rsid w:val="008561F9"/>
    <w:rsid w:val="00856992"/>
    <w:rsid w:val="00856A09"/>
    <w:rsid w:val="00856AA3"/>
    <w:rsid w:val="008577F2"/>
    <w:rsid w:val="00857DEE"/>
    <w:rsid w:val="00857DF4"/>
    <w:rsid w:val="008607F2"/>
    <w:rsid w:val="00860AD4"/>
    <w:rsid w:val="00860C63"/>
    <w:rsid w:val="00860DB7"/>
    <w:rsid w:val="00860DD6"/>
    <w:rsid w:val="00860F8F"/>
    <w:rsid w:val="00860F9B"/>
    <w:rsid w:val="00861272"/>
    <w:rsid w:val="00861477"/>
    <w:rsid w:val="008614CA"/>
    <w:rsid w:val="0086179E"/>
    <w:rsid w:val="00862226"/>
    <w:rsid w:val="00862902"/>
    <w:rsid w:val="00862C4F"/>
    <w:rsid w:val="00862CD3"/>
    <w:rsid w:val="00862DAC"/>
    <w:rsid w:val="00862F25"/>
    <w:rsid w:val="00863378"/>
    <w:rsid w:val="008637E9"/>
    <w:rsid w:val="00863958"/>
    <w:rsid w:val="00863D7C"/>
    <w:rsid w:val="00863DF7"/>
    <w:rsid w:val="00863E90"/>
    <w:rsid w:val="00863EF6"/>
    <w:rsid w:val="0086409B"/>
    <w:rsid w:val="00864660"/>
    <w:rsid w:val="00864B33"/>
    <w:rsid w:val="00864B88"/>
    <w:rsid w:val="0086511E"/>
    <w:rsid w:val="0086530E"/>
    <w:rsid w:val="008654CA"/>
    <w:rsid w:val="00865506"/>
    <w:rsid w:val="0086566F"/>
    <w:rsid w:val="008656F8"/>
    <w:rsid w:val="008658AA"/>
    <w:rsid w:val="00865D6C"/>
    <w:rsid w:val="00865DC7"/>
    <w:rsid w:val="00865FE9"/>
    <w:rsid w:val="00866341"/>
    <w:rsid w:val="00866B94"/>
    <w:rsid w:val="00866EB5"/>
    <w:rsid w:val="00866EEF"/>
    <w:rsid w:val="00867014"/>
    <w:rsid w:val="00867290"/>
    <w:rsid w:val="008672FE"/>
    <w:rsid w:val="00867459"/>
    <w:rsid w:val="00867703"/>
    <w:rsid w:val="00867833"/>
    <w:rsid w:val="00867B6F"/>
    <w:rsid w:val="00867CE1"/>
    <w:rsid w:val="00867DA2"/>
    <w:rsid w:val="00867E4D"/>
    <w:rsid w:val="00867F26"/>
    <w:rsid w:val="00867F43"/>
    <w:rsid w:val="0087007B"/>
    <w:rsid w:val="0087008C"/>
    <w:rsid w:val="008700CA"/>
    <w:rsid w:val="008701E7"/>
    <w:rsid w:val="008703C3"/>
    <w:rsid w:val="00870508"/>
    <w:rsid w:val="008706D0"/>
    <w:rsid w:val="00870722"/>
    <w:rsid w:val="008709A1"/>
    <w:rsid w:val="00870B54"/>
    <w:rsid w:val="00870C6F"/>
    <w:rsid w:val="00870C8B"/>
    <w:rsid w:val="00871095"/>
    <w:rsid w:val="008714E6"/>
    <w:rsid w:val="0087151E"/>
    <w:rsid w:val="00871A9E"/>
    <w:rsid w:val="00871AF3"/>
    <w:rsid w:val="00871B95"/>
    <w:rsid w:val="00872461"/>
    <w:rsid w:val="008724E3"/>
    <w:rsid w:val="0087271B"/>
    <w:rsid w:val="00872DB3"/>
    <w:rsid w:val="00873001"/>
    <w:rsid w:val="00873068"/>
    <w:rsid w:val="0087326F"/>
    <w:rsid w:val="00873530"/>
    <w:rsid w:val="008735DD"/>
    <w:rsid w:val="008737CC"/>
    <w:rsid w:val="00873986"/>
    <w:rsid w:val="00873CDB"/>
    <w:rsid w:val="00873E43"/>
    <w:rsid w:val="00874609"/>
    <w:rsid w:val="0087490F"/>
    <w:rsid w:val="00874991"/>
    <w:rsid w:val="00874A34"/>
    <w:rsid w:val="00874AD4"/>
    <w:rsid w:val="00874B51"/>
    <w:rsid w:val="00874DD4"/>
    <w:rsid w:val="00874E18"/>
    <w:rsid w:val="008751E6"/>
    <w:rsid w:val="0087531F"/>
    <w:rsid w:val="00875B1F"/>
    <w:rsid w:val="00875D8A"/>
    <w:rsid w:val="00875FD1"/>
    <w:rsid w:val="00875FFE"/>
    <w:rsid w:val="00876321"/>
    <w:rsid w:val="0087659D"/>
    <w:rsid w:val="00876731"/>
    <w:rsid w:val="00876797"/>
    <w:rsid w:val="008769B5"/>
    <w:rsid w:val="00876B80"/>
    <w:rsid w:val="00876E8B"/>
    <w:rsid w:val="008774C0"/>
    <w:rsid w:val="00877BD5"/>
    <w:rsid w:val="00877DE5"/>
    <w:rsid w:val="00877F09"/>
    <w:rsid w:val="008802CA"/>
    <w:rsid w:val="00880355"/>
    <w:rsid w:val="0088051A"/>
    <w:rsid w:val="00880834"/>
    <w:rsid w:val="00880CBB"/>
    <w:rsid w:val="00880FD7"/>
    <w:rsid w:val="0088127C"/>
    <w:rsid w:val="0088159C"/>
    <w:rsid w:val="00881887"/>
    <w:rsid w:val="008818E4"/>
    <w:rsid w:val="008819B2"/>
    <w:rsid w:val="00881C2A"/>
    <w:rsid w:val="00881FA5"/>
    <w:rsid w:val="008821CA"/>
    <w:rsid w:val="008822D5"/>
    <w:rsid w:val="00882364"/>
    <w:rsid w:val="008823A3"/>
    <w:rsid w:val="008824F9"/>
    <w:rsid w:val="008825F4"/>
    <w:rsid w:val="008826DC"/>
    <w:rsid w:val="00882967"/>
    <w:rsid w:val="00882BE0"/>
    <w:rsid w:val="00882C14"/>
    <w:rsid w:val="00882E4B"/>
    <w:rsid w:val="00883483"/>
    <w:rsid w:val="008839E4"/>
    <w:rsid w:val="00883CA2"/>
    <w:rsid w:val="00883D38"/>
    <w:rsid w:val="00883E17"/>
    <w:rsid w:val="00884163"/>
    <w:rsid w:val="008842DF"/>
    <w:rsid w:val="00884419"/>
    <w:rsid w:val="00884465"/>
    <w:rsid w:val="0088477C"/>
    <w:rsid w:val="0088484D"/>
    <w:rsid w:val="00884CE8"/>
    <w:rsid w:val="00884EF2"/>
    <w:rsid w:val="008852AB"/>
    <w:rsid w:val="0088545A"/>
    <w:rsid w:val="00885671"/>
    <w:rsid w:val="00885750"/>
    <w:rsid w:val="00885D54"/>
    <w:rsid w:val="00885E17"/>
    <w:rsid w:val="008863A6"/>
    <w:rsid w:val="008865E3"/>
    <w:rsid w:val="008865F9"/>
    <w:rsid w:val="008866E0"/>
    <w:rsid w:val="008869F7"/>
    <w:rsid w:val="00886F5E"/>
    <w:rsid w:val="008872C2"/>
    <w:rsid w:val="008872C6"/>
    <w:rsid w:val="00887CAB"/>
    <w:rsid w:val="0089021A"/>
    <w:rsid w:val="008902C1"/>
    <w:rsid w:val="00890481"/>
    <w:rsid w:val="00890B56"/>
    <w:rsid w:val="00890BC3"/>
    <w:rsid w:val="00890ED1"/>
    <w:rsid w:val="00891182"/>
    <w:rsid w:val="008911CD"/>
    <w:rsid w:val="00891206"/>
    <w:rsid w:val="0089174D"/>
    <w:rsid w:val="00892250"/>
    <w:rsid w:val="008922AC"/>
    <w:rsid w:val="008922E2"/>
    <w:rsid w:val="0089248B"/>
    <w:rsid w:val="00892A3C"/>
    <w:rsid w:val="00892BFA"/>
    <w:rsid w:val="00893121"/>
    <w:rsid w:val="00893473"/>
    <w:rsid w:val="00893656"/>
    <w:rsid w:val="0089365A"/>
    <w:rsid w:val="0089396D"/>
    <w:rsid w:val="008939CF"/>
    <w:rsid w:val="00893B73"/>
    <w:rsid w:val="00893CEE"/>
    <w:rsid w:val="00893D96"/>
    <w:rsid w:val="0089400A"/>
    <w:rsid w:val="00894067"/>
    <w:rsid w:val="00894301"/>
    <w:rsid w:val="008944F0"/>
    <w:rsid w:val="00894772"/>
    <w:rsid w:val="008949E8"/>
    <w:rsid w:val="00894BCE"/>
    <w:rsid w:val="00894BFF"/>
    <w:rsid w:val="00894C3C"/>
    <w:rsid w:val="0089516D"/>
    <w:rsid w:val="00895193"/>
    <w:rsid w:val="008952F1"/>
    <w:rsid w:val="00895545"/>
    <w:rsid w:val="00895D58"/>
    <w:rsid w:val="00895E0F"/>
    <w:rsid w:val="00895F87"/>
    <w:rsid w:val="00895F93"/>
    <w:rsid w:val="008961A7"/>
    <w:rsid w:val="008962CD"/>
    <w:rsid w:val="008963A5"/>
    <w:rsid w:val="00896575"/>
    <w:rsid w:val="00896612"/>
    <w:rsid w:val="008968D9"/>
    <w:rsid w:val="0089690E"/>
    <w:rsid w:val="00896A26"/>
    <w:rsid w:val="00896BC5"/>
    <w:rsid w:val="00896ED7"/>
    <w:rsid w:val="00896FA4"/>
    <w:rsid w:val="00897A0E"/>
    <w:rsid w:val="00897ED1"/>
    <w:rsid w:val="00897F20"/>
    <w:rsid w:val="008A0453"/>
    <w:rsid w:val="008A061D"/>
    <w:rsid w:val="008A07CE"/>
    <w:rsid w:val="008A07F0"/>
    <w:rsid w:val="008A0AEF"/>
    <w:rsid w:val="008A0C6F"/>
    <w:rsid w:val="008A0CD8"/>
    <w:rsid w:val="008A1392"/>
    <w:rsid w:val="008A1609"/>
    <w:rsid w:val="008A18B1"/>
    <w:rsid w:val="008A1BAA"/>
    <w:rsid w:val="008A1BC1"/>
    <w:rsid w:val="008A1E72"/>
    <w:rsid w:val="008A2413"/>
    <w:rsid w:val="008A25A6"/>
    <w:rsid w:val="008A2904"/>
    <w:rsid w:val="008A291F"/>
    <w:rsid w:val="008A2DFE"/>
    <w:rsid w:val="008A2E0C"/>
    <w:rsid w:val="008A34E0"/>
    <w:rsid w:val="008A368E"/>
    <w:rsid w:val="008A36F0"/>
    <w:rsid w:val="008A37E5"/>
    <w:rsid w:val="008A3F9E"/>
    <w:rsid w:val="008A401D"/>
    <w:rsid w:val="008A4256"/>
    <w:rsid w:val="008A451C"/>
    <w:rsid w:val="008A4744"/>
    <w:rsid w:val="008A47DC"/>
    <w:rsid w:val="008A4824"/>
    <w:rsid w:val="008A49B1"/>
    <w:rsid w:val="008A4F1E"/>
    <w:rsid w:val="008A4F85"/>
    <w:rsid w:val="008A529E"/>
    <w:rsid w:val="008A56DC"/>
    <w:rsid w:val="008A5771"/>
    <w:rsid w:val="008A5E33"/>
    <w:rsid w:val="008A5ED4"/>
    <w:rsid w:val="008A63B0"/>
    <w:rsid w:val="008A65AB"/>
    <w:rsid w:val="008A6623"/>
    <w:rsid w:val="008A663D"/>
    <w:rsid w:val="008A680F"/>
    <w:rsid w:val="008A6A40"/>
    <w:rsid w:val="008A728F"/>
    <w:rsid w:val="008A73C1"/>
    <w:rsid w:val="008A74D2"/>
    <w:rsid w:val="008A76A5"/>
    <w:rsid w:val="008B007B"/>
    <w:rsid w:val="008B052D"/>
    <w:rsid w:val="008B061F"/>
    <w:rsid w:val="008B0B57"/>
    <w:rsid w:val="008B0CB1"/>
    <w:rsid w:val="008B0F29"/>
    <w:rsid w:val="008B1089"/>
    <w:rsid w:val="008B1146"/>
    <w:rsid w:val="008B114F"/>
    <w:rsid w:val="008B1150"/>
    <w:rsid w:val="008B1161"/>
    <w:rsid w:val="008B1293"/>
    <w:rsid w:val="008B13DE"/>
    <w:rsid w:val="008B13E7"/>
    <w:rsid w:val="008B1813"/>
    <w:rsid w:val="008B1870"/>
    <w:rsid w:val="008B21B6"/>
    <w:rsid w:val="008B2236"/>
    <w:rsid w:val="008B226B"/>
    <w:rsid w:val="008B22DB"/>
    <w:rsid w:val="008B297A"/>
    <w:rsid w:val="008B2FAB"/>
    <w:rsid w:val="008B31D5"/>
    <w:rsid w:val="008B3498"/>
    <w:rsid w:val="008B3682"/>
    <w:rsid w:val="008B3A18"/>
    <w:rsid w:val="008B3A4A"/>
    <w:rsid w:val="008B3D66"/>
    <w:rsid w:val="008B411F"/>
    <w:rsid w:val="008B4175"/>
    <w:rsid w:val="008B4397"/>
    <w:rsid w:val="008B444E"/>
    <w:rsid w:val="008B44D0"/>
    <w:rsid w:val="008B4626"/>
    <w:rsid w:val="008B47CA"/>
    <w:rsid w:val="008B48B7"/>
    <w:rsid w:val="008B4976"/>
    <w:rsid w:val="008B4A2A"/>
    <w:rsid w:val="008B4FC7"/>
    <w:rsid w:val="008B5102"/>
    <w:rsid w:val="008B548D"/>
    <w:rsid w:val="008B58E7"/>
    <w:rsid w:val="008B5E20"/>
    <w:rsid w:val="008B615E"/>
    <w:rsid w:val="008B63D6"/>
    <w:rsid w:val="008B67BC"/>
    <w:rsid w:val="008B6E48"/>
    <w:rsid w:val="008B6FC0"/>
    <w:rsid w:val="008B7102"/>
    <w:rsid w:val="008B723D"/>
    <w:rsid w:val="008B7678"/>
    <w:rsid w:val="008B76CC"/>
    <w:rsid w:val="008B76EE"/>
    <w:rsid w:val="008B7721"/>
    <w:rsid w:val="008B77E9"/>
    <w:rsid w:val="008B781A"/>
    <w:rsid w:val="008B7CB2"/>
    <w:rsid w:val="008C0597"/>
    <w:rsid w:val="008C081E"/>
    <w:rsid w:val="008C0BCD"/>
    <w:rsid w:val="008C0E6B"/>
    <w:rsid w:val="008C0E7D"/>
    <w:rsid w:val="008C1B54"/>
    <w:rsid w:val="008C23C8"/>
    <w:rsid w:val="008C23C9"/>
    <w:rsid w:val="008C24CB"/>
    <w:rsid w:val="008C2B39"/>
    <w:rsid w:val="008C2C78"/>
    <w:rsid w:val="008C2E28"/>
    <w:rsid w:val="008C2FA9"/>
    <w:rsid w:val="008C30E7"/>
    <w:rsid w:val="008C310E"/>
    <w:rsid w:val="008C32A9"/>
    <w:rsid w:val="008C33E6"/>
    <w:rsid w:val="008C363C"/>
    <w:rsid w:val="008C37DA"/>
    <w:rsid w:val="008C3A88"/>
    <w:rsid w:val="008C3B2E"/>
    <w:rsid w:val="008C3B37"/>
    <w:rsid w:val="008C4352"/>
    <w:rsid w:val="008C4456"/>
    <w:rsid w:val="008C47FA"/>
    <w:rsid w:val="008C497B"/>
    <w:rsid w:val="008C4C86"/>
    <w:rsid w:val="008C4CC1"/>
    <w:rsid w:val="008C4DF2"/>
    <w:rsid w:val="008C4F20"/>
    <w:rsid w:val="008C5008"/>
    <w:rsid w:val="008C525B"/>
    <w:rsid w:val="008C5B5B"/>
    <w:rsid w:val="008C5E64"/>
    <w:rsid w:val="008C65CC"/>
    <w:rsid w:val="008C6796"/>
    <w:rsid w:val="008C6D97"/>
    <w:rsid w:val="008C6FA4"/>
    <w:rsid w:val="008C7006"/>
    <w:rsid w:val="008C7015"/>
    <w:rsid w:val="008C7160"/>
    <w:rsid w:val="008C73AC"/>
    <w:rsid w:val="008C7674"/>
    <w:rsid w:val="008C770D"/>
    <w:rsid w:val="008C781A"/>
    <w:rsid w:val="008C7953"/>
    <w:rsid w:val="008C79B9"/>
    <w:rsid w:val="008C7B2E"/>
    <w:rsid w:val="008C7C58"/>
    <w:rsid w:val="008C7C7C"/>
    <w:rsid w:val="008D019C"/>
    <w:rsid w:val="008D052F"/>
    <w:rsid w:val="008D06AC"/>
    <w:rsid w:val="008D06CF"/>
    <w:rsid w:val="008D0782"/>
    <w:rsid w:val="008D0833"/>
    <w:rsid w:val="008D0883"/>
    <w:rsid w:val="008D0D2A"/>
    <w:rsid w:val="008D0DAA"/>
    <w:rsid w:val="008D115B"/>
    <w:rsid w:val="008D122C"/>
    <w:rsid w:val="008D1351"/>
    <w:rsid w:val="008D1B09"/>
    <w:rsid w:val="008D1B67"/>
    <w:rsid w:val="008D1DA5"/>
    <w:rsid w:val="008D204F"/>
    <w:rsid w:val="008D20E2"/>
    <w:rsid w:val="008D2521"/>
    <w:rsid w:val="008D2C41"/>
    <w:rsid w:val="008D3301"/>
    <w:rsid w:val="008D3347"/>
    <w:rsid w:val="008D33EB"/>
    <w:rsid w:val="008D394B"/>
    <w:rsid w:val="008D3AC8"/>
    <w:rsid w:val="008D4528"/>
    <w:rsid w:val="008D48E9"/>
    <w:rsid w:val="008D4E81"/>
    <w:rsid w:val="008D4F44"/>
    <w:rsid w:val="008D5053"/>
    <w:rsid w:val="008D51EC"/>
    <w:rsid w:val="008D5326"/>
    <w:rsid w:val="008D53DC"/>
    <w:rsid w:val="008D5517"/>
    <w:rsid w:val="008D5530"/>
    <w:rsid w:val="008D582A"/>
    <w:rsid w:val="008D5960"/>
    <w:rsid w:val="008D5A82"/>
    <w:rsid w:val="008D5C2B"/>
    <w:rsid w:val="008D5D9D"/>
    <w:rsid w:val="008D6132"/>
    <w:rsid w:val="008D6163"/>
    <w:rsid w:val="008D64F3"/>
    <w:rsid w:val="008D6627"/>
    <w:rsid w:val="008D684F"/>
    <w:rsid w:val="008D6B42"/>
    <w:rsid w:val="008D6B6B"/>
    <w:rsid w:val="008D6CA4"/>
    <w:rsid w:val="008D6CCB"/>
    <w:rsid w:val="008D6EF6"/>
    <w:rsid w:val="008D71C6"/>
    <w:rsid w:val="008D754B"/>
    <w:rsid w:val="008D7579"/>
    <w:rsid w:val="008D7731"/>
    <w:rsid w:val="008D77CB"/>
    <w:rsid w:val="008D7B61"/>
    <w:rsid w:val="008D7FB4"/>
    <w:rsid w:val="008E05F9"/>
    <w:rsid w:val="008E0629"/>
    <w:rsid w:val="008E06C1"/>
    <w:rsid w:val="008E089A"/>
    <w:rsid w:val="008E0967"/>
    <w:rsid w:val="008E0AE2"/>
    <w:rsid w:val="008E0F86"/>
    <w:rsid w:val="008E116D"/>
    <w:rsid w:val="008E14A9"/>
    <w:rsid w:val="008E1615"/>
    <w:rsid w:val="008E171E"/>
    <w:rsid w:val="008E1816"/>
    <w:rsid w:val="008E1A26"/>
    <w:rsid w:val="008E1AA2"/>
    <w:rsid w:val="008E1CA0"/>
    <w:rsid w:val="008E2A23"/>
    <w:rsid w:val="008E2ABF"/>
    <w:rsid w:val="008E2C87"/>
    <w:rsid w:val="008E37BC"/>
    <w:rsid w:val="008E3A51"/>
    <w:rsid w:val="008E3D95"/>
    <w:rsid w:val="008E3EDB"/>
    <w:rsid w:val="008E3FEB"/>
    <w:rsid w:val="008E4256"/>
    <w:rsid w:val="008E45AD"/>
    <w:rsid w:val="008E460F"/>
    <w:rsid w:val="008E48AD"/>
    <w:rsid w:val="008E48E8"/>
    <w:rsid w:val="008E4B6C"/>
    <w:rsid w:val="008E4F0C"/>
    <w:rsid w:val="008E503F"/>
    <w:rsid w:val="008E5070"/>
    <w:rsid w:val="008E53A2"/>
    <w:rsid w:val="008E5434"/>
    <w:rsid w:val="008E5B2F"/>
    <w:rsid w:val="008E5E6B"/>
    <w:rsid w:val="008E62A2"/>
    <w:rsid w:val="008E6841"/>
    <w:rsid w:val="008E694A"/>
    <w:rsid w:val="008E6BB6"/>
    <w:rsid w:val="008E6BBA"/>
    <w:rsid w:val="008E6E8C"/>
    <w:rsid w:val="008E6F38"/>
    <w:rsid w:val="008E7006"/>
    <w:rsid w:val="008E706E"/>
    <w:rsid w:val="008E7163"/>
    <w:rsid w:val="008E721B"/>
    <w:rsid w:val="008E72F9"/>
    <w:rsid w:val="008E7677"/>
    <w:rsid w:val="008E7B49"/>
    <w:rsid w:val="008E7B51"/>
    <w:rsid w:val="008E7CC6"/>
    <w:rsid w:val="008F0202"/>
    <w:rsid w:val="008F03B6"/>
    <w:rsid w:val="008F054C"/>
    <w:rsid w:val="008F0CE6"/>
    <w:rsid w:val="008F0D78"/>
    <w:rsid w:val="008F0FAA"/>
    <w:rsid w:val="008F122E"/>
    <w:rsid w:val="008F1286"/>
    <w:rsid w:val="008F1311"/>
    <w:rsid w:val="008F13F5"/>
    <w:rsid w:val="008F1584"/>
    <w:rsid w:val="008F1635"/>
    <w:rsid w:val="008F1693"/>
    <w:rsid w:val="008F179B"/>
    <w:rsid w:val="008F18EC"/>
    <w:rsid w:val="008F1A55"/>
    <w:rsid w:val="008F1AF6"/>
    <w:rsid w:val="008F1F72"/>
    <w:rsid w:val="008F27AA"/>
    <w:rsid w:val="008F286D"/>
    <w:rsid w:val="008F2ACF"/>
    <w:rsid w:val="008F2BF5"/>
    <w:rsid w:val="008F2D5A"/>
    <w:rsid w:val="008F2E11"/>
    <w:rsid w:val="008F2E39"/>
    <w:rsid w:val="008F2EDB"/>
    <w:rsid w:val="008F313B"/>
    <w:rsid w:val="008F3270"/>
    <w:rsid w:val="008F3286"/>
    <w:rsid w:val="008F337D"/>
    <w:rsid w:val="008F3411"/>
    <w:rsid w:val="008F3442"/>
    <w:rsid w:val="008F3484"/>
    <w:rsid w:val="008F389C"/>
    <w:rsid w:val="008F4055"/>
    <w:rsid w:val="008F45B6"/>
    <w:rsid w:val="008F45F2"/>
    <w:rsid w:val="008F46DA"/>
    <w:rsid w:val="008F4920"/>
    <w:rsid w:val="008F4A02"/>
    <w:rsid w:val="008F4C85"/>
    <w:rsid w:val="008F4E07"/>
    <w:rsid w:val="008F4F30"/>
    <w:rsid w:val="008F4F8E"/>
    <w:rsid w:val="008F55E8"/>
    <w:rsid w:val="008F56EA"/>
    <w:rsid w:val="008F596E"/>
    <w:rsid w:val="008F5F8F"/>
    <w:rsid w:val="008F68DC"/>
    <w:rsid w:val="008F6AFF"/>
    <w:rsid w:val="008F7036"/>
    <w:rsid w:val="008F71E8"/>
    <w:rsid w:val="008F725B"/>
    <w:rsid w:val="008F726F"/>
    <w:rsid w:val="008F7C31"/>
    <w:rsid w:val="008F7CB3"/>
    <w:rsid w:val="008F7EA1"/>
    <w:rsid w:val="00900429"/>
    <w:rsid w:val="0090044B"/>
    <w:rsid w:val="009005A2"/>
    <w:rsid w:val="00900C94"/>
    <w:rsid w:val="009010AA"/>
    <w:rsid w:val="009011E8"/>
    <w:rsid w:val="009014A7"/>
    <w:rsid w:val="0090153F"/>
    <w:rsid w:val="00901EF1"/>
    <w:rsid w:val="009020C2"/>
    <w:rsid w:val="009025B7"/>
    <w:rsid w:val="0090280E"/>
    <w:rsid w:val="0090287A"/>
    <w:rsid w:val="00902E36"/>
    <w:rsid w:val="00902E73"/>
    <w:rsid w:val="00902FFC"/>
    <w:rsid w:val="009030C4"/>
    <w:rsid w:val="00903532"/>
    <w:rsid w:val="00903906"/>
    <w:rsid w:val="00903914"/>
    <w:rsid w:val="00903B72"/>
    <w:rsid w:val="00903BF8"/>
    <w:rsid w:val="00903E90"/>
    <w:rsid w:val="009040B5"/>
    <w:rsid w:val="009046B5"/>
    <w:rsid w:val="00905201"/>
    <w:rsid w:val="00905396"/>
    <w:rsid w:val="009054A3"/>
    <w:rsid w:val="00905775"/>
    <w:rsid w:val="00905939"/>
    <w:rsid w:val="0090594B"/>
    <w:rsid w:val="009059C1"/>
    <w:rsid w:val="00905A22"/>
    <w:rsid w:val="00905DB4"/>
    <w:rsid w:val="00906310"/>
    <w:rsid w:val="009064A7"/>
    <w:rsid w:val="009065DB"/>
    <w:rsid w:val="00906817"/>
    <w:rsid w:val="009069DA"/>
    <w:rsid w:val="00906C6F"/>
    <w:rsid w:val="009070A1"/>
    <w:rsid w:val="00907123"/>
    <w:rsid w:val="00907197"/>
    <w:rsid w:val="009073ED"/>
    <w:rsid w:val="00907604"/>
    <w:rsid w:val="00907A3F"/>
    <w:rsid w:val="00907AC2"/>
    <w:rsid w:val="00907B27"/>
    <w:rsid w:val="00907BBE"/>
    <w:rsid w:val="00907E9A"/>
    <w:rsid w:val="00910214"/>
    <w:rsid w:val="00910259"/>
    <w:rsid w:val="00910422"/>
    <w:rsid w:val="00910455"/>
    <w:rsid w:val="009107F5"/>
    <w:rsid w:val="00910832"/>
    <w:rsid w:val="00910A32"/>
    <w:rsid w:val="00910CED"/>
    <w:rsid w:val="00910EE8"/>
    <w:rsid w:val="00910F83"/>
    <w:rsid w:val="00911278"/>
    <w:rsid w:val="009115BB"/>
    <w:rsid w:val="00911639"/>
    <w:rsid w:val="009117C6"/>
    <w:rsid w:val="00911A9D"/>
    <w:rsid w:val="00911BBF"/>
    <w:rsid w:val="00912264"/>
    <w:rsid w:val="0091259A"/>
    <w:rsid w:val="00912BDE"/>
    <w:rsid w:val="00912EEE"/>
    <w:rsid w:val="00912F51"/>
    <w:rsid w:val="009131EC"/>
    <w:rsid w:val="0091324D"/>
    <w:rsid w:val="00913445"/>
    <w:rsid w:val="009136B4"/>
    <w:rsid w:val="009136CA"/>
    <w:rsid w:val="00913DCF"/>
    <w:rsid w:val="009141B2"/>
    <w:rsid w:val="009142AD"/>
    <w:rsid w:val="0091432D"/>
    <w:rsid w:val="00914BD1"/>
    <w:rsid w:val="00914CD0"/>
    <w:rsid w:val="00914DC0"/>
    <w:rsid w:val="00914F65"/>
    <w:rsid w:val="0091541B"/>
    <w:rsid w:val="009154B0"/>
    <w:rsid w:val="009157B2"/>
    <w:rsid w:val="00915A63"/>
    <w:rsid w:val="00915EF3"/>
    <w:rsid w:val="00915FC6"/>
    <w:rsid w:val="009168D4"/>
    <w:rsid w:val="00916CF7"/>
    <w:rsid w:val="00916D44"/>
    <w:rsid w:val="00916EB2"/>
    <w:rsid w:val="00917175"/>
    <w:rsid w:val="0091762D"/>
    <w:rsid w:val="009177D8"/>
    <w:rsid w:val="00917A4F"/>
    <w:rsid w:val="00917B90"/>
    <w:rsid w:val="0092005C"/>
    <w:rsid w:val="009201DB"/>
    <w:rsid w:val="00920209"/>
    <w:rsid w:val="0092033B"/>
    <w:rsid w:val="009204C4"/>
    <w:rsid w:val="009205C1"/>
    <w:rsid w:val="0092067F"/>
    <w:rsid w:val="00920923"/>
    <w:rsid w:val="00920ADB"/>
    <w:rsid w:val="00920BF1"/>
    <w:rsid w:val="00920C92"/>
    <w:rsid w:val="00920CBF"/>
    <w:rsid w:val="00920D77"/>
    <w:rsid w:val="009210F0"/>
    <w:rsid w:val="009211D1"/>
    <w:rsid w:val="009217D6"/>
    <w:rsid w:val="009217EE"/>
    <w:rsid w:val="00921846"/>
    <w:rsid w:val="0092184A"/>
    <w:rsid w:val="00921CAD"/>
    <w:rsid w:val="00921CC0"/>
    <w:rsid w:val="00922481"/>
    <w:rsid w:val="0092262B"/>
    <w:rsid w:val="009226FB"/>
    <w:rsid w:val="00922ECF"/>
    <w:rsid w:val="00923092"/>
    <w:rsid w:val="009231BC"/>
    <w:rsid w:val="009231DC"/>
    <w:rsid w:val="0092330D"/>
    <w:rsid w:val="009234A1"/>
    <w:rsid w:val="00923881"/>
    <w:rsid w:val="00923A7F"/>
    <w:rsid w:val="00923B39"/>
    <w:rsid w:val="00923CAC"/>
    <w:rsid w:val="00923D1C"/>
    <w:rsid w:val="00924208"/>
    <w:rsid w:val="009246EF"/>
    <w:rsid w:val="0092498B"/>
    <w:rsid w:val="009249A3"/>
    <w:rsid w:val="00924D43"/>
    <w:rsid w:val="00924F9A"/>
    <w:rsid w:val="0092510C"/>
    <w:rsid w:val="009251E1"/>
    <w:rsid w:val="009252F0"/>
    <w:rsid w:val="00925946"/>
    <w:rsid w:val="00925AD5"/>
    <w:rsid w:val="00925FBF"/>
    <w:rsid w:val="0092606F"/>
    <w:rsid w:val="009263BA"/>
    <w:rsid w:val="0092657E"/>
    <w:rsid w:val="00926837"/>
    <w:rsid w:val="00926A86"/>
    <w:rsid w:val="00927126"/>
    <w:rsid w:val="009276B5"/>
    <w:rsid w:val="00927913"/>
    <w:rsid w:val="00927987"/>
    <w:rsid w:val="00927B2F"/>
    <w:rsid w:val="00927C80"/>
    <w:rsid w:val="00927F58"/>
    <w:rsid w:val="00930063"/>
    <w:rsid w:val="0093012C"/>
    <w:rsid w:val="009301EF"/>
    <w:rsid w:val="009305F1"/>
    <w:rsid w:val="0093065A"/>
    <w:rsid w:val="00930D85"/>
    <w:rsid w:val="00930F3E"/>
    <w:rsid w:val="00931144"/>
    <w:rsid w:val="009312FC"/>
    <w:rsid w:val="009315BA"/>
    <w:rsid w:val="0093175F"/>
    <w:rsid w:val="00931AB8"/>
    <w:rsid w:val="00931BC2"/>
    <w:rsid w:val="00931C54"/>
    <w:rsid w:val="00931DB3"/>
    <w:rsid w:val="00931E9E"/>
    <w:rsid w:val="00932106"/>
    <w:rsid w:val="009326FE"/>
    <w:rsid w:val="00932746"/>
    <w:rsid w:val="009328DF"/>
    <w:rsid w:val="00932CA3"/>
    <w:rsid w:val="0093322F"/>
    <w:rsid w:val="00933350"/>
    <w:rsid w:val="00933379"/>
    <w:rsid w:val="009337AC"/>
    <w:rsid w:val="00933813"/>
    <w:rsid w:val="009339B7"/>
    <w:rsid w:val="00933BCC"/>
    <w:rsid w:val="00933D05"/>
    <w:rsid w:val="00933E0F"/>
    <w:rsid w:val="009342D9"/>
    <w:rsid w:val="009342F2"/>
    <w:rsid w:val="00934309"/>
    <w:rsid w:val="00934709"/>
    <w:rsid w:val="00934800"/>
    <w:rsid w:val="0093481E"/>
    <w:rsid w:val="0093485C"/>
    <w:rsid w:val="00934C2A"/>
    <w:rsid w:val="00934E49"/>
    <w:rsid w:val="00934F9A"/>
    <w:rsid w:val="00935410"/>
    <w:rsid w:val="009355EC"/>
    <w:rsid w:val="009355F5"/>
    <w:rsid w:val="00935B2B"/>
    <w:rsid w:val="00935B74"/>
    <w:rsid w:val="00935DC4"/>
    <w:rsid w:val="00935F85"/>
    <w:rsid w:val="00936658"/>
    <w:rsid w:val="00936CCE"/>
    <w:rsid w:val="00936CF4"/>
    <w:rsid w:val="00936E80"/>
    <w:rsid w:val="009370A1"/>
    <w:rsid w:val="00937175"/>
    <w:rsid w:val="00937760"/>
    <w:rsid w:val="009377E4"/>
    <w:rsid w:val="0093792C"/>
    <w:rsid w:val="00937BB5"/>
    <w:rsid w:val="0094008E"/>
    <w:rsid w:val="00940266"/>
    <w:rsid w:val="00940537"/>
    <w:rsid w:val="009406DE"/>
    <w:rsid w:val="009407CC"/>
    <w:rsid w:val="00940CDC"/>
    <w:rsid w:val="00940EBC"/>
    <w:rsid w:val="00940F49"/>
    <w:rsid w:val="0094112C"/>
    <w:rsid w:val="009412BE"/>
    <w:rsid w:val="009413F8"/>
    <w:rsid w:val="00941920"/>
    <w:rsid w:val="009419A6"/>
    <w:rsid w:val="009419EE"/>
    <w:rsid w:val="00941D68"/>
    <w:rsid w:val="00941FAC"/>
    <w:rsid w:val="00942270"/>
    <w:rsid w:val="009427AB"/>
    <w:rsid w:val="009429B6"/>
    <w:rsid w:val="0094321B"/>
    <w:rsid w:val="00943A3D"/>
    <w:rsid w:val="00943DCF"/>
    <w:rsid w:val="00943DE2"/>
    <w:rsid w:val="00943E9A"/>
    <w:rsid w:val="009441E4"/>
    <w:rsid w:val="009441F5"/>
    <w:rsid w:val="009442FA"/>
    <w:rsid w:val="00944375"/>
    <w:rsid w:val="00944845"/>
    <w:rsid w:val="00944B9C"/>
    <w:rsid w:val="00944E0B"/>
    <w:rsid w:val="00944E96"/>
    <w:rsid w:val="009451C8"/>
    <w:rsid w:val="0094538B"/>
    <w:rsid w:val="009455B1"/>
    <w:rsid w:val="00945742"/>
    <w:rsid w:val="00945824"/>
    <w:rsid w:val="00945988"/>
    <w:rsid w:val="00945A6B"/>
    <w:rsid w:val="00945D77"/>
    <w:rsid w:val="00945F9F"/>
    <w:rsid w:val="00946198"/>
    <w:rsid w:val="0094624D"/>
    <w:rsid w:val="009463BF"/>
    <w:rsid w:val="0094667B"/>
    <w:rsid w:val="00946746"/>
    <w:rsid w:val="00946C09"/>
    <w:rsid w:val="00946EE4"/>
    <w:rsid w:val="00947339"/>
    <w:rsid w:val="009473AB"/>
    <w:rsid w:val="00947511"/>
    <w:rsid w:val="009475D0"/>
    <w:rsid w:val="00947611"/>
    <w:rsid w:val="00947D9F"/>
    <w:rsid w:val="00947E10"/>
    <w:rsid w:val="00947FE4"/>
    <w:rsid w:val="009500B1"/>
    <w:rsid w:val="00950292"/>
    <w:rsid w:val="0095032F"/>
    <w:rsid w:val="00950499"/>
    <w:rsid w:val="0095069E"/>
    <w:rsid w:val="00950724"/>
    <w:rsid w:val="00950937"/>
    <w:rsid w:val="00950AD0"/>
    <w:rsid w:val="00950AEF"/>
    <w:rsid w:val="009510C4"/>
    <w:rsid w:val="0095114E"/>
    <w:rsid w:val="0095147A"/>
    <w:rsid w:val="009516C4"/>
    <w:rsid w:val="0095184D"/>
    <w:rsid w:val="009519DA"/>
    <w:rsid w:val="00951B64"/>
    <w:rsid w:val="00951F5C"/>
    <w:rsid w:val="00952202"/>
    <w:rsid w:val="009525CB"/>
    <w:rsid w:val="009529F3"/>
    <w:rsid w:val="00952A1B"/>
    <w:rsid w:val="00952E5F"/>
    <w:rsid w:val="00952F3A"/>
    <w:rsid w:val="0095313A"/>
    <w:rsid w:val="009532AC"/>
    <w:rsid w:val="00953322"/>
    <w:rsid w:val="009537A7"/>
    <w:rsid w:val="00953A4C"/>
    <w:rsid w:val="00953A7E"/>
    <w:rsid w:val="00953CF4"/>
    <w:rsid w:val="00953F73"/>
    <w:rsid w:val="00953FA1"/>
    <w:rsid w:val="00954004"/>
    <w:rsid w:val="009541AC"/>
    <w:rsid w:val="00954263"/>
    <w:rsid w:val="00954286"/>
    <w:rsid w:val="009542A8"/>
    <w:rsid w:val="00954501"/>
    <w:rsid w:val="00954892"/>
    <w:rsid w:val="009549F9"/>
    <w:rsid w:val="00954ADB"/>
    <w:rsid w:val="00954BF0"/>
    <w:rsid w:val="00954EA7"/>
    <w:rsid w:val="009552EA"/>
    <w:rsid w:val="0095582B"/>
    <w:rsid w:val="009559B6"/>
    <w:rsid w:val="00955DDE"/>
    <w:rsid w:val="00956793"/>
    <w:rsid w:val="00956827"/>
    <w:rsid w:val="009568F4"/>
    <w:rsid w:val="00956C96"/>
    <w:rsid w:val="00956E87"/>
    <w:rsid w:val="00956FD3"/>
    <w:rsid w:val="009571A6"/>
    <w:rsid w:val="00957C78"/>
    <w:rsid w:val="00957CEF"/>
    <w:rsid w:val="00957E04"/>
    <w:rsid w:val="0096018A"/>
    <w:rsid w:val="0096034D"/>
    <w:rsid w:val="009603BD"/>
    <w:rsid w:val="00960559"/>
    <w:rsid w:val="009606F6"/>
    <w:rsid w:val="00960972"/>
    <w:rsid w:val="00960A6A"/>
    <w:rsid w:val="00960A9E"/>
    <w:rsid w:val="00960C62"/>
    <w:rsid w:val="00960C9C"/>
    <w:rsid w:val="00960FEE"/>
    <w:rsid w:val="009616D7"/>
    <w:rsid w:val="009616EC"/>
    <w:rsid w:val="0096174B"/>
    <w:rsid w:val="00961909"/>
    <w:rsid w:val="00961B9A"/>
    <w:rsid w:val="00961D17"/>
    <w:rsid w:val="00961EA3"/>
    <w:rsid w:val="00961F76"/>
    <w:rsid w:val="00961FCD"/>
    <w:rsid w:val="0096203D"/>
    <w:rsid w:val="00962117"/>
    <w:rsid w:val="0096215D"/>
    <w:rsid w:val="009621C5"/>
    <w:rsid w:val="00962243"/>
    <w:rsid w:val="00962362"/>
    <w:rsid w:val="00962929"/>
    <w:rsid w:val="00962A49"/>
    <w:rsid w:val="00962AF0"/>
    <w:rsid w:val="00962CC0"/>
    <w:rsid w:val="00962DA1"/>
    <w:rsid w:val="00962F80"/>
    <w:rsid w:val="00963025"/>
    <w:rsid w:val="00963187"/>
    <w:rsid w:val="009635A6"/>
    <w:rsid w:val="00963885"/>
    <w:rsid w:val="009638D4"/>
    <w:rsid w:val="00963AC8"/>
    <w:rsid w:val="00963EC6"/>
    <w:rsid w:val="0096417C"/>
    <w:rsid w:val="009645D2"/>
    <w:rsid w:val="00964834"/>
    <w:rsid w:val="00964EA4"/>
    <w:rsid w:val="00964F50"/>
    <w:rsid w:val="009653A7"/>
    <w:rsid w:val="009658C6"/>
    <w:rsid w:val="00965AD4"/>
    <w:rsid w:val="00965C8E"/>
    <w:rsid w:val="00965CB9"/>
    <w:rsid w:val="00965DF9"/>
    <w:rsid w:val="00965FD4"/>
    <w:rsid w:val="00965FE7"/>
    <w:rsid w:val="009660AB"/>
    <w:rsid w:val="009661AC"/>
    <w:rsid w:val="00966389"/>
    <w:rsid w:val="009663F1"/>
    <w:rsid w:val="00966488"/>
    <w:rsid w:val="009665B9"/>
    <w:rsid w:val="009665DA"/>
    <w:rsid w:val="0096669B"/>
    <w:rsid w:val="009669BE"/>
    <w:rsid w:val="00966B4A"/>
    <w:rsid w:val="00967021"/>
    <w:rsid w:val="009674AC"/>
    <w:rsid w:val="00967660"/>
    <w:rsid w:val="009676C2"/>
    <w:rsid w:val="00967754"/>
    <w:rsid w:val="0096777C"/>
    <w:rsid w:val="009678A2"/>
    <w:rsid w:val="00967B58"/>
    <w:rsid w:val="00967EF5"/>
    <w:rsid w:val="00970039"/>
    <w:rsid w:val="009702C1"/>
    <w:rsid w:val="00970389"/>
    <w:rsid w:val="0097041A"/>
    <w:rsid w:val="00970687"/>
    <w:rsid w:val="00970793"/>
    <w:rsid w:val="0097083A"/>
    <w:rsid w:val="00970CD4"/>
    <w:rsid w:val="00970F19"/>
    <w:rsid w:val="00971146"/>
    <w:rsid w:val="009711A9"/>
    <w:rsid w:val="009711CD"/>
    <w:rsid w:val="0097195B"/>
    <w:rsid w:val="00971D22"/>
    <w:rsid w:val="00971E6E"/>
    <w:rsid w:val="00971FDE"/>
    <w:rsid w:val="00972316"/>
    <w:rsid w:val="0097242F"/>
    <w:rsid w:val="00972E0C"/>
    <w:rsid w:val="00972F5B"/>
    <w:rsid w:val="00972F96"/>
    <w:rsid w:val="009733B4"/>
    <w:rsid w:val="009733D4"/>
    <w:rsid w:val="009734B2"/>
    <w:rsid w:val="00973604"/>
    <w:rsid w:val="00973607"/>
    <w:rsid w:val="009739F4"/>
    <w:rsid w:val="00973BDF"/>
    <w:rsid w:val="00973FF9"/>
    <w:rsid w:val="009740EE"/>
    <w:rsid w:val="0097439A"/>
    <w:rsid w:val="00974552"/>
    <w:rsid w:val="009745C3"/>
    <w:rsid w:val="009745F4"/>
    <w:rsid w:val="00974688"/>
    <w:rsid w:val="00974B6E"/>
    <w:rsid w:val="00974CD8"/>
    <w:rsid w:val="00974E5C"/>
    <w:rsid w:val="00975097"/>
    <w:rsid w:val="0097519A"/>
    <w:rsid w:val="009753D0"/>
    <w:rsid w:val="00975444"/>
    <w:rsid w:val="00975594"/>
    <w:rsid w:val="0097578E"/>
    <w:rsid w:val="00975807"/>
    <w:rsid w:val="00975933"/>
    <w:rsid w:val="00975965"/>
    <w:rsid w:val="00975977"/>
    <w:rsid w:val="00975C44"/>
    <w:rsid w:val="00975DB5"/>
    <w:rsid w:val="00976045"/>
    <w:rsid w:val="00976088"/>
    <w:rsid w:val="0097626D"/>
    <w:rsid w:val="00976338"/>
    <w:rsid w:val="00976442"/>
    <w:rsid w:val="00976A05"/>
    <w:rsid w:val="00976A8A"/>
    <w:rsid w:val="009772A5"/>
    <w:rsid w:val="00977342"/>
    <w:rsid w:val="00977354"/>
    <w:rsid w:val="009777C2"/>
    <w:rsid w:val="00977866"/>
    <w:rsid w:val="00977E3C"/>
    <w:rsid w:val="00980064"/>
    <w:rsid w:val="0098013A"/>
    <w:rsid w:val="00980301"/>
    <w:rsid w:val="009804B5"/>
    <w:rsid w:val="0098050D"/>
    <w:rsid w:val="0098083F"/>
    <w:rsid w:val="00980865"/>
    <w:rsid w:val="00980B01"/>
    <w:rsid w:val="00980B57"/>
    <w:rsid w:val="00980E28"/>
    <w:rsid w:val="00980E63"/>
    <w:rsid w:val="009815EC"/>
    <w:rsid w:val="009818A8"/>
    <w:rsid w:val="00981C16"/>
    <w:rsid w:val="00981D00"/>
    <w:rsid w:val="00981D20"/>
    <w:rsid w:val="00981E6F"/>
    <w:rsid w:val="00982465"/>
    <w:rsid w:val="009824A2"/>
    <w:rsid w:val="009824D5"/>
    <w:rsid w:val="00982534"/>
    <w:rsid w:val="00982B80"/>
    <w:rsid w:val="00982CBB"/>
    <w:rsid w:val="00982E2B"/>
    <w:rsid w:val="00982E47"/>
    <w:rsid w:val="009830E6"/>
    <w:rsid w:val="0098325C"/>
    <w:rsid w:val="00983580"/>
    <w:rsid w:val="009838C8"/>
    <w:rsid w:val="009839A7"/>
    <w:rsid w:val="00983B10"/>
    <w:rsid w:val="00983DC3"/>
    <w:rsid w:val="0098408A"/>
    <w:rsid w:val="00984240"/>
    <w:rsid w:val="00984369"/>
    <w:rsid w:val="0098449E"/>
    <w:rsid w:val="0098464F"/>
    <w:rsid w:val="0098480B"/>
    <w:rsid w:val="00984B0F"/>
    <w:rsid w:val="00984CB0"/>
    <w:rsid w:val="00985149"/>
    <w:rsid w:val="00985488"/>
    <w:rsid w:val="009854FA"/>
    <w:rsid w:val="00985990"/>
    <w:rsid w:val="00985C21"/>
    <w:rsid w:val="00985C48"/>
    <w:rsid w:val="00985E24"/>
    <w:rsid w:val="0098673A"/>
    <w:rsid w:val="00986DA8"/>
    <w:rsid w:val="00986E12"/>
    <w:rsid w:val="00987167"/>
    <w:rsid w:val="009875AA"/>
    <w:rsid w:val="009877AD"/>
    <w:rsid w:val="009877BF"/>
    <w:rsid w:val="00987D62"/>
    <w:rsid w:val="00990461"/>
    <w:rsid w:val="00990698"/>
    <w:rsid w:val="00990790"/>
    <w:rsid w:val="0099095D"/>
    <w:rsid w:val="00990A5D"/>
    <w:rsid w:val="00990BE4"/>
    <w:rsid w:val="00990C54"/>
    <w:rsid w:val="0099135D"/>
    <w:rsid w:val="0099168F"/>
    <w:rsid w:val="009918EC"/>
    <w:rsid w:val="00991A5A"/>
    <w:rsid w:val="00991D3C"/>
    <w:rsid w:val="00991D93"/>
    <w:rsid w:val="0099234E"/>
    <w:rsid w:val="00992394"/>
    <w:rsid w:val="0099264F"/>
    <w:rsid w:val="00992ACB"/>
    <w:rsid w:val="00992B2B"/>
    <w:rsid w:val="00992B68"/>
    <w:rsid w:val="00992D80"/>
    <w:rsid w:val="00993183"/>
    <w:rsid w:val="009932C9"/>
    <w:rsid w:val="00993329"/>
    <w:rsid w:val="0099366C"/>
    <w:rsid w:val="00993997"/>
    <w:rsid w:val="00993A2A"/>
    <w:rsid w:val="00993B08"/>
    <w:rsid w:val="00993B7C"/>
    <w:rsid w:val="00993CC2"/>
    <w:rsid w:val="00993DF8"/>
    <w:rsid w:val="0099414F"/>
    <w:rsid w:val="00994284"/>
    <w:rsid w:val="009945D8"/>
    <w:rsid w:val="0099470F"/>
    <w:rsid w:val="00994959"/>
    <w:rsid w:val="00994B76"/>
    <w:rsid w:val="00995104"/>
    <w:rsid w:val="009951D8"/>
    <w:rsid w:val="00995295"/>
    <w:rsid w:val="00995AC7"/>
    <w:rsid w:val="00995D14"/>
    <w:rsid w:val="00995D18"/>
    <w:rsid w:val="00995E52"/>
    <w:rsid w:val="00995E56"/>
    <w:rsid w:val="009960AC"/>
    <w:rsid w:val="009965FE"/>
    <w:rsid w:val="009966ED"/>
    <w:rsid w:val="00996960"/>
    <w:rsid w:val="00996ABB"/>
    <w:rsid w:val="00996F81"/>
    <w:rsid w:val="00996FA9"/>
    <w:rsid w:val="0099721B"/>
    <w:rsid w:val="00997369"/>
    <w:rsid w:val="0099745B"/>
    <w:rsid w:val="0099757A"/>
    <w:rsid w:val="0099773F"/>
    <w:rsid w:val="00997E3B"/>
    <w:rsid w:val="00997E9D"/>
    <w:rsid w:val="009A0087"/>
    <w:rsid w:val="009A0452"/>
    <w:rsid w:val="009A0582"/>
    <w:rsid w:val="009A05E5"/>
    <w:rsid w:val="009A0696"/>
    <w:rsid w:val="009A07BE"/>
    <w:rsid w:val="009A07FB"/>
    <w:rsid w:val="009A0922"/>
    <w:rsid w:val="009A0CE2"/>
    <w:rsid w:val="009A0D05"/>
    <w:rsid w:val="009A0DD2"/>
    <w:rsid w:val="009A0E0E"/>
    <w:rsid w:val="009A11FA"/>
    <w:rsid w:val="009A1208"/>
    <w:rsid w:val="009A133C"/>
    <w:rsid w:val="009A15CF"/>
    <w:rsid w:val="009A174C"/>
    <w:rsid w:val="009A1896"/>
    <w:rsid w:val="009A1AAA"/>
    <w:rsid w:val="009A1CB7"/>
    <w:rsid w:val="009A1F37"/>
    <w:rsid w:val="009A2048"/>
    <w:rsid w:val="009A207E"/>
    <w:rsid w:val="009A2518"/>
    <w:rsid w:val="009A26C8"/>
    <w:rsid w:val="009A26FF"/>
    <w:rsid w:val="009A27AE"/>
    <w:rsid w:val="009A2BEA"/>
    <w:rsid w:val="009A2C73"/>
    <w:rsid w:val="009A2D9C"/>
    <w:rsid w:val="009A2EA3"/>
    <w:rsid w:val="009A302F"/>
    <w:rsid w:val="009A3191"/>
    <w:rsid w:val="009A3367"/>
    <w:rsid w:val="009A39B2"/>
    <w:rsid w:val="009A3DA0"/>
    <w:rsid w:val="009A402B"/>
    <w:rsid w:val="009A41F0"/>
    <w:rsid w:val="009A4321"/>
    <w:rsid w:val="009A46B9"/>
    <w:rsid w:val="009A4744"/>
    <w:rsid w:val="009A4A04"/>
    <w:rsid w:val="009A4A94"/>
    <w:rsid w:val="009A4CD7"/>
    <w:rsid w:val="009A4D3E"/>
    <w:rsid w:val="009A4F66"/>
    <w:rsid w:val="009A50A4"/>
    <w:rsid w:val="009A597B"/>
    <w:rsid w:val="009A60B8"/>
    <w:rsid w:val="009A6382"/>
    <w:rsid w:val="009A6A1A"/>
    <w:rsid w:val="009A6B3E"/>
    <w:rsid w:val="009A6BC5"/>
    <w:rsid w:val="009A6CA4"/>
    <w:rsid w:val="009A6EA0"/>
    <w:rsid w:val="009A6FD9"/>
    <w:rsid w:val="009A6FF6"/>
    <w:rsid w:val="009A70AF"/>
    <w:rsid w:val="009A724D"/>
    <w:rsid w:val="009A727F"/>
    <w:rsid w:val="009A742A"/>
    <w:rsid w:val="009A7692"/>
    <w:rsid w:val="009A772C"/>
    <w:rsid w:val="009A794E"/>
    <w:rsid w:val="009A7A2D"/>
    <w:rsid w:val="009A7C10"/>
    <w:rsid w:val="009B000F"/>
    <w:rsid w:val="009B010F"/>
    <w:rsid w:val="009B018C"/>
    <w:rsid w:val="009B094D"/>
    <w:rsid w:val="009B09D9"/>
    <w:rsid w:val="009B0A3C"/>
    <w:rsid w:val="009B0CA1"/>
    <w:rsid w:val="009B0F4B"/>
    <w:rsid w:val="009B106D"/>
    <w:rsid w:val="009B1547"/>
    <w:rsid w:val="009B1561"/>
    <w:rsid w:val="009B15F1"/>
    <w:rsid w:val="009B172E"/>
    <w:rsid w:val="009B1742"/>
    <w:rsid w:val="009B1BCA"/>
    <w:rsid w:val="009B1CD1"/>
    <w:rsid w:val="009B1E2D"/>
    <w:rsid w:val="009B27DD"/>
    <w:rsid w:val="009B296B"/>
    <w:rsid w:val="009B2B38"/>
    <w:rsid w:val="009B33C7"/>
    <w:rsid w:val="009B3615"/>
    <w:rsid w:val="009B3B3A"/>
    <w:rsid w:val="009B4268"/>
    <w:rsid w:val="009B433D"/>
    <w:rsid w:val="009B46AF"/>
    <w:rsid w:val="009B4797"/>
    <w:rsid w:val="009B47BE"/>
    <w:rsid w:val="009B4914"/>
    <w:rsid w:val="009B4CFD"/>
    <w:rsid w:val="009B4D72"/>
    <w:rsid w:val="009B4E72"/>
    <w:rsid w:val="009B504B"/>
    <w:rsid w:val="009B53BD"/>
    <w:rsid w:val="009B57EC"/>
    <w:rsid w:val="009B5BA4"/>
    <w:rsid w:val="009B5DB6"/>
    <w:rsid w:val="009B5E8D"/>
    <w:rsid w:val="009B5F42"/>
    <w:rsid w:val="009B5FC2"/>
    <w:rsid w:val="009B61B8"/>
    <w:rsid w:val="009B6596"/>
    <w:rsid w:val="009B65AD"/>
    <w:rsid w:val="009B6B3D"/>
    <w:rsid w:val="009B6DA1"/>
    <w:rsid w:val="009B6F81"/>
    <w:rsid w:val="009B7003"/>
    <w:rsid w:val="009B730E"/>
    <w:rsid w:val="009B782C"/>
    <w:rsid w:val="009B7E72"/>
    <w:rsid w:val="009B7EC9"/>
    <w:rsid w:val="009C056C"/>
    <w:rsid w:val="009C0732"/>
    <w:rsid w:val="009C0A90"/>
    <w:rsid w:val="009C0BE8"/>
    <w:rsid w:val="009C11F9"/>
    <w:rsid w:val="009C1250"/>
    <w:rsid w:val="009C1251"/>
    <w:rsid w:val="009C1551"/>
    <w:rsid w:val="009C1694"/>
    <w:rsid w:val="009C181E"/>
    <w:rsid w:val="009C18C4"/>
    <w:rsid w:val="009C1A28"/>
    <w:rsid w:val="009C1AB4"/>
    <w:rsid w:val="009C1CDC"/>
    <w:rsid w:val="009C1D89"/>
    <w:rsid w:val="009C1E4E"/>
    <w:rsid w:val="009C20FD"/>
    <w:rsid w:val="009C22B2"/>
    <w:rsid w:val="009C235B"/>
    <w:rsid w:val="009C28FD"/>
    <w:rsid w:val="009C2C56"/>
    <w:rsid w:val="009C2E33"/>
    <w:rsid w:val="009C2F12"/>
    <w:rsid w:val="009C3222"/>
    <w:rsid w:val="009C33D9"/>
    <w:rsid w:val="009C34D0"/>
    <w:rsid w:val="009C3526"/>
    <w:rsid w:val="009C3623"/>
    <w:rsid w:val="009C3A20"/>
    <w:rsid w:val="009C3CD6"/>
    <w:rsid w:val="009C3E2F"/>
    <w:rsid w:val="009C3E87"/>
    <w:rsid w:val="009C40AA"/>
    <w:rsid w:val="009C40EF"/>
    <w:rsid w:val="009C4496"/>
    <w:rsid w:val="009C46AC"/>
    <w:rsid w:val="009C4B49"/>
    <w:rsid w:val="009C4BBB"/>
    <w:rsid w:val="009C4C6C"/>
    <w:rsid w:val="009C5039"/>
    <w:rsid w:val="009C5067"/>
    <w:rsid w:val="009C50A7"/>
    <w:rsid w:val="009C520E"/>
    <w:rsid w:val="009C55B8"/>
    <w:rsid w:val="009C5634"/>
    <w:rsid w:val="009C565D"/>
    <w:rsid w:val="009C56E0"/>
    <w:rsid w:val="009C57B3"/>
    <w:rsid w:val="009C5864"/>
    <w:rsid w:val="009C5CDA"/>
    <w:rsid w:val="009C5D3E"/>
    <w:rsid w:val="009C5D7A"/>
    <w:rsid w:val="009C5F69"/>
    <w:rsid w:val="009C5FD2"/>
    <w:rsid w:val="009C6193"/>
    <w:rsid w:val="009C6265"/>
    <w:rsid w:val="009C626B"/>
    <w:rsid w:val="009C6BDC"/>
    <w:rsid w:val="009C6F03"/>
    <w:rsid w:val="009C7016"/>
    <w:rsid w:val="009C704D"/>
    <w:rsid w:val="009C7070"/>
    <w:rsid w:val="009C717A"/>
    <w:rsid w:val="009C7289"/>
    <w:rsid w:val="009C72D9"/>
    <w:rsid w:val="009C7315"/>
    <w:rsid w:val="009C7770"/>
    <w:rsid w:val="009C7C5D"/>
    <w:rsid w:val="009C7D03"/>
    <w:rsid w:val="009D011E"/>
    <w:rsid w:val="009D0161"/>
    <w:rsid w:val="009D019B"/>
    <w:rsid w:val="009D05BF"/>
    <w:rsid w:val="009D08F6"/>
    <w:rsid w:val="009D09B5"/>
    <w:rsid w:val="009D0DF0"/>
    <w:rsid w:val="009D15AE"/>
    <w:rsid w:val="009D17EA"/>
    <w:rsid w:val="009D17FA"/>
    <w:rsid w:val="009D18AC"/>
    <w:rsid w:val="009D1A01"/>
    <w:rsid w:val="009D1E0B"/>
    <w:rsid w:val="009D1F0C"/>
    <w:rsid w:val="009D1F29"/>
    <w:rsid w:val="009D203F"/>
    <w:rsid w:val="009D268F"/>
    <w:rsid w:val="009D2740"/>
    <w:rsid w:val="009D281A"/>
    <w:rsid w:val="009D2B9C"/>
    <w:rsid w:val="009D2BD0"/>
    <w:rsid w:val="009D2DE3"/>
    <w:rsid w:val="009D38C0"/>
    <w:rsid w:val="009D3A3D"/>
    <w:rsid w:val="009D3B39"/>
    <w:rsid w:val="009D3C12"/>
    <w:rsid w:val="009D3D89"/>
    <w:rsid w:val="009D4016"/>
    <w:rsid w:val="009D4291"/>
    <w:rsid w:val="009D4778"/>
    <w:rsid w:val="009D4B17"/>
    <w:rsid w:val="009D51AA"/>
    <w:rsid w:val="009D5417"/>
    <w:rsid w:val="009D569C"/>
    <w:rsid w:val="009D579A"/>
    <w:rsid w:val="009D58F8"/>
    <w:rsid w:val="009D5941"/>
    <w:rsid w:val="009D5C71"/>
    <w:rsid w:val="009D5E2A"/>
    <w:rsid w:val="009D5FCF"/>
    <w:rsid w:val="009D6277"/>
    <w:rsid w:val="009D676E"/>
    <w:rsid w:val="009D691F"/>
    <w:rsid w:val="009D69AC"/>
    <w:rsid w:val="009D6A99"/>
    <w:rsid w:val="009D6DDE"/>
    <w:rsid w:val="009D704A"/>
    <w:rsid w:val="009D7112"/>
    <w:rsid w:val="009D72DF"/>
    <w:rsid w:val="009D755F"/>
    <w:rsid w:val="009D7797"/>
    <w:rsid w:val="009D7B15"/>
    <w:rsid w:val="009D7E7F"/>
    <w:rsid w:val="009E0625"/>
    <w:rsid w:val="009E0768"/>
    <w:rsid w:val="009E07CF"/>
    <w:rsid w:val="009E0978"/>
    <w:rsid w:val="009E0AD2"/>
    <w:rsid w:val="009E0B18"/>
    <w:rsid w:val="009E1439"/>
    <w:rsid w:val="009E144E"/>
    <w:rsid w:val="009E149D"/>
    <w:rsid w:val="009E175C"/>
    <w:rsid w:val="009E175E"/>
    <w:rsid w:val="009E185F"/>
    <w:rsid w:val="009E187B"/>
    <w:rsid w:val="009E19FF"/>
    <w:rsid w:val="009E1AB9"/>
    <w:rsid w:val="009E1CA3"/>
    <w:rsid w:val="009E1D65"/>
    <w:rsid w:val="009E1DD1"/>
    <w:rsid w:val="009E1E6F"/>
    <w:rsid w:val="009E216E"/>
    <w:rsid w:val="009E2245"/>
    <w:rsid w:val="009E22DA"/>
    <w:rsid w:val="009E23AA"/>
    <w:rsid w:val="009E276A"/>
    <w:rsid w:val="009E27E3"/>
    <w:rsid w:val="009E28A2"/>
    <w:rsid w:val="009E29A1"/>
    <w:rsid w:val="009E2D74"/>
    <w:rsid w:val="009E2FE1"/>
    <w:rsid w:val="009E2FF2"/>
    <w:rsid w:val="009E3297"/>
    <w:rsid w:val="009E3CF8"/>
    <w:rsid w:val="009E3E52"/>
    <w:rsid w:val="009E3EBA"/>
    <w:rsid w:val="009E430F"/>
    <w:rsid w:val="009E449A"/>
    <w:rsid w:val="009E44BB"/>
    <w:rsid w:val="009E4A53"/>
    <w:rsid w:val="009E4CA1"/>
    <w:rsid w:val="009E4CC5"/>
    <w:rsid w:val="009E4F89"/>
    <w:rsid w:val="009E5394"/>
    <w:rsid w:val="009E5549"/>
    <w:rsid w:val="009E55D5"/>
    <w:rsid w:val="009E560C"/>
    <w:rsid w:val="009E57AD"/>
    <w:rsid w:val="009E592A"/>
    <w:rsid w:val="009E59B4"/>
    <w:rsid w:val="009E5B20"/>
    <w:rsid w:val="009E5B4D"/>
    <w:rsid w:val="009E5B90"/>
    <w:rsid w:val="009E5BF9"/>
    <w:rsid w:val="009E5DCF"/>
    <w:rsid w:val="009E5F36"/>
    <w:rsid w:val="009E5F3B"/>
    <w:rsid w:val="009E610E"/>
    <w:rsid w:val="009E634F"/>
    <w:rsid w:val="009E6426"/>
    <w:rsid w:val="009E6B48"/>
    <w:rsid w:val="009E6CDE"/>
    <w:rsid w:val="009E7082"/>
    <w:rsid w:val="009E72D8"/>
    <w:rsid w:val="009E734D"/>
    <w:rsid w:val="009E7364"/>
    <w:rsid w:val="009E74F7"/>
    <w:rsid w:val="009E76F9"/>
    <w:rsid w:val="009E77FC"/>
    <w:rsid w:val="009E7C1D"/>
    <w:rsid w:val="009F0014"/>
    <w:rsid w:val="009F028D"/>
    <w:rsid w:val="009F09D7"/>
    <w:rsid w:val="009F0A1D"/>
    <w:rsid w:val="009F0BB9"/>
    <w:rsid w:val="009F0DCC"/>
    <w:rsid w:val="009F0E1A"/>
    <w:rsid w:val="009F122A"/>
    <w:rsid w:val="009F13D3"/>
    <w:rsid w:val="009F1C9B"/>
    <w:rsid w:val="009F1D06"/>
    <w:rsid w:val="009F2269"/>
    <w:rsid w:val="009F27B5"/>
    <w:rsid w:val="009F28B5"/>
    <w:rsid w:val="009F2E5F"/>
    <w:rsid w:val="009F2F2C"/>
    <w:rsid w:val="009F3077"/>
    <w:rsid w:val="009F30A9"/>
    <w:rsid w:val="009F3581"/>
    <w:rsid w:val="009F3A71"/>
    <w:rsid w:val="009F3DD0"/>
    <w:rsid w:val="009F3DE5"/>
    <w:rsid w:val="009F3FB2"/>
    <w:rsid w:val="009F400A"/>
    <w:rsid w:val="009F410E"/>
    <w:rsid w:val="009F4261"/>
    <w:rsid w:val="009F4450"/>
    <w:rsid w:val="009F48C0"/>
    <w:rsid w:val="009F4955"/>
    <w:rsid w:val="009F4E2E"/>
    <w:rsid w:val="009F4E3D"/>
    <w:rsid w:val="009F50A4"/>
    <w:rsid w:val="009F52C4"/>
    <w:rsid w:val="009F5447"/>
    <w:rsid w:val="009F557B"/>
    <w:rsid w:val="009F568B"/>
    <w:rsid w:val="009F5828"/>
    <w:rsid w:val="009F5A25"/>
    <w:rsid w:val="009F5A79"/>
    <w:rsid w:val="009F6177"/>
    <w:rsid w:val="009F662B"/>
    <w:rsid w:val="009F68E2"/>
    <w:rsid w:val="009F6B62"/>
    <w:rsid w:val="009F6E3A"/>
    <w:rsid w:val="009F72B0"/>
    <w:rsid w:val="009F7403"/>
    <w:rsid w:val="009F741C"/>
    <w:rsid w:val="009F7500"/>
    <w:rsid w:val="009F758F"/>
    <w:rsid w:val="009F7626"/>
    <w:rsid w:val="009F768E"/>
    <w:rsid w:val="009F76E7"/>
    <w:rsid w:val="009F76F9"/>
    <w:rsid w:val="009F7A94"/>
    <w:rsid w:val="009F7D59"/>
    <w:rsid w:val="009F7D5D"/>
    <w:rsid w:val="00A0016C"/>
    <w:rsid w:val="00A00221"/>
    <w:rsid w:val="00A010DC"/>
    <w:rsid w:val="00A012C7"/>
    <w:rsid w:val="00A01677"/>
    <w:rsid w:val="00A01B12"/>
    <w:rsid w:val="00A01E2A"/>
    <w:rsid w:val="00A01E81"/>
    <w:rsid w:val="00A022D4"/>
    <w:rsid w:val="00A023B0"/>
    <w:rsid w:val="00A029F2"/>
    <w:rsid w:val="00A02A02"/>
    <w:rsid w:val="00A02D43"/>
    <w:rsid w:val="00A02D4C"/>
    <w:rsid w:val="00A038E0"/>
    <w:rsid w:val="00A03ADC"/>
    <w:rsid w:val="00A03AE3"/>
    <w:rsid w:val="00A03C63"/>
    <w:rsid w:val="00A03CB8"/>
    <w:rsid w:val="00A042BE"/>
    <w:rsid w:val="00A0454F"/>
    <w:rsid w:val="00A0458F"/>
    <w:rsid w:val="00A04690"/>
    <w:rsid w:val="00A046FB"/>
    <w:rsid w:val="00A04765"/>
    <w:rsid w:val="00A0492A"/>
    <w:rsid w:val="00A04A77"/>
    <w:rsid w:val="00A04B93"/>
    <w:rsid w:val="00A0512C"/>
    <w:rsid w:val="00A051CB"/>
    <w:rsid w:val="00A052DE"/>
    <w:rsid w:val="00A05977"/>
    <w:rsid w:val="00A05ABE"/>
    <w:rsid w:val="00A05CC5"/>
    <w:rsid w:val="00A05ED2"/>
    <w:rsid w:val="00A05F04"/>
    <w:rsid w:val="00A06019"/>
    <w:rsid w:val="00A06168"/>
    <w:rsid w:val="00A06186"/>
    <w:rsid w:val="00A06372"/>
    <w:rsid w:val="00A06598"/>
    <w:rsid w:val="00A06961"/>
    <w:rsid w:val="00A06D7F"/>
    <w:rsid w:val="00A073CF"/>
    <w:rsid w:val="00A0752A"/>
    <w:rsid w:val="00A078F4"/>
    <w:rsid w:val="00A07980"/>
    <w:rsid w:val="00A07D10"/>
    <w:rsid w:val="00A102E4"/>
    <w:rsid w:val="00A10649"/>
    <w:rsid w:val="00A10808"/>
    <w:rsid w:val="00A10CC6"/>
    <w:rsid w:val="00A10D11"/>
    <w:rsid w:val="00A10F29"/>
    <w:rsid w:val="00A110CE"/>
    <w:rsid w:val="00A11444"/>
    <w:rsid w:val="00A116E5"/>
    <w:rsid w:val="00A11800"/>
    <w:rsid w:val="00A11A9A"/>
    <w:rsid w:val="00A11AB8"/>
    <w:rsid w:val="00A11C0C"/>
    <w:rsid w:val="00A11D59"/>
    <w:rsid w:val="00A11D5C"/>
    <w:rsid w:val="00A121C5"/>
    <w:rsid w:val="00A121E6"/>
    <w:rsid w:val="00A12403"/>
    <w:rsid w:val="00A12750"/>
    <w:rsid w:val="00A12B27"/>
    <w:rsid w:val="00A12B2A"/>
    <w:rsid w:val="00A12CA3"/>
    <w:rsid w:val="00A12CB4"/>
    <w:rsid w:val="00A12D69"/>
    <w:rsid w:val="00A12D9D"/>
    <w:rsid w:val="00A12E2D"/>
    <w:rsid w:val="00A135A8"/>
    <w:rsid w:val="00A13725"/>
    <w:rsid w:val="00A1386E"/>
    <w:rsid w:val="00A138EF"/>
    <w:rsid w:val="00A13C1F"/>
    <w:rsid w:val="00A141BA"/>
    <w:rsid w:val="00A14210"/>
    <w:rsid w:val="00A142AE"/>
    <w:rsid w:val="00A148BF"/>
    <w:rsid w:val="00A14A24"/>
    <w:rsid w:val="00A15108"/>
    <w:rsid w:val="00A1521B"/>
    <w:rsid w:val="00A1521C"/>
    <w:rsid w:val="00A15C50"/>
    <w:rsid w:val="00A15CF5"/>
    <w:rsid w:val="00A15F89"/>
    <w:rsid w:val="00A1649C"/>
    <w:rsid w:val="00A1660F"/>
    <w:rsid w:val="00A16616"/>
    <w:rsid w:val="00A16B1D"/>
    <w:rsid w:val="00A16C9D"/>
    <w:rsid w:val="00A16EBB"/>
    <w:rsid w:val="00A1733E"/>
    <w:rsid w:val="00A1735A"/>
    <w:rsid w:val="00A1785B"/>
    <w:rsid w:val="00A178CF"/>
    <w:rsid w:val="00A17926"/>
    <w:rsid w:val="00A17DAE"/>
    <w:rsid w:val="00A203C1"/>
    <w:rsid w:val="00A203E2"/>
    <w:rsid w:val="00A20603"/>
    <w:rsid w:val="00A20A4E"/>
    <w:rsid w:val="00A20C1B"/>
    <w:rsid w:val="00A21277"/>
    <w:rsid w:val="00A212EF"/>
    <w:rsid w:val="00A21569"/>
    <w:rsid w:val="00A217EC"/>
    <w:rsid w:val="00A21AE9"/>
    <w:rsid w:val="00A21B58"/>
    <w:rsid w:val="00A2222A"/>
    <w:rsid w:val="00A224EB"/>
    <w:rsid w:val="00A225CB"/>
    <w:rsid w:val="00A226DF"/>
    <w:rsid w:val="00A22951"/>
    <w:rsid w:val="00A22B7E"/>
    <w:rsid w:val="00A23113"/>
    <w:rsid w:val="00A231F2"/>
    <w:rsid w:val="00A236CB"/>
    <w:rsid w:val="00A237E3"/>
    <w:rsid w:val="00A23968"/>
    <w:rsid w:val="00A23B78"/>
    <w:rsid w:val="00A23C2D"/>
    <w:rsid w:val="00A23D71"/>
    <w:rsid w:val="00A23D7F"/>
    <w:rsid w:val="00A243EF"/>
    <w:rsid w:val="00A24401"/>
    <w:rsid w:val="00A244A8"/>
    <w:rsid w:val="00A24CB3"/>
    <w:rsid w:val="00A253A6"/>
    <w:rsid w:val="00A25A78"/>
    <w:rsid w:val="00A25ACB"/>
    <w:rsid w:val="00A25B9E"/>
    <w:rsid w:val="00A25DDB"/>
    <w:rsid w:val="00A2642F"/>
    <w:rsid w:val="00A2663F"/>
    <w:rsid w:val="00A26B77"/>
    <w:rsid w:val="00A26E28"/>
    <w:rsid w:val="00A26E31"/>
    <w:rsid w:val="00A272CE"/>
    <w:rsid w:val="00A2750B"/>
    <w:rsid w:val="00A275C3"/>
    <w:rsid w:val="00A276B9"/>
    <w:rsid w:val="00A2774B"/>
    <w:rsid w:val="00A27A5F"/>
    <w:rsid w:val="00A27B69"/>
    <w:rsid w:val="00A27D4B"/>
    <w:rsid w:val="00A27EB5"/>
    <w:rsid w:val="00A3002C"/>
    <w:rsid w:val="00A3022B"/>
    <w:rsid w:val="00A30338"/>
    <w:rsid w:val="00A303BB"/>
    <w:rsid w:val="00A30A01"/>
    <w:rsid w:val="00A30B08"/>
    <w:rsid w:val="00A30D9E"/>
    <w:rsid w:val="00A30E58"/>
    <w:rsid w:val="00A30E6F"/>
    <w:rsid w:val="00A3128B"/>
    <w:rsid w:val="00A312CC"/>
    <w:rsid w:val="00A3147A"/>
    <w:rsid w:val="00A314F4"/>
    <w:rsid w:val="00A31775"/>
    <w:rsid w:val="00A3183D"/>
    <w:rsid w:val="00A31B3F"/>
    <w:rsid w:val="00A31C0F"/>
    <w:rsid w:val="00A31C6D"/>
    <w:rsid w:val="00A31F64"/>
    <w:rsid w:val="00A32226"/>
    <w:rsid w:val="00A32378"/>
    <w:rsid w:val="00A32386"/>
    <w:rsid w:val="00A323A2"/>
    <w:rsid w:val="00A323B0"/>
    <w:rsid w:val="00A323BD"/>
    <w:rsid w:val="00A3259D"/>
    <w:rsid w:val="00A32885"/>
    <w:rsid w:val="00A328C5"/>
    <w:rsid w:val="00A32B8B"/>
    <w:rsid w:val="00A32B90"/>
    <w:rsid w:val="00A32E4F"/>
    <w:rsid w:val="00A33130"/>
    <w:rsid w:val="00A3320F"/>
    <w:rsid w:val="00A33220"/>
    <w:rsid w:val="00A33364"/>
    <w:rsid w:val="00A33432"/>
    <w:rsid w:val="00A335A9"/>
    <w:rsid w:val="00A3360C"/>
    <w:rsid w:val="00A33618"/>
    <w:rsid w:val="00A336C5"/>
    <w:rsid w:val="00A3376A"/>
    <w:rsid w:val="00A33804"/>
    <w:rsid w:val="00A33939"/>
    <w:rsid w:val="00A33BCC"/>
    <w:rsid w:val="00A342D4"/>
    <w:rsid w:val="00A3445C"/>
    <w:rsid w:val="00A345AC"/>
    <w:rsid w:val="00A34854"/>
    <w:rsid w:val="00A3496B"/>
    <w:rsid w:val="00A34BA0"/>
    <w:rsid w:val="00A34CED"/>
    <w:rsid w:val="00A34DD6"/>
    <w:rsid w:val="00A34E1F"/>
    <w:rsid w:val="00A34EAA"/>
    <w:rsid w:val="00A3517E"/>
    <w:rsid w:val="00A35286"/>
    <w:rsid w:val="00A352E1"/>
    <w:rsid w:val="00A35378"/>
    <w:rsid w:val="00A354DC"/>
    <w:rsid w:val="00A35576"/>
    <w:rsid w:val="00A35843"/>
    <w:rsid w:val="00A35CB2"/>
    <w:rsid w:val="00A36075"/>
    <w:rsid w:val="00A360CA"/>
    <w:rsid w:val="00A36298"/>
    <w:rsid w:val="00A367FD"/>
    <w:rsid w:val="00A36A97"/>
    <w:rsid w:val="00A36CE8"/>
    <w:rsid w:val="00A36D90"/>
    <w:rsid w:val="00A36F02"/>
    <w:rsid w:val="00A36F6A"/>
    <w:rsid w:val="00A37069"/>
    <w:rsid w:val="00A37327"/>
    <w:rsid w:val="00A37465"/>
    <w:rsid w:val="00A374A2"/>
    <w:rsid w:val="00A37603"/>
    <w:rsid w:val="00A376DE"/>
    <w:rsid w:val="00A376E4"/>
    <w:rsid w:val="00A3792E"/>
    <w:rsid w:val="00A37EE1"/>
    <w:rsid w:val="00A403D4"/>
    <w:rsid w:val="00A4047C"/>
    <w:rsid w:val="00A40516"/>
    <w:rsid w:val="00A408FA"/>
    <w:rsid w:val="00A40962"/>
    <w:rsid w:val="00A40B01"/>
    <w:rsid w:val="00A40CB8"/>
    <w:rsid w:val="00A40D3E"/>
    <w:rsid w:val="00A40D9A"/>
    <w:rsid w:val="00A41102"/>
    <w:rsid w:val="00A41371"/>
    <w:rsid w:val="00A41400"/>
    <w:rsid w:val="00A41797"/>
    <w:rsid w:val="00A41DD3"/>
    <w:rsid w:val="00A41F51"/>
    <w:rsid w:val="00A42067"/>
    <w:rsid w:val="00A42077"/>
    <w:rsid w:val="00A42165"/>
    <w:rsid w:val="00A42213"/>
    <w:rsid w:val="00A42463"/>
    <w:rsid w:val="00A42559"/>
    <w:rsid w:val="00A427B3"/>
    <w:rsid w:val="00A429F6"/>
    <w:rsid w:val="00A42AC6"/>
    <w:rsid w:val="00A42B71"/>
    <w:rsid w:val="00A42B99"/>
    <w:rsid w:val="00A43042"/>
    <w:rsid w:val="00A4317B"/>
    <w:rsid w:val="00A4353D"/>
    <w:rsid w:val="00A43806"/>
    <w:rsid w:val="00A438A2"/>
    <w:rsid w:val="00A43CC0"/>
    <w:rsid w:val="00A43E9C"/>
    <w:rsid w:val="00A43EA3"/>
    <w:rsid w:val="00A44006"/>
    <w:rsid w:val="00A443EC"/>
    <w:rsid w:val="00A447DD"/>
    <w:rsid w:val="00A44806"/>
    <w:rsid w:val="00A449DF"/>
    <w:rsid w:val="00A44AA7"/>
    <w:rsid w:val="00A44BF3"/>
    <w:rsid w:val="00A44C6A"/>
    <w:rsid w:val="00A44C83"/>
    <w:rsid w:val="00A44C96"/>
    <w:rsid w:val="00A44F67"/>
    <w:rsid w:val="00A45218"/>
    <w:rsid w:val="00A454CE"/>
    <w:rsid w:val="00A45893"/>
    <w:rsid w:val="00A45CF3"/>
    <w:rsid w:val="00A45D05"/>
    <w:rsid w:val="00A45D78"/>
    <w:rsid w:val="00A45E1D"/>
    <w:rsid w:val="00A46189"/>
    <w:rsid w:val="00A46772"/>
    <w:rsid w:val="00A467B3"/>
    <w:rsid w:val="00A46FB6"/>
    <w:rsid w:val="00A4708A"/>
    <w:rsid w:val="00A4723A"/>
    <w:rsid w:val="00A47B6C"/>
    <w:rsid w:val="00A47CB5"/>
    <w:rsid w:val="00A47E64"/>
    <w:rsid w:val="00A50335"/>
    <w:rsid w:val="00A511D6"/>
    <w:rsid w:val="00A516D5"/>
    <w:rsid w:val="00A5191C"/>
    <w:rsid w:val="00A51C53"/>
    <w:rsid w:val="00A520B6"/>
    <w:rsid w:val="00A5217E"/>
    <w:rsid w:val="00A522FF"/>
    <w:rsid w:val="00A523E0"/>
    <w:rsid w:val="00A52402"/>
    <w:rsid w:val="00A52580"/>
    <w:rsid w:val="00A525D8"/>
    <w:rsid w:val="00A528BA"/>
    <w:rsid w:val="00A52A26"/>
    <w:rsid w:val="00A52D50"/>
    <w:rsid w:val="00A52F74"/>
    <w:rsid w:val="00A530E3"/>
    <w:rsid w:val="00A533F8"/>
    <w:rsid w:val="00A534E0"/>
    <w:rsid w:val="00A535C9"/>
    <w:rsid w:val="00A53715"/>
    <w:rsid w:val="00A53735"/>
    <w:rsid w:val="00A5387E"/>
    <w:rsid w:val="00A53898"/>
    <w:rsid w:val="00A53936"/>
    <w:rsid w:val="00A53971"/>
    <w:rsid w:val="00A539D3"/>
    <w:rsid w:val="00A53B3D"/>
    <w:rsid w:val="00A53D4B"/>
    <w:rsid w:val="00A53DA8"/>
    <w:rsid w:val="00A54007"/>
    <w:rsid w:val="00A54099"/>
    <w:rsid w:val="00A54184"/>
    <w:rsid w:val="00A5418D"/>
    <w:rsid w:val="00A54194"/>
    <w:rsid w:val="00A54403"/>
    <w:rsid w:val="00A544E6"/>
    <w:rsid w:val="00A54925"/>
    <w:rsid w:val="00A54A3E"/>
    <w:rsid w:val="00A54C1D"/>
    <w:rsid w:val="00A54E4D"/>
    <w:rsid w:val="00A54FC0"/>
    <w:rsid w:val="00A55157"/>
    <w:rsid w:val="00A554D2"/>
    <w:rsid w:val="00A55722"/>
    <w:rsid w:val="00A55779"/>
    <w:rsid w:val="00A55A7B"/>
    <w:rsid w:val="00A55ECB"/>
    <w:rsid w:val="00A55FD9"/>
    <w:rsid w:val="00A5668D"/>
    <w:rsid w:val="00A56B05"/>
    <w:rsid w:val="00A56B33"/>
    <w:rsid w:val="00A57103"/>
    <w:rsid w:val="00A5715D"/>
    <w:rsid w:val="00A57162"/>
    <w:rsid w:val="00A571C1"/>
    <w:rsid w:val="00A57935"/>
    <w:rsid w:val="00A57B78"/>
    <w:rsid w:val="00A57CF9"/>
    <w:rsid w:val="00A602AD"/>
    <w:rsid w:val="00A60708"/>
    <w:rsid w:val="00A60B72"/>
    <w:rsid w:val="00A60BFE"/>
    <w:rsid w:val="00A60DF7"/>
    <w:rsid w:val="00A60EEA"/>
    <w:rsid w:val="00A612B7"/>
    <w:rsid w:val="00A614A6"/>
    <w:rsid w:val="00A6197B"/>
    <w:rsid w:val="00A61D48"/>
    <w:rsid w:val="00A62533"/>
    <w:rsid w:val="00A62579"/>
    <w:rsid w:val="00A626A0"/>
    <w:rsid w:val="00A62A13"/>
    <w:rsid w:val="00A62B74"/>
    <w:rsid w:val="00A62C13"/>
    <w:rsid w:val="00A62C24"/>
    <w:rsid w:val="00A62C74"/>
    <w:rsid w:val="00A62C7B"/>
    <w:rsid w:val="00A62CB7"/>
    <w:rsid w:val="00A62DFF"/>
    <w:rsid w:val="00A62E6A"/>
    <w:rsid w:val="00A62FA7"/>
    <w:rsid w:val="00A631E9"/>
    <w:rsid w:val="00A63518"/>
    <w:rsid w:val="00A63587"/>
    <w:rsid w:val="00A635B2"/>
    <w:rsid w:val="00A6399D"/>
    <w:rsid w:val="00A63DD5"/>
    <w:rsid w:val="00A63FA6"/>
    <w:rsid w:val="00A6400E"/>
    <w:rsid w:val="00A6433D"/>
    <w:rsid w:val="00A64370"/>
    <w:rsid w:val="00A64432"/>
    <w:rsid w:val="00A64892"/>
    <w:rsid w:val="00A648EF"/>
    <w:rsid w:val="00A64A2F"/>
    <w:rsid w:val="00A64A63"/>
    <w:rsid w:val="00A64D7C"/>
    <w:rsid w:val="00A64FEF"/>
    <w:rsid w:val="00A65018"/>
    <w:rsid w:val="00A6514D"/>
    <w:rsid w:val="00A65683"/>
    <w:rsid w:val="00A65BE7"/>
    <w:rsid w:val="00A65D68"/>
    <w:rsid w:val="00A66005"/>
    <w:rsid w:val="00A6607F"/>
    <w:rsid w:val="00A6632C"/>
    <w:rsid w:val="00A6636C"/>
    <w:rsid w:val="00A66431"/>
    <w:rsid w:val="00A664E3"/>
    <w:rsid w:val="00A66555"/>
    <w:rsid w:val="00A6659E"/>
    <w:rsid w:val="00A665CD"/>
    <w:rsid w:val="00A66681"/>
    <w:rsid w:val="00A66735"/>
    <w:rsid w:val="00A668DD"/>
    <w:rsid w:val="00A66C3D"/>
    <w:rsid w:val="00A66C8C"/>
    <w:rsid w:val="00A67142"/>
    <w:rsid w:val="00A671FA"/>
    <w:rsid w:val="00A67383"/>
    <w:rsid w:val="00A67710"/>
    <w:rsid w:val="00A70023"/>
    <w:rsid w:val="00A70394"/>
    <w:rsid w:val="00A703A0"/>
    <w:rsid w:val="00A704B9"/>
    <w:rsid w:val="00A7054C"/>
    <w:rsid w:val="00A7057A"/>
    <w:rsid w:val="00A7097F"/>
    <w:rsid w:val="00A70A7D"/>
    <w:rsid w:val="00A70C6A"/>
    <w:rsid w:val="00A70C81"/>
    <w:rsid w:val="00A70CBF"/>
    <w:rsid w:val="00A71042"/>
    <w:rsid w:val="00A710EA"/>
    <w:rsid w:val="00A71343"/>
    <w:rsid w:val="00A714A4"/>
    <w:rsid w:val="00A71875"/>
    <w:rsid w:val="00A71AFA"/>
    <w:rsid w:val="00A71C84"/>
    <w:rsid w:val="00A71DB5"/>
    <w:rsid w:val="00A71E21"/>
    <w:rsid w:val="00A71E6D"/>
    <w:rsid w:val="00A7208A"/>
    <w:rsid w:val="00A721AB"/>
    <w:rsid w:val="00A728E1"/>
    <w:rsid w:val="00A72C65"/>
    <w:rsid w:val="00A730ED"/>
    <w:rsid w:val="00A73139"/>
    <w:rsid w:val="00A731F9"/>
    <w:rsid w:val="00A7327E"/>
    <w:rsid w:val="00A7340E"/>
    <w:rsid w:val="00A73621"/>
    <w:rsid w:val="00A73811"/>
    <w:rsid w:val="00A73D03"/>
    <w:rsid w:val="00A73F50"/>
    <w:rsid w:val="00A74013"/>
    <w:rsid w:val="00A7428C"/>
    <w:rsid w:val="00A74790"/>
    <w:rsid w:val="00A749D2"/>
    <w:rsid w:val="00A74DB9"/>
    <w:rsid w:val="00A751EF"/>
    <w:rsid w:val="00A752D8"/>
    <w:rsid w:val="00A75423"/>
    <w:rsid w:val="00A75C6B"/>
    <w:rsid w:val="00A75E8D"/>
    <w:rsid w:val="00A75F81"/>
    <w:rsid w:val="00A762AA"/>
    <w:rsid w:val="00A766FF"/>
    <w:rsid w:val="00A76B4A"/>
    <w:rsid w:val="00A76E00"/>
    <w:rsid w:val="00A76EE9"/>
    <w:rsid w:val="00A7700E"/>
    <w:rsid w:val="00A77131"/>
    <w:rsid w:val="00A7746B"/>
    <w:rsid w:val="00A77620"/>
    <w:rsid w:val="00A77845"/>
    <w:rsid w:val="00A77B53"/>
    <w:rsid w:val="00A77C7B"/>
    <w:rsid w:val="00A77D15"/>
    <w:rsid w:val="00A77D45"/>
    <w:rsid w:val="00A77E99"/>
    <w:rsid w:val="00A8050B"/>
    <w:rsid w:val="00A80624"/>
    <w:rsid w:val="00A8094A"/>
    <w:rsid w:val="00A80A31"/>
    <w:rsid w:val="00A80C47"/>
    <w:rsid w:val="00A80FCE"/>
    <w:rsid w:val="00A81089"/>
    <w:rsid w:val="00A8111C"/>
    <w:rsid w:val="00A813B1"/>
    <w:rsid w:val="00A81D11"/>
    <w:rsid w:val="00A81EFB"/>
    <w:rsid w:val="00A8210E"/>
    <w:rsid w:val="00A8212E"/>
    <w:rsid w:val="00A82299"/>
    <w:rsid w:val="00A8236D"/>
    <w:rsid w:val="00A823E1"/>
    <w:rsid w:val="00A82770"/>
    <w:rsid w:val="00A82D76"/>
    <w:rsid w:val="00A82E0C"/>
    <w:rsid w:val="00A831ED"/>
    <w:rsid w:val="00A83369"/>
    <w:rsid w:val="00A83525"/>
    <w:rsid w:val="00A8362C"/>
    <w:rsid w:val="00A836CD"/>
    <w:rsid w:val="00A83851"/>
    <w:rsid w:val="00A83BF4"/>
    <w:rsid w:val="00A83C2C"/>
    <w:rsid w:val="00A8409F"/>
    <w:rsid w:val="00A841B8"/>
    <w:rsid w:val="00A8489D"/>
    <w:rsid w:val="00A84967"/>
    <w:rsid w:val="00A849AF"/>
    <w:rsid w:val="00A849D1"/>
    <w:rsid w:val="00A84A59"/>
    <w:rsid w:val="00A84B62"/>
    <w:rsid w:val="00A84B65"/>
    <w:rsid w:val="00A84C30"/>
    <w:rsid w:val="00A84C41"/>
    <w:rsid w:val="00A85115"/>
    <w:rsid w:val="00A8546E"/>
    <w:rsid w:val="00A855C1"/>
    <w:rsid w:val="00A8597C"/>
    <w:rsid w:val="00A859E5"/>
    <w:rsid w:val="00A85C13"/>
    <w:rsid w:val="00A85C6A"/>
    <w:rsid w:val="00A862C5"/>
    <w:rsid w:val="00A86418"/>
    <w:rsid w:val="00A86617"/>
    <w:rsid w:val="00A86E24"/>
    <w:rsid w:val="00A86F95"/>
    <w:rsid w:val="00A870D1"/>
    <w:rsid w:val="00A87180"/>
    <w:rsid w:val="00A87261"/>
    <w:rsid w:val="00A87648"/>
    <w:rsid w:val="00A878D1"/>
    <w:rsid w:val="00A87CC9"/>
    <w:rsid w:val="00A90272"/>
    <w:rsid w:val="00A90657"/>
    <w:rsid w:val="00A906FA"/>
    <w:rsid w:val="00A90944"/>
    <w:rsid w:val="00A90A7F"/>
    <w:rsid w:val="00A90AAD"/>
    <w:rsid w:val="00A90B82"/>
    <w:rsid w:val="00A91051"/>
    <w:rsid w:val="00A91215"/>
    <w:rsid w:val="00A9132A"/>
    <w:rsid w:val="00A9134F"/>
    <w:rsid w:val="00A91BCE"/>
    <w:rsid w:val="00A91E60"/>
    <w:rsid w:val="00A9216C"/>
    <w:rsid w:val="00A928CC"/>
    <w:rsid w:val="00A92B1E"/>
    <w:rsid w:val="00A92DBF"/>
    <w:rsid w:val="00A9343B"/>
    <w:rsid w:val="00A93619"/>
    <w:rsid w:val="00A945D4"/>
    <w:rsid w:val="00A94765"/>
    <w:rsid w:val="00A947DF"/>
    <w:rsid w:val="00A94ACE"/>
    <w:rsid w:val="00A94BF2"/>
    <w:rsid w:val="00A94FB6"/>
    <w:rsid w:val="00A9520D"/>
    <w:rsid w:val="00A952BB"/>
    <w:rsid w:val="00A95486"/>
    <w:rsid w:val="00A95715"/>
    <w:rsid w:val="00A957ED"/>
    <w:rsid w:val="00A958CB"/>
    <w:rsid w:val="00A9593F"/>
    <w:rsid w:val="00A959E2"/>
    <w:rsid w:val="00A95EAD"/>
    <w:rsid w:val="00A96099"/>
    <w:rsid w:val="00A9622F"/>
    <w:rsid w:val="00A96293"/>
    <w:rsid w:val="00A9692E"/>
    <w:rsid w:val="00A969CA"/>
    <w:rsid w:val="00A96AAF"/>
    <w:rsid w:val="00A97011"/>
    <w:rsid w:val="00A970D3"/>
    <w:rsid w:val="00A97321"/>
    <w:rsid w:val="00A973E2"/>
    <w:rsid w:val="00A976F1"/>
    <w:rsid w:val="00A9775F"/>
    <w:rsid w:val="00A97A08"/>
    <w:rsid w:val="00A97CE6"/>
    <w:rsid w:val="00AA018E"/>
    <w:rsid w:val="00AA02CB"/>
    <w:rsid w:val="00AA05DF"/>
    <w:rsid w:val="00AA0AC1"/>
    <w:rsid w:val="00AA0B79"/>
    <w:rsid w:val="00AA0FDB"/>
    <w:rsid w:val="00AA1092"/>
    <w:rsid w:val="00AA13DA"/>
    <w:rsid w:val="00AA1532"/>
    <w:rsid w:val="00AA181B"/>
    <w:rsid w:val="00AA1907"/>
    <w:rsid w:val="00AA1B55"/>
    <w:rsid w:val="00AA2221"/>
    <w:rsid w:val="00AA2801"/>
    <w:rsid w:val="00AA284F"/>
    <w:rsid w:val="00AA29BD"/>
    <w:rsid w:val="00AA2BDF"/>
    <w:rsid w:val="00AA2BE2"/>
    <w:rsid w:val="00AA3671"/>
    <w:rsid w:val="00AA3A33"/>
    <w:rsid w:val="00AA3AFC"/>
    <w:rsid w:val="00AA3CC0"/>
    <w:rsid w:val="00AA3EF2"/>
    <w:rsid w:val="00AA3F94"/>
    <w:rsid w:val="00AA42AC"/>
    <w:rsid w:val="00AA450F"/>
    <w:rsid w:val="00AA4510"/>
    <w:rsid w:val="00AA467D"/>
    <w:rsid w:val="00AA47BA"/>
    <w:rsid w:val="00AA4802"/>
    <w:rsid w:val="00AA4BF2"/>
    <w:rsid w:val="00AA4C11"/>
    <w:rsid w:val="00AA4C22"/>
    <w:rsid w:val="00AA4D65"/>
    <w:rsid w:val="00AA4DF6"/>
    <w:rsid w:val="00AA5118"/>
    <w:rsid w:val="00AA5314"/>
    <w:rsid w:val="00AA54C6"/>
    <w:rsid w:val="00AA56B0"/>
    <w:rsid w:val="00AA575C"/>
    <w:rsid w:val="00AA5A3C"/>
    <w:rsid w:val="00AA5BC6"/>
    <w:rsid w:val="00AA5D47"/>
    <w:rsid w:val="00AA6163"/>
    <w:rsid w:val="00AA61F2"/>
    <w:rsid w:val="00AA6616"/>
    <w:rsid w:val="00AA667E"/>
    <w:rsid w:val="00AA6716"/>
    <w:rsid w:val="00AA68D2"/>
    <w:rsid w:val="00AA6AC1"/>
    <w:rsid w:val="00AA6AE7"/>
    <w:rsid w:val="00AA6B65"/>
    <w:rsid w:val="00AA6DD4"/>
    <w:rsid w:val="00AA7090"/>
    <w:rsid w:val="00AA73FF"/>
    <w:rsid w:val="00AA7751"/>
    <w:rsid w:val="00AA77EF"/>
    <w:rsid w:val="00AA7C5E"/>
    <w:rsid w:val="00AA7D2E"/>
    <w:rsid w:val="00AB00DE"/>
    <w:rsid w:val="00AB01F2"/>
    <w:rsid w:val="00AB0274"/>
    <w:rsid w:val="00AB036B"/>
    <w:rsid w:val="00AB039D"/>
    <w:rsid w:val="00AB03F7"/>
    <w:rsid w:val="00AB0436"/>
    <w:rsid w:val="00AB0AB9"/>
    <w:rsid w:val="00AB0D3A"/>
    <w:rsid w:val="00AB1196"/>
    <w:rsid w:val="00AB11AB"/>
    <w:rsid w:val="00AB14CC"/>
    <w:rsid w:val="00AB1738"/>
    <w:rsid w:val="00AB173C"/>
    <w:rsid w:val="00AB1950"/>
    <w:rsid w:val="00AB1AD7"/>
    <w:rsid w:val="00AB1D8F"/>
    <w:rsid w:val="00AB1DC2"/>
    <w:rsid w:val="00AB1EF6"/>
    <w:rsid w:val="00AB221A"/>
    <w:rsid w:val="00AB2456"/>
    <w:rsid w:val="00AB2569"/>
    <w:rsid w:val="00AB261F"/>
    <w:rsid w:val="00AB289F"/>
    <w:rsid w:val="00AB2DC1"/>
    <w:rsid w:val="00AB2EC2"/>
    <w:rsid w:val="00AB2EEB"/>
    <w:rsid w:val="00AB2F7D"/>
    <w:rsid w:val="00AB3292"/>
    <w:rsid w:val="00AB33E3"/>
    <w:rsid w:val="00AB361A"/>
    <w:rsid w:val="00AB3657"/>
    <w:rsid w:val="00AB38C6"/>
    <w:rsid w:val="00AB39B3"/>
    <w:rsid w:val="00AB3A69"/>
    <w:rsid w:val="00AB3B56"/>
    <w:rsid w:val="00AB3E86"/>
    <w:rsid w:val="00AB4299"/>
    <w:rsid w:val="00AB44AC"/>
    <w:rsid w:val="00AB4865"/>
    <w:rsid w:val="00AB4D93"/>
    <w:rsid w:val="00AB4DA2"/>
    <w:rsid w:val="00AB52DD"/>
    <w:rsid w:val="00AB56A2"/>
    <w:rsid w:val="00AB58D2"/>
    <w:rsid w:val="00AB5DE5"/>
    <w:rsid w:val="00AB5E33"/>
    <w:rsid w:val="00AB5E40"/>
    <w:rsid w:val="00AB5F98"/>
    <w:rsid w:val="00AB608D"/>
    <w:rsid w:val="00AB61FB"/>
    <w:rsid w:val="00AB63A6"/>
    <w:rsid w:val="00AB650D"/>
    <w:rsid w:val="00AB688C"/>
    <w:rsid w:val="00AB6D49"/>
    <w:rsid w:val="00AB6F6C"/>
    <w:rsid w:val="00AB70BE"/>
    <w:rsid w:val="00AB7255"/>
    <w:rsid w:val="00AB7787"/>
    <w:rsid w:val="00AB77E5"/>
    <w:rsid w:val="00AB78D9"/>
    <w:rsid w:val="00AB7DC2"/>
    <w:rsid w:val="00AB7E74"/>
    <w:rsid w:val="00AB7FD0"/>
    <w:rsid w:val="00AC00F3"/>
    <w:rsid w:val="00AC0222"/>
    <w:rsid w:val="00AC04C8"/>
    <w:rsid w:val="00AC0AB1"/>
    <w:rsid w:val="00AC1217"/>
    <w:rsid w:val="00AC1346"/>
    <w:rsid w:val="00AC1866"/>
    <w:rsid w:val="00AC18D9"/>
    <w:rsid w:val="00AC2487"/>
    <w:rsid w:val="00AC2759"/>
    <w:rsid w:val="00AC27FF"/>
    <w:rsid w:val="00AC2A2F"/>
    <w:rsid w:val="00AC2C04"/>
    <w:rsid w:val="00AC2C70"/>
    <w:rsid w:val="00AC31EC"/>
    <w:rsid w:val="00AC31FD"/>
    <w:rsid w:val="00AC3293"/>
    <w:rsid w:val="00AC3624"/>
    <w:rsid w:val="00AC39FE"/>
    <w:rsid w:val="00AC3B0B"/>
    <w:rsid w:val="00AC3B27"/>
    <w:rsid w:val="00AC410C"/>
    <w:rsid w:val="00AC429F"/>
    <w:rsid w:val="00AC4321"/>
    <w:rsid w:val="00AC441D"/>
    <w:rsid w:val="00AC4557"/>
    <w:rsid w:val="00AC49CF"/>
    <w:rsid w:val="00AC4B2B"/>
    <w:rsid w:val="00AC4B8A"/>
    <w:rsid w:val="00AC527B"/>
    <w:rsid w:val="00AC53F6"/>
    <w:rsid w:val="00AC542C"/>
    <w:rsid w:val="00AC59A7"/>
    <w:rsid w:val="00AC5B6C"/>
    <w:rsid w:val="00AC5BE8"/>
    <w:rsid w:val="00AC5C06"/>
    <w:rsid w:val="00AC5EFE"/>
    <w:rsid w:val="00AC68C8"/>
    <w:rsid w:val="00AC6955"/>
    <w:rsid w:val="00AC6AFA"/>
    <w:rsid w:val="00AC6F35"/>
    <w:rsid w:val="00AC717A"/>
    <w:rsid w:val="00AC77CB"/>
    <w:rsid w:val="00AC782D"/>
    <w:rsid w:val="00AC79A0"/>
    <w:rsid w:val="00AC7A16"/>
    <w:rsid w:val="00AC7C5A"/>
    <w:rsid w:val="00AC7E54"/>
    <w:rsid w:val="00AD0009"/>
    <w:rsid w:val="00AD012E"/>
    <w:rsid w:val="00AD0447"/>
    <w:rsid w:val="00AD069D"/>
    <w:rsid w:val="00AD081B"/>
    <w:rsid w:val="00AD084B"/>
    <w:rsid w:val="00AD0A55"/>
    <w:rsid w:val="00AD101C"/>
    <w:rsid w:val="00AD1295"/>
    <w:rsid w:val="00AD14C1"/>
    <w:rsid w:val="00AD16FC"/>
    <w:rsid w:val="00AD1A5D"/>
    <w:rsid w:val="00AD1C9D"/>
    <w:rsid w:val="00AD1E58"/>
    <w:rsid w:val="00AD1F54"/>
    <w:rsid w:val="00AD2058"/>
    <w:rsid w:val="00AD2113"/>
    <w:rsid w:val="00AD212F"/>
    <w:rsid w:val="00AD22EF"/>
    <w:rsid w:val="00AD2DAC"/>
    <w:rsid w:val="00AD2DC9"/>
    <w:rsid w:val="00AD2E1C"/>
    <w:rsid w:val="00AD2E79"/>
    <w:rsid w:val="00AD2EC5"/>
    <w:rsid w:val="00AD323C"/>
    <w:rsid w:val="00AD36E0"/>
    <w:rsid w:val="00AD38A2"/>
    <w:rsid w:val="00AD38EF"/>
    <w:rsid w:val="00AD3A52"/>
    <w:rsid w:val="00AD3A59"/>
    <w:rsid w:val="00AD3F62"/>
    <w:rsid w:val="00AD4035"/>
    <w:rsid w:val="00AD44DE"/>
    <w:rsid w:val="00AD4872"/>
    <w:rsid w:val="00AD4DB2"/>
    <w:rsid w:val="00AD500B"/>
    <w:rsid w:val="00AD51AB"/>
    <w:rsid w:val="00AD5205"/>
    <w:rsid w:val="00AD5708"/>
    <w:rsid w:val="00AD5852"/>
    <w:rsid w:val="00AD598B"/>
    <w:rsid w:val="00AD5D06"/>
    <w:rsid w:val="00AD5E0C"/>
    <w:rsid w:val="00AD6123"/>
    <w:rsid w:val="00AD6845"/>
    <w:rsid w:val="00AD68C1"/>
    <w:rsid w:val="00AD6C00"/>
    <w:rsid w:val="00AD6C74"/>
    <w:rsid w:val="00AD7053"/>
    <w:rsid w:val="00AD748B"/>
    <w:rsid w:val="00AD7659"/>
    <w:rsid w:val="00AD7895"/>
    <w:rsid w:val="00AD79F1"/>
    <w:rsid w:val="00AD79F4"/>
    <w:rsid w:val="00AD7B8E"/>
    <w:rsid w:val="00AE00E2"/>
    <w:rsid w:val="00AE01CF"/>
    <w:rsid w:val="00AE01E4"/>
    <w:rsid w:val="00AE0677"/>
    <w:rsid w:val="00AE0A3A"/>
    <w:rsid w:val="00AE0C87"/>
    <w:rsid w:val="00AE0DCC"/>
    <w:rsid w:val="00AE0FEE"/>
    <w:rsid w:val="00AE1197"/>
    <w:rsid w:val="00AE1315"/>
    <w:rsid w:val="00AE176A"/>
    <w:rsid w:val="00AE1842"/>
    <w:rsid w:val="00AE1C39"/>
    <w:rsid w:val="00AE2025"/>
    <w:rsid w:val="00AE2421"/>
    <w:rsid w:val="00AE26DD"/>
    <w:rsid w:val="00AE2A19"/>
    <w:rsid w:val="00AE2EA0"/>
    <w:rsid w:val="00AE368F"/>
    <w:rsid w:val="00AE386E"/>
    <w:rsid w:val="00AE41B1"/>
    <w:rsid w:val="00AE4240"/>
    <w:rsid w:val="00AE43E9"/>
    <w:rsid w:val="00AE45D5"/>
    <w:rsid w:val="00AE46C8"/>
    <w:rsid w:val="00AE4955"/>
    <w:rsid w:val="00AE4C04"/>
    <w:rsid w:val="00AE4E68"/>
    <w:rsid w:val="00AE4E9D"/>
    <w:rsid w:val="00AE527A"/>
    <w:rsid w:val="00AE5404"/>
    <w:rsid w:val="00AE5422"/>
    <w:rsid w:val="00AE5791"/>
    <w:rsid w:val="00AE579B"/>
    <w:rsid w:val="00AE57BB"/>
    <w:rsid w:val="00AE59A6"/>
    <w:rsid w:val="00AE6AAA"/>
    <w:rsid w:val="00AE6BE3"/>
    <w:rsid w:val="00AE6F13"/>
    <w:rsid w:val="00AE7068"/>
    <w:rsid w:val="00AE7321"/>
    <w:rsid w:val="00AE73D7"/>
    <w:rsid w:val="00AE75C1"/>
    <w:rsid w:val="00AE76FD"/>
    <w:rsid w:val="00AE7841"/>
    <w:rsid w:val="00AE7B30"/>
    <w:rsid w:val="00AE7C82"/>
    <w:rsid w:val="00AE7D10"/>
    <w:rsid w:val="00AF025C"/>
    <w:rsid w:val="00AF043A"/>
    <w:rsid w:val="00AF05B0"/>
    <w:rsid w:val="00AF076C"/>
    <w:rsid w:val="00AF0E17"/>
    <w:rsid w:val="00AF10B2"/>
    <w:rsid w:val="00AF10C6"/>
    <w:rsid w:val="00AF112A"/>
    <w:rsid w:val="00AF11C4"/>
    <w:rsid w:val="00AF1256"/>
    <w:rsid w:val="00AF12A8"/>
    <w:rsid w:val="00AF18E7"/>
    <w:rsid w:val="00AF1BE6"/>
    <w:rsid w:val="00AF1C90"/>
    <w:rsid w:val="00AF1D41"/>
    <w:rsid w:val="00AF1F1A"/>
    <w:rsid w:val="00AF2181"/>
    <w:rsid w:val="00AF22D2"/>
    <w:rsid w:val="00AF24DF"/>
    <w:rsid w:val="00AF263B"/>
    <w:rsid w:val="00AF29F6"/>
    <w:rsid w:val="00AF2A7B"/>
    <w:rsid w:val="00AF2C75"/>
    <w:rsid w:val="00AF2CCD"/>
    <w:rsid w:val="00AF33FE"/>
    <w:rsid w:val="00AF34A0"/>
    <w:rsid w:val="00AF3903"/>
    <w:rsid w:val="00AF3B34"/>
    <w:rsid w:val="00AF3C5C"/>
    <w:rsid w:val="00AF3D83"/>
    <w:rsid w:val="00AF3DCD"/>
    <w:rsid w:val="00AF427C"/>
    <w:rsid w:val="00AF45D7"/>
    <w:rsid w:val="00AF47D4"/>
    <w:rsid w:val="00AF48C4"/>
    <w:rsid w:val="00AF495B"/>
    <w:rsid w:val="00AF49DD"/>
    <w:rsid w:val="00AF4F9C"/>
    <w:rsid w:val="00AF52BC"/>
    <w:rsid w:val="00AF5337"/>
    <w:rsid w:val="00AF540E"/>
    <w:rsid w:val="00AF57F7"/>
    <w:rsid w:val="00AF5C5D"/>
    <w:rsid w:val="00AF5FD9"/>
    <w:rsid w:val="00AF64B6"/>
    <w:rsid w:val="00AF64C5"/>
    <w:rsid w:val="00AF659E"/>
    <w:rsid w:val="00AF6681"/>
    <w:rsid w:val="00AF66A9"/>
    <w:rsid w:val="00AF67DD"/>
    <w:rsid w:val="00AF692A"/>
    <w:rsid w:val="00AF6CF2"/>
    <w:rsid w:val="00AF744E"/>
    <w:rsid w:val="00AF74C2"/>
    <w:rsid w:val="00AF79E5"/>
    <w:rsid w:val="00AF7A9B"/>
    <w:rsid w:val="00AF7E92"/>
    <w:rsid w:val="00B00018"/>
    <w:rsid w:val="00B000BE"/>
    <w:rsid w:val="00B002CC"/>
    <w:rsid w:val="00B0030E"/>
    <w:rsid w:val="00B00879"/>
    <w:rsid w:val="00B00938"/>
    <w:rsid w:val="00B00C29"/>
    <w:rsid w:val="00B00D80"/>
    <w:rsid w:val="00B012CA"/>
    <w:rsid w:val="00B01369"/>
    <w:rsid w:val="00B01A5A"/>
    <w:rsid w:val="00B01D56"/>
    <w:rsid w:val="00B01E3F"/>
    <w:rsid w:val="00B023FD"/>
    <w:rsid w:val="00B0249F"/>
    <w:rsid w:val="00B02584"/>
    <w:rsid w:val="00B02C47"/>
    <w:rsid w:val="00B035D9"/>
    <w:rsid w:val="00B03AAB"/>
    <w:rsid w:val="00B03AC1"/>
    <w:rsid w:val="00B03B1C"/>
    <w:rsid w:val="00B03BF2"/>
    <w:rsid w:val="00B04024"/>
    <w:rsid w:val="00B04144"/>
    <w:rsid w:val="00B042BF"/>
    <w:rsid w:val="00B04410"/>
    <w:rsid w:val="00B044CA"/>
    <w:rsid w:val="00B044E2"/>
    <w:rsid w:val="00B0470A"/>
    <w:rsid w:val="00B04734"/>
    <w:rsid w:val="00B0479B"/>
    <w:rsid w:val="00B048F0"/>
    <w:rsid w:val="00B04D56"/>
    <w:rsid w:val="00B04EA7"/>
    <w:rsid w:val="00B0510E"/>
    <w:rsid w:val="00B05139"/>
    <w:rsid w:val="00B052F6"/>
    <w:rsid w:val="00B05423"/>
    <w:rsid w:val="00B05D68"/>
    <w:rsid w:val="00B05FEC"/>
    <w:rsid w:val="00B06248"/>
    <w:rsid w:val="00B0627F"/>
    <w:rsid w:val="00B062B1"/>
    <w:rsid w:val="00B064DB"/>
    <w:rsid w:val="00B066FD"/>
    <w:rsid w:val="00B06898"/>
    <w:rsid w:val="00B0726C"/>
    <w:rsid w:val="00B073B7"/>
    <w:rsid w:val="00B073DD"/>
    <w:rsid w:val="00B07491"/>
    <w:rsid w:val="00B07527"/>
    <w:rsid w:val="00B07569"/>
    <w:rsid w:val="00B07601"/>
    <w:rsid w:val="00B076A4"/>
    <w:rsid w:val="00B079BF"/>
    <w:rsid w:val="00B07AC0"/>
    <w:rsid w:val="00B07BA0"/>
    <w:rsid w:val="00B07C18"/>
    <w:rsid w:val="00B07D12"/>
    <w:rsid w:val="00B07F3D"/>
    <w:rsid w:val="00B1019C"/>
    <w:rsid w:val="00B101CD"/>
    <w:rsid w:val="00B10463"/>
    <w:rsid w:val="00B105C4"/>
    <w:rsid w:val="00B1068B"/>
    <w:rsid w:val="00B10790"/>
    <w:rsid w:val="00B10A48"/>
    <w:rsid w:val="00B10B4E"/>
    <w:rsid w:val="00B10CD5"/>
    <w:rsid w:val="00B110CA"/>
    <w:rsid w:val="00B110F5"/>
    <w:rsid w:val="00B1119D"/>
    <w:rsid w:val="00B11322"/>
    <w:rsid w:val="00B11430"/>
    <w:rsid w:val="00B118D1"/>
    <w:rsid w:val="00B11B37"/>
    <w:rsid w:val="00B11B5F"/>
    <w:rsid w:val="00B11BD3"/>
    <w:rsid w:val="00B11F81"/>
    <w:rsid w:val="00B120EC"/>
    <w:rsid w:val="00B121CA"/>
    <w:rsid w:val="00B12319"/>
    <w:rsid w:val="00B1265F"/>
    <w:rsid w:val="00B12B3E"/>
    <w:rsid w:val="00B12F0E"/>
    <w:rsid w:val="00B12F3B"/>
    <w:rsid w:val="00B13015"/>
    <w:rsid w:val="00B13206"/>
    <w:rsid w:val="00B13405"/>
    <w:rsid w:val="00B13515"/>
    <w:rsid w:val="00B136FB"/>
    <w:rsid w:val="00B13794"/>
    <w:rsid w:val="00B1382F"/>
    <w:rsid w:val="00B13921"/>
    <w:rsid w:val="00B13A33"/>
    <w:rsid w:val="00B13A9F"/>
    <w:rsid w:val="00B13B99"/>
    <w:rsid w:val="00B13CD1"/>
    <w:rsid w:val="00B1412C"/>
    <w:rsid w:val="00B144A8"/>
    <w:rsid w:val="00B14578"/>
    <w:rsid w:val="00B14A35"/>
    <w:rsid w:val="00B14C29"/>
    <w:rsid w:val="00B14F54"/>
    <w:rsid w:val="00B15302"/>
    <w:rsid w:val="00B1535C"/>
    <w:rsid w:val="00B1536C"/>
    <w:rsid w:val="00B15397"/>
    <w:rsid w:val="00B153E3"/>
    <w:rsid w:val="00B15581"/>
    <w:rsid w:val="00B155AE"/>
    <w:rsid w:val="00B15706"/>
    <w:rsid w:val="00B15A59"/>
    <w:rsid w:val="00B161E9"/>
    <w:rsid w:val="00B16354"/>
    <w:rsid w:val="00B16548"/>
    <w:rsid w:val="00B169DB"/>
    <w:rsid w:val="00B169F0"/>
    <w:rsid w:val="00B16AEC"/>
    <w:rsid w:val="00B16C7D"/>
    <w:rsid w:val="00B16EFC"/>
    <w:rsid w:val="00B17232"/>
    <w:rsid w:val="00B17491"/>
    <w:rsid w:val="00B17AFB"/>
    <w:rsid w:val="00B17F37"/>
    <w:rsid w:val="00B17F6C"/>
    <w:rsid w:val="00B20090"/>
    <w:rsid w:val="00B202D4"/>
    <w:rsid w:val="00B20515"/>
    <w:rsid w:val="00B20E42"/>
    <w:rsid w:val="00B20E6A"/>
    <w:rsid w:val="00B20E83"/>
    <w:rsid w:val="00B21057"/>
    <w:rsid w:val="00B2112B"/>
    <w:rsid w:val="00B216EC"/>
    <w:rsid w:val="00B21868"/>
    <w:rsid w:val="00B21A36"/>
    <w:rsid w:val="00B21A6C"/>
    <w:rsid w:val="00B21B7A"/>
    <w:rsid w:val="00B21CBC"/>
    <w:rsid w:val="00B21CF3"/>
    <w:rsid w:val="00B21D69"/>
    <w:rsid w:val="00B21F61"/>
    <w:rsid w:val="00B21F71"/>
    <w:rsid w:val="00B220CC"/>
    <w:rsid w:val="00B2217D"/>
    <w:rsid w:val="00B22760"/>
    <w:rsid w:val="00B2295C"/>
    <w:rsid w:val="00B22A4E"/>
    <w:rsid w:val="00B22AC9"/>
    <w:rsid w:val="00B22CEE"/>
    <w:rsid w:val="00B22E39"/>
    <w:rsid w:val="00B2319A"/>
    <w:rsid w:val="00B234C3"/>
    <w:rsid w:val="00B235E1"/>
    <w:rsid w:val="00B2377F"/>
    <w:rsid w:val="00B237DE"/>
    <w:rsid w:val="00B23887"/>
    <w:rsid w:val="00B23950"/>
    <w:rsid w:val="00B23DBD"/>
    <w:rsid w:val="00B24082"/>
    <w:rsid w:val="00B241F9"/>
    <w:rsid w:val="00B24238"/>
    <w:rsid w:val="00B24CD7"/>
    <w:rsid w:val="00B24F22"/>
    <w:rsid w:val="00B24F96"/>
    <w:rsid w:val="00B25579"/>
    <w:rsid w:val="00B25994"/>
    <w:rsid w:val="00B259BD"/>
    <w:rsid w:val="00B259CD"/>
    <w:rsid w:val="00B25F06"/>
    <w:rsid w:val="00B25F50"/>
    <w:rsid w:val="00B25F52"/>
    <w:rsid w:val="00B261AA"/>
    <w:rsid w:val="00B261DE"/>
    <w:rsid w:val="00B2621B"/>
    <w:rsid w:val="00B263D0"/>
    <w:rsid w:val="00B266A0"/>
    <w:rsid w:val="00B266C8"/>
    <w:rsid w:val="00B26A1F"/>
    <w:rsid w:val="00B26A5D"/>
    <w:rsid w:val="00B26B55"/>
    <w:rsid w:val="00B27104"/>
    <w:rsid w:val="00B2748A"/>
    <w:rsid w:val="00B27560"/>
    <w:rsid w:val="00B275FA"/>
    <w:rsid w:val="00B276E7"/>
    <w:rsid w:val="00B2779E"/>
    <w:rsid w:val="00B27937"/>
    <w:rsid w:val="00B27B06"/>
    <w:rsid w:val="00B27BC2"/>
    <w:rsid w:val="00B27BD5"/>
    <w:rsid w:val="00B27D92"/>
    <w:rsid w:val="00B27EAF"/>
    <w:rsid w:val="00B302ED"/>
    <w:rsid w:val="00B304CA"/>
    <w:rsid w:val="00B305A8"/>
    <w:rsid w:val="00B3087F"/>
    <w:rsid w:val="00B30929"/>
    <w:rsid w:val="00B3114C"/>
    <w:rsid w:val="00B31308"/>
    <w:rsid w:val="00B31441"/>
    <w:rsid w:val="00B31560"/>
    <w:rsid w:val="00B31669"/>
    <w:rsid w:val="00B317FA"/>
    <w:rsid w:val="00B3191D"/>
    <w:rsid w:val="00B32343"/>
    <w:rsid w:val="00B3274B"/>
    <w:rsid w:val="00B32D73"/>
    <w:rsid w:val="00B32F05"/>
    <w:rsid w:val="00B32FAD"/>
    <w:rsid w:val="00B330EE"/>
    <w:rsid w:val="00B331E1"/>
    <w:rsid w:val="00B33207"/>
    <w:rsid w:val="00B332CB"/>
    <w:rsid w:val="00B33493"/>
    <w:rsid w:val="00B33494"/>
    <w:rsid w:val="00B336A3"/>
    <w:rsid w:val="00B336BF"/>
    <w:rsid w:val="00B33C54"/>
    <w:rsid w:val="00B33E67"/>
    <w:rsid w:val="00B33F8B"/>
    <w:rsid w:val="00B3400C"/>
    <w:rsid w:val="00B34194"/>
    <w:rsid w:val="00B3452F"/>
    <w:rsid w:val="00B34564"/>
    <w:rsid w:val="00B34630"/>
    <w:rsid w:val="00B34AF9"/>
    <w:rsid w:val="00B34F0D"/>
    <w:rsid w:val="00B34F20"/>
    <w:rsid w:val="00B352C0"/>
    <w:rsid w:val="00B3533D"/>
    <w:rsid w:val="00B35523"/>
    <w:rsid w:val="00B357C8"/>
    <w:rsid w:val="00B35996"/>
    <w:rsid w:val="00B35BF4"/>
    <w:rsid w:val="00B35E70"/>
    <w:rsid w:val="00B3614B"/>
    <w:rsid w:val="00B36749"/>
    <w:rsid w:val="00B36803"/>
    <w:rsid w:val="00B36921"/>
    <w:rsid w:val="00B36DE3"/>
    <w:rsid w:val="00B37757"/>
    <w:rsid w:val="00B37CC4"/>
    <w:rsid w:val="00B37D47"/>
    <w:rsid w:val="00B37DE1"/>
    <w:rsid w:val="00B37DFC"/>
    <w:rsid w:val="00B37EA2"/>
    <w:rsid w:val="00B37EF4"/>
    <w:rsid w:val="00B4040E"/>
    <w:rsid w:val="00B40760"/>
    <w:rsid w:val="00B409C0"/>
    <w:rsid w:val="00B409F4"/>
    <w:rsid w:val="00B40CD0"/>
    <w:rsid w:val="00B40E39"/>
    <w:rsid w:val="00B4135A"/>
    <w:rsid w:val="00B4141A"/>
    <w:rsid w:val="00B41471"/>
    <w:rsid w:val="00B414BD"/>
    <w:rsid w:val="00B4159C"/>
    <w:rsid w:val="00B41749"/>
    <w:rsid w:val="00B417DF"/>
    <w:rsid w:val="00B4197F"/>
    <w:rsid w:val="00B41AD3"/>
    <w:rsid w:val="00B42146"/>
    <w:rsid w:val="00B42270"/>
    <w:rsid w:val="00B426F8"/>
    <w:rsid w:val="00B42D23"/>
    <w:rsid w:val="00B42FC1"/>
    <w:rsid w:val="00B432AA"/>
    <w:rsid w:val="00B4361C"/>
    <w:rsid w:val="00B4387A"/>
    <w:rsid w:val="00B43A66"/>
    <w:rsid w:val="00B43B10"/>
    <w:rsid w:val="00B43D20"/>
    <w:rsid w:val="00B43D9C"/>
    <w:rsid w:val="00B43EE1"/>
    <w:rsid w:val="00B441DB"/>
    <w:rsid w:val="00B443C1"/>
    <w:rsid w:val="00B44422"/>
    <w:rsid w:val="00B44674"/>
    <w:rsid w:val="00B44915"/>
    <w:rsid w:val="00B44C24"/>
    <w:rsid w:val="00B45079"/>
    <w:rsid w:val="00B4556A"/>
    <w:rsid w:val="00B45626"/>
    <w:rsid w:val="00B45AF9"/>
    <w:rsid w:val="00B45B79"/>
    <w:rsid w:val="00B45B7A"/>
    <w:rsid w:val="00B461AD"/>
    <w:rsid w:val="00B46B64"/>
    <w:rsid w:val="00B46BDD"/>
    <w:rsid w:val="00B46C80"/>
    <w:rsid w:val="00B46CC1"/>
    <w:rsid w:val="00B46DBE"/>
    <w:rsid w:val="00B46FA3"/>
    <w:rsid w:val="00B470EA"/>
    <w:rsid w:val="00B47394"/>
    <w:rsid w:val="00B475A9"/>
    <w:rsid w:val="00B4799D"/>
    <w:rsid w:val="00B47A89"/>
    <w:rsid w:val="00B47B51"/>
    <w:rsid w:val="00B47D66"/>
    <w:rsid w:val="00B47E4F"/>
    <w:rsid w:val="00B47F0C"/>
    <w:rsid w:val="00B50331"/>
    <w:rsid w:val="00B50334"/>
    <w:rsid w:val="00B50C5A"/>
    <w:rsid w:val="00B50D1D"/>
    <w:rsid w:val="00B50DBD"/>
    <w:rsid w:val="00B50EB7"/>
    <w:rsid w:val="00B50EBE"/>
    <w:rsid w:val="00B50F67"/>
    <w:rsid w:val="00B50FFB"/>
    <w:rsid w:val="00B5135D"/>
    <w:rsid w:val="00B5160C"/>
    <w:rsid w:val="00B51A16"/>
    <w:rsid w:val="00B51BFA"/>
    <w:rsid w:val="00B51E10"/>
    <w:rsid w:val="00B51E46"/>
    <w:rsid w:val="00B51EB4"/>
    <w:rsid w:val="00B52323"/>
    <w:rsid w:val="00B5274E"/>
    <w:rsid w:val="00B52B71"/>
    <w:rsid w:val="00B52B80"/>
    <w:rsid w:val="00B52CCA"/>
    <w:rsid w:val="00B52D3E"/>
    <w:rsid w:val="00B52DCB"/>
    <w:rsid w:val="00B52E0E"/>
    <w:rsid w:val="00B530DC"/>
    <w:rsid w:val="00B5313E"/>
    <w:rsid w:val="00B53267"/>
    <w:rsid w:val="00B53387"/>
    <w:rsid w:val="00B534F0"/>
    <w:rsid w:val="00B53927"/>
    <w:rsid w:val="00B53AEF"/>
    <w:rsid w:val="00B53BC9"/>
    <w:rsid w:val="00B53D03"/>
    <w:rsid w:val="00B53E86"/>
    <w:rsid w:val="00B5417C"/>
    <w:rsid w:val="00B546E2"/>
    <w:rsid w:val="00B54AB4"/>
    <w:rsid w:val="00B55390"/>
    <w:rsid w:val="00B5548E"/>
    <w:rsid w:val="00B55AC6"/>
    <w:rsid w:val="00B55D56"/>
    <w:rsid w:val="00B55F9E"/>
    <w:rsid w:val="00B55FBA"/>
    <w:rsid w:val="00B560F0"/>
    <w:rsid w:val="00B56134"/>
    <w:rsid w:val="00B565E9"/>
    <w:rsid w:val="00B566BA"/>
    <w:rsid w:val="00B569A4"/>
    <w:rsid w:val="00B569B8"/>
    <w:rsid w:val="00B56CA8"/>
    <w:rsid w:val="00B570F1"/>
    <w:rsid w:val="00B571A4"/>
    <w:rsid w:val="00B57DC9"/>
    <w:rsid w:val="00B57E2F"/>
    <w:rsid w:val="00B6050E"/>
    <w:rsid w:val="00B60670"/>
    <w:rsid w:val="00B60689"/>
    <w:rsid w:val="00B60950"/>
    <w:rsid w:val="00B609BB"/>
    <w:rsid w:val="00B60D86"/>
    <w:rsid w:val="00B60DEB"/>
    <w:rsid w:val="00B6114D"/>
    <w:rsid w:val="00B6132E"/>
    <w:rsid w:val="00B613EC"/>
    <w:rsid w:val="00B615D3"/>
    <w:rsid w:val="00B61650"/>
    <w:rsid w:val="00B61EB6"/>
    <w:rsid w:val="00B62148"/>
    <w:rsid w:val="00B62226"/>
    <w:rsid w:val="00B626A3"/>
    <w:rsid w:val="00B62746"/>
    <w:rsid w:val="00B62954"/>
    <w:rsid w:val="00B62DAF"/>
    <w:rsid w:val="00B62E1E"/>
    <w:rsid w:val="00B62FE1"/>
    <w:rsid w:val="00B6392E"/>
    <w:rsid w:val="00B63BA9"/>
    <w:rsid w:val="00B63C03"/>
    <w:rsid w:val="00B64103"/>
    <w:rsid w:val="00B641A2"/>
    <w:rsid w:val="00B6429C"/>
    <w:rsid w:val="00B645D4"/>
    <w:rsid w:val="00B64AB2"/>
    <w:rsid w:val="00B651B0"/>
    <w:rsid w:val="00B651FC"/>
    <w:rsid w:val="00B65207"/>
    <w:rsid w:val="00B6522F"/>
    <w:rsid w:val="00B65343"/>
    <w:rsid w:val="00B654FC"/>
    <w:rsid w:val="00B65BE6"/>
    <w:rsid w:val="00B65C8F"/>
    <w:rsid w:val="00B65EDD"/>
    <w:rsid w:val="00B65FEF"/>
    <w:rsid w:val="00B6648B"/>
    <w:rsid w:val="00B665B6"/>
    <w:rsid w:val="00B66615"/>
    <w:rsid w:val="00B667B3"/>
    <w:rsid w:val="00B66D07"/>
    <w:rsid w:val="00B66D23"/>
    <w:rsid w:val="00B66DA9"/>
    <w:rsid w:val="00B66E04"/>
    <w:rsid w:val="00B67104"/>
    <w:rsid w:val="00B672A1"/>
    <w:rsid w:val="00B67333"/>
    <w:rsid w:val="00B673C4"/>
    <w:rsid w:val="00B67518"/>
    <w:rsid w:val="00B678D5"/>
    <w:rsid w:val="00B678D9"/>
    <w:rsid w:val="00B67CB0"/>
    <w:rsid w:val="00B67DB4"/>
    <w:rsid w:val="00B67DB7"/>
    <w:rsid w:val="00B67DC3"/>
    <w:rsid w:val="00B67E5F"/>
    <w:rsid w:val="00B70554"/>
    <w:rsid w:val="00B706D1"/>
    <w:rsid w:val="00B71015"/>
    <w:rsid w:val="00B71248"/>
    <w:rsid w:val="00B7127C"/>
    <w:rsid w:val="00B71B61"/>
    <w:rsid w:val="00B72018"/>
    <w:rsid w:val="00B72633"/>
    <w:rsid w:val="00B72965"/>
    <w:rsid w:val="00B72A38"/>
    <w:rsid w:val="00B72A3E"/>
    <w:rsid w:val="00B72DF7"/>
    <w:rsid w:val="00B72E6C"/>
    <w:rsid w:val="00B72F50"/>
    <w:rsid w:val="00B731DE"/>
    <w:rsid w:val="00B731EC"/>
    <w:rsid w:val="00B732C5"/>
    <w:rsid w:val="00B7354A"/>
    <w:rsid w:val="00B7396F"/>
    <w:rsid w:val="00B739B0"/>
    <w:rsid w:val="00B73A00"/>
    <w:rsid w:val="00B73AAF"/>
    <w:rsid w:val="00B73D41"/>
    <w:rsid w:val="00B73DE6"/>
    <w:rsid w:val="00B73DF3"/>
    <w:rsid w:val="00B73F25"/>
    <w:rsid w:val="00B741AF"/>
    <w:rsid w:val="00B7439A"/>
    <w:rsid w:val="00B74454"/>
    <w:rsid w:val="00B7465C"/>
    <w:rsid w:val="00B748CC"/>
    <w:rsid w:val="00B74A97"/>
    <w:rsid w:val="00B74B49"/>
    <w:rsid w:val="00B74B4A"/>
    <w:rsid w:val="00B74B7D"/>
    <w:rsid w:val="00B74FAA"/>
    <w:rsid w:val="00B75285"/>
    <w:rsid w:val="00B75485"/>
    <w:rsid w:val="00B75488"/>
    <w:rsid w:val="00B7555F"/>
    <w:rsid w:val="00B757AA"/>
    <w:rsid w:val="00B75824"/>
    <w:rsid w:val="00B758A5"/>
    <w:rsid w:val="00B75A8C"/>
    <w:rsid w:val="00B75E18"/>
    <w:rsid w:val="00B76067"/>
    <w:rsid w:val="00B76260"/>
    <w:rsid w:val="00B76399"/>
    <w:rsid w:val="00B76706"/>
    <w:rsid w:val="00B76E0E"/>
    <w:rsid w:val="00B76EBD"/>
    <w:rsid w:val="00B76ECE"/>
    <w:rsid w:val="00B77545"/>
    <w:rsid w:val="00B775BE"/>
    <w:rsid w:val="00B776CD"/>
    <w:rsid w:val="00B77801"/>
    <w:rsid w:val="00B80197"/>
    <w:rsid w:val="00B801A8"/>
    <w:rsid w:val="00B80214"/>
    <w:rsid w:val="00B80476"/>
    <w:rsid w:val="00B804E8"/>
    <w:rsid w:val="00B8064C"/>
    <w:rsid w:val="00B806CB"/>
    <w:rsid w:val="00B808E4"/>
    <w:rsid w:val="00B80A92"/>
    <w:rsid w:val="00B80C40"/>
    <w:rsid w:val="00B80E3E"/>
    <w:rsid w:val="00B80E47"/>
    <w:rsid w:val="00B81052"/>
    <w:rsid w:val="00B81156"/>
    <w:rsid w:val="00B81294"/>
    <w:rsid w:val="00B812BD"/>
    <w:rsid w:val="00B815B0"/>
    <w:rsid w:val="00B81879"/>
    <w:rsid w:val="00B81A78"/>
    <w:rsid w:val="00B81B6B"/>
    <w:rsid w:val="00B81C89"/>
    <w:rsid w:val="00B81E3E"/>
    <w:rsid w:val="00B82082"/>
    <w:rsid w:val="00B82321"/>
    <w:rsid w:val="00B8255F"/>
    <w:rsid w:val="00B825B0"/>
    <w:rsid w:val="00B8265B"/>
    <w:rsid w:val="00B82A7D"/>
    <w:rsid w:val="00B82C01"/>
    <w:rsid w:val="00B82C1F"/>
    <w:rsid w:val="00B82E52"/>
    <w:rsid w:val="00B8304C"/>
    <w:rsid w:val="00B83381"/>
    <w:rsid w:val="00B835A3"/>
    <w:rsid w:val="00B83E46"/>
    <w:rsid w:val="00B84184"/>
    <w:rsid w:val="00B843B6"/>
    <w:rsid w:val="00B84689"/>
    <w:rsid w:val="00B849C9"/>
    <w:rsid w:val="00B84A62"/>
    <w:rsid w:val="00B84D6B"/>
    <w:rsid w:val="00B84ED3"/>
    <w:rsid w:val="00B84F34"/>
    <w:rsid w:val="00B84F7F"/>
    <w:rsid w:val="00B853C7"/>
    <w:rsid w:val="00B85414"/>
    <w:rsid w:val="00B85465"/>
    <w:rsid w:val="00B85747"/>
    <w:rsid w:val="00B85FED"/>
    <w:rsid w:val="00B8645C"/>
    <w:rsid w:val="00B86801"/>
    <w:rsid w:val="00B86933"/>
    <w:rsid w:val="00B86BB1"/>
    <w:rsid w:val="00B86C48"/>
    <w:rsid w:val="00B87222"/>
    <w:rsid w:val="00B87258"/>
    <w:rsid w:val="00B87267"/>
    <w:rsid w:val="00B87688"/>
    <w:rsid w:val="00B8777E"/>
    <w:rsid w:val="00B87D7A"/>
    <w:rsid w:val="00B908F8"/>
    <w:rsid w:val="00B90B26"/>
    <w:rsid w:val="00B90D71"/>
    <w:rsid w:val="00B90DBE"/>
    <w:rsid w:val="00B90DC1"/>
    <w:rsid w:val="00B9101E"/>
    <w:rsid w:val="00B91027"/>
    <w:rsid w:val="00B9111B"/>
    <w:rsid w:val="00B911E7"/>
    <w:rsid w:val="00B91223"/>
    <w:rsid w:val="00B9141B"/>
    <w:rsid w:val="00B91487"/>
    <w:rsid w:val="00B917C1"/>
    <w:rsid w:val="00B91D5A"/>
    <w:rsid w:val="00B91F97"/>
    <w:rsid w:val="00B921B0"/>
    <w:rsid w:val="00B9259E"/>
    <w:rsid w:val="00B927CB"/>
    <w:rsid w:val="00B92CB2"/>
    <w:rsid w:val="00B92DCC"/>
    <w:rsid w:val="00B92FE6"/>
    <w:rsid w:val="00B93044"/>
    <w:rsid w:val="00B935F8"/>
    <w:rsid w:val="00B93D0B"/>
    <w:rsid w:val="00B93D3B"/>
    <w:rsid w:val="00B93E98"/>
    <w:rsid w:val="00B943FB"/>
    <w:rsid w:val="00B94914"/>
    <w:rsid w:val="00B94A79"/>
    <w:rsid w:val="00B94ADD"/>
    <w:rsid w:val="00B94C87"/>
    <w:rsid w:val="00B94D17"/>
    <w:rsid w:val="00B9505C"/>
    <w:rsid w:val="00B950CA"/>
    <w:rsid w:val="00B952F6"/>
    <w:rsid w:val="00B953B9"/>
    <w:rsid w:val="00B95491"/>
    <w:rsid w:val="00B95568"/>
    <w:rsid w:val="00B9557F"/>
    <w:rsid w:val="00B95AB2"/>
    <w:rsid w:val="00B95D4B"/>
    <w:rsid w:val="00B95D73"/>
    <w:rsid w:val="00B96316"/>
    <w:rsid w:val="00B963DB"/>
    <w:rsid w:val="00B964E1"/>
    <w:rsid w:val="00B9652D"/>
    <w:rsid w:val="00B965FD"/>
    <w:rsid w:val="00B96766"/>
    <w:rsid w:val="00B96C7F"/>
    <w:rsid w:val="00B96E51"/>
    <w:rsid w:val="00B970A0"/>
    <w:rsid w:val="00B97189"/>
    <w:rsid w:val="00B972E1"/>
    <w:rsid w:val="00B972F6"/>
    <w:rsid w:val="00B973EA"/>
    <w:rsid w:val="00B97429"/>
    <w:rsid w:val="00B977E4"/>
    <w:rsid w:val="00B97A18"/>
    <w:rsid w:val="00B97B3D"/>
    <w:rsid w:val="00BA015D"/>
    <w:rsid w:val="00BA0229"/>
    <w:rsid w:val="00BA0860"/>
    <w:rsid w:val="00BA0A8E"/>
    <w:rsid w:val="00BA0ECC"/>
    <w:rsid w:val="00BA139E"/>
    <w:rsid w:val="00BA17E4"/>
    <w:rsid w:val="00BA1A10"/>
    <w:rsid w:val="00BA1B35"/>
    <w:rsid w:val="00BA1B99"/>
    <w:rsid w:val="00BA1C72"/>
    <w:rsid w:val="00BA1D73"/>
    <w:rsid w:val="00BA2652"/>
    <w:rsid w:val="00BA2914"/>
    <w:rsid w:val="00BA2B6F"/>
    <w:rsid w:val="00BA2DD7"/>
    <w:rsid w:val="00BA3072"/>
    <w:rsid w:val="00BA30C7"/>
    <w:rsid w:val="00BA35C5"/>
    <w:rsid w:val="00BA3857"/>
    <w:rsid w:val="00BA3A00"/>
    <w:rsid w:val="00BA3CB8"/>
    <w:rsid w:val="00BA3CD8"/>
    <w:rsid w:val="00BA3CFD"/>
    <w:rsid w:val="00BA3D55"/>
    <w:rsid w:val="00BA4183"/>
    <w:rsid w:val="00BA449D"/>
    <w:rsid w:val="00BA45D8"/>
    <w:rsid w:val="00BA52B6"/>
    <w:rsid w:val="00BA5320"/>
    <w:rsid w:val="00BA532E"/>
    <w:rsid w:val="00BA5982"/>
    <w:rsid w:val="00BA5B32"/>
    <w:rsid w:val="00BA5B52"/>
    <w:rsid w:val="00BA5B9A"/>
    <w:rsid w:val="00BA5E53"/>
    <w:rsid w:val="00BA5ED7"/>
    <w:rsid w:val="00BA613A"/>
    <w:rsid w:val="00BA6226"/>
    <w:rsid w:val="00BA6510"/>
    <w:rsid w:val="00BA65AB"/>
    <w:rsid w:val="00BA688B"/>
    <w:rsid w:val="00BA6C06"/>
    <w:rsid w:val="00BA6DF7"/>
    <w:rsid w:val="00BA7246"/>
    <w:rsid w:val="00BA7262"/>
    <w:rsid w:val="00BA7269"/>
    <w:rsid w:val="00BA757B"/>
    <w:rsid w:val="00BA7AAD"/>
    <w:rsid w:val="00BA7AB6"/>
    <w:rsid w:val="00BA7B74"/>
    <w:rsid w:val="00BA7D3A"/>
    <w:rsid w:val="00BB0E11"/>
    <w:rsid w:val="00BB0F25"/>
    <w:rsid w:val="00BB0F4D"/>
    <w:rsid w:val="00BB10EA"/>
    <w:rsid w:val="00BB1119"/>
    <w:rsid w:val="00BB1628"/>
    <w:rsid w:val="00BB1803"/>
    <w:rsid w:val="00BB1837"/>
    <w:rsid w:val="00BB1857"/>
    <w:rsid w:val="00BB18C4"/>
    <w:rsid w:val="00BB1C14"/>
    <w:rsid w:val="00BB1CBA"/>
    <w:rsid w:val="00BB25A9"/>
    <w:rsid w:val="00BB27DE"/>
    <w:rsid w:val="00BB298C"/>
    <w:rsid w:val="00BB29AF"/>
    <w:rsid w:val="00BB2ABC"/>
    <w:rsid w:val="00BB2BE8"/>
    <w:rsid w:val="00BB2D92"/>
    <w:rsid w:val="00BB3461"/>
    <w:rsid w:val="00BB3619"/>
    <w:rsid w:val="00BB36B1"/>
    <w:rsid w:val="00BB372A"/>
    <w:rsid w:val="00BB3895"/>
    <w:rsid w:val="00BB3990"/>
    <w:rsid w:val="00BB3C0B"/>
    <w:rsid w:val="00BB3F05"/>
    <w:rsid w:val="00BB4035"/>
    <w:rsid w:val="00BB434B"/>
    <w:rsid w:val="00BB4485"/>
    <w:rsid w:val="00BB4AEA"/>
    <w:rsid w:val="00BB4B7E"/>
    <w:rsid w:val="00BB4F35"/>
    <w:rsid w:val="00BB5673"/>
    <w:rsid w:val="00BB5AAA"/>
    <w:rsid w:val="00BB5B80"/>
    <w:rsid w:val="00BB5EEC"/>
    <w:rsid w:val="00BB617F"/>
    <w:rsid w:val="00BB67F4"/>
    <w:rsid w:val="00BB6812"/>
    <w:rsid w:val="00BB68FD"/>
    <w:rsid w:val="00BB6C69"/>
    <w:rsid w:val="00BB70C8"/>
    <w:rsid w:val="00BB7218"/>
    <w:rsid w:val="00BB7227"/>
    <w:rsid w:val="00BB7410"/>
    <w:rsid w:val="00BB761A"/>
    <w:rsid w:val="00BB788E"/>
    <w:rsid w:val="00BB78D1"/>
    <w:rsid w:val="00BC0455"/>
    <w:rsid w:val="00BC0974"/>
    <w:rsid w:val="00BC0C75"/>
    <w:rsid w:val="00BC0E32"/>
    <w:rsid w:val="00BC0E33"/>
    <w:rsid w:val="00BC0F7E"/>
    <w:rsid w:val="00BC126B"/>
    <w:rsid w:val="00BC130F"/>
    <w:rsid w:val="00BC18C9"/>
    <w:rsid w:val="00BC1918"/>
    <w:rsid w:val="00BC1A76"/>
    <w:rsid w:val="00BC1AB4"/>
    <w:rsid w:val="00BC1B77"/>
    <w:rsid w:val="00BC1FFB"/>
    <w:rsid w:val="00BC2122"/>
    <w:rsid w:val="00BC23A5"/>
    <w:rsid w:val="00BC265E"/>
    <w:rsid w:val="00BC269F"/>
    <w:rsid w:val="00BC29C7"/>
    <w:rsid w:val="00BC2BC9"/>
    <w:rsid w:val="00BC2BE0"/>
    <w:rsid w:val="00BC2D2B"/>
    <w:rsid w:val="00BC2DB1"/>
    <w:rsid w:val="00BC2DD0"/>
    <w:rsid w:val="00BC33CF"/>
    <w:rsid w:val="00BC35A6"/>
    <w:rsid w:val="00BC38CE"/>
    <w:rsid w:val="00BC3991"/>
    <w:rsid w:val="00BC3FD0"/>
    <w:rsid w:val="00BC4609"/>
    <w:rsid w:val="00BC4B45"/>
    <w:rsid w:val="00BC4B70"/>
    <w:rsid w:val="00BC555E"/>
    <w:rsid w:val="00BC575C"/>
    <w:rsid w:val="00BC5923"/>
    <w:rsid w:val="00BC5A95"/>
    <w:rsid w:val="00BC5AD6"/>
    <w:rsid w:val="00BC61C4"/>
    <w:rsid w:val="00BC65D9"/>
    <w:rsid w:val="00BC683D"/>
    <w:rsid w:val="00BC69AA"/>
    <w:rsid w:val="00BC6B48"/>
    <w:rsid w:val="00BC6CC5"/>
    <w:rsid w:val="00BC6D68"/>
    <w:rsid w:val="00BC6DC4"/>
    <w:rsid w:val="00BC7240"/>
    <w:rsid w:val="00BC74D6"/>
    <w:rsid w:val="00BC76EA"/>
    <w:rsid w:val="00BC77EF"/>
    <w:rsid w:val="00BC79A6"/>
    <w:rsid w:val="00BC79B3"/>
    <w:rsid w:val="00BC7C7C"/>
    <w:rsid w:val="00BC7EEC"/>
    <w:rsid w:val="00BD0322"/>
    <w:rsid w:val="00BD05D8"/>
    <w:rsid w:val="00BD06E7"/>
    <w:rsid w:val="00BD0A2B"/>
    <w:rsid w:val="00BD0B00"/>
    <w:rsid w:val="00BD0C7F"/>
    <w:rsid w:val="00BD0CAD"/>
    <w:rsid w:val="00BD1838"/>
    <w:rsid w:val="00BD1891"/>
    <w:rsid w:val="00BD1BAB"/>
    <w:rsid w:val="00BD1CFD"/>
    <w:rsid w:val="00BD20C3"/>
    <w:rsid w:val="00BD216D"/>
    <w:rsid w:val="00BD2C72"/>
    <w:rsid w:val="00BD2CF3"/>
    <w:rsid w:val="00BD3003"/>
    <w:rsid w:val="00BD30D1"/>
    <w:rsid w:val="00BD33D9"/>
    <w:rsid w:val="00BD36DF"/>
    <w:rsid w:val="00BD3886"/>
    <w:rsid w:val="00BD3A20"/>
    <w:rsid w:val="00BD3C13"/>
    <w:rsid w:val="00BD3D49"/>
    <w:rsid w:val="00BD3E51"/>
    <w:rsid w:val="00BD3E6C"/>
    <w:rsid w:val="00BD3EC7"/>
    <w:rsid w:val="00BD3F08"/>
    <w:rsid w:val="00BD3F85"/>
    <w:rsid w:val="00BD4202"/>
    <w:rsid w:val="00BD4222"/>
    <w:rsid w:val="00BD446A"/>
    <w:rsid w:val="00BD460A"/>
    <w:rsid w:val="00BD4D9A"/>
    <w:rsid w:val="00BD4FEC"/>
    <w:rsid w:val="00BD503E"/>
    <w:rsid w:val="00BD5550"/>
    <w:rsid w:val="00BD559C"/>
    <w:rsid w:val="00BD56B8"/>
    <w:rsid w:val="00BD5802"/>
    <w:rsid w:val="00BD618C"/>
    <w:rsid w:val="00BD64BE"/>
    <w:rsid w:val="00BD6593"/>
    <w:rsid w:val="00BD6630"/>
    <w:rsid w:val="00BD6C37"/>
    <w:rsid w:val="00BD6DFD"/>
    <w:rsid w:val="00BD6FDD"/>
    <w:rsid w:val="00BD7460"/>
    <w:rsid w:val="00BD74BF"/>
    <w:rsid w:val="00BD7CA5"/>
    <w:rsid w:val="00BE0156"/>
    <w:rsid w:val="00BE05B9"/>
    <w:rsid w:val="00BE0AC6"/>
    <w:rsid w:val="00BE0F8B"/>
    <w:rsid w:val="00BE0F99"/>
    <w:rsid w:val="00BE101D"/>
    <w:rsid w:val="00BE1176"/>
    <w:rsid w:val="00BE12C9"/>
    <w:rsid w:val="00BE140E"/>
    <w:rsid w:val="00BE1529"/>
    <w:rsid w:val="00BE16AB"/>
    <w:rsid w:val="00BE1CB8"/>
    <w:rsid w:val="00BE1EB7"/>
    <w:rsid w:val="00BE2334"/>
    <w:rsid w:val="00BE23D6"/>
    <w:rsid w:val="00BE2550"/>
    <w:rsid w:val="00BE2748"/>
    <w:rsid w:val="00BE2A26"/>
    <w:rsid w:val="00BE2A83"/>
    <w:rsid w:val="00BE2A90"/>
    <w:rsid w:val="00BE2B6A"/>
    <w:rsid w:val="00BE2C59"/>
    <w:rsid w:val="00BE3137"/>
    <w:rsid w:val="00BE3459"/>
    <w:rsid w:val="00BE3651"/>
    <w:rsid w:val="00BE37FF"/>
    <w:rsid w:val="00BE39B4"/>
    <w:rsid w:val="00BE39DE"/>
    <w:rsid w:val="00BE3AD1"/>
    <w:rsid w:val="00BE3D57"/>
    <w:rsid w:val="00BE3DBE"/>
    <w:rsid w:val="00BE3E6B"/>
    <w:rsid w:val="00BE410A"/>
    <w:rsid w:val="00BE47DD"/>
    <w:rsid w:val="00BE48E6"/>
    <w:rsid w:val="00BE4DC7"/>
    <w:rsid w:val="00BE4DFE"/>
    <w:rsid w:val="00BE5116"/>
    <w:rsid w:val="00BE534A"/>
    <w:rsid w:val="00BE5ACB"/>
    <w:rsid w:val="00BE5ADF"/>
    <w:rsid w:val="00BE5B67"/>
    <w:rsid w:val="00BE5DD0"/>
    <w:rsid w:val="00BE5E4E"/>
    <w:rsid w:val="00BE5FB1"/>
    <w:rsid w:val="00BE6458"/>
    <w:rsid w:val="00BE6628"/>
    <w:rsid w:val="00BE6C18"/>
    <w:rsid w:val="00BE6CE4"/>
    <w:rsid w:val="00BE74FC"/>
    <w:rsid w:val="00BE74FD"/>
    <w:rsid w:val="00BE7598"/>
    <w:rsid w:val="00BE78AF"/>
    <w:rsid w:val="00BE7912"/>
    <w:rsid w:val="00BE7A5B"/>
    <w:rsid w:val="00BE7CF2"/>
    <w:rsid w:val="00BE7DC5"/>
    <w:rsid w:val="00BF000B"/>
    <w:rsid w:val="00BF0046"/>
    <w:rsid w:val="00BF0052"/>
    <w:rsid w:val="00BF026E"/>
    <w:rsid w:val="00BF044C"/>
    <w:rsid w:val="00BF04EA"/>
    <w:rsid w:val="00BF0757"/>
    <w:rsid w:val="00BF0A16"/>
    <w:rsid w:val="00BF0BA0"/>
    <w:rsid w:val="00BF0E35"/>
    <w:rsid w:val="00BF0F33"/>
    <w:rsid w:val="00BF132A"/>
    <w:rsid w:val="00BF16CF"/>
    <w:rsid w:val="00BF198A"/>
    <w:rsid w:val="00BF19BB"/>
    <w:rsid w:val="00BF1AF8"/>
    <w:rsid w:val="00BF24D5"/>
    <w:rsid w:val="00BF2509"/>
    <w:rsid w:val="00BF2632"/>
    <w:rsid w:val="00BF273C"/>
    <w:rsid w:val="00BF27F2"/>
    <w:rsid w:val="00BF2B0D"/>
    <w:rsid w:val="00BF2C55"/>
    <w:rsid w:val="00BF3073"/>
    <w:rsid w:val="00BF322D"/>
    <w:rsid w:val="00BF325C"/>
    <w:rsid w:val="00BF32B7"/>
    <w:rsid w:val="00BF330A"/>
    <w:rsid w:val="00BF3675"/>
    <w:rsid w:val="00BF3715"/>
    <w:rsid w:val="00BF38CD"/>
    <w:rsid w:val="00BF3B82"/>
    <w:rsid w:val="00BF3E3F"/>
    <w:rsid w:val="00BF4775"/>
    <w:rsid w:val="00BF4860"/>
    <w:rsid w:val="00BF48E2"/>
    <w:rsid w:val="00BF4BF3"/>
    <w:rsid w:val="00BF4EE4"/>
    <w:rsid w:val="00BF4F5C"/>
    <w:rsid w:val="00BF4F5D"/>
    <w:rsid w:val="00BF5122"/>
    <w:rsid w:val="00BF5455"/>
    <w:rsid w:val="00BF5B8E"/>
    <w:rsid w:val="00BF62E6"/>
    <w:rsid w:val="00BF63B6"/>
    <w:rsid w:val="00BF653F"/>
    <w:rsid w:val="00BF65A5"/>
    <w:rsid w:val="00BF676E"/>
    <w:rsid w:val="00BF6A44"/>
    <w:rsid w:val="00BF6B2D"/>
    <w:rsid w:val="00BF6E21"/>
    <w:rsid w:val="00BF6FD1"/>
    <w:rsid w:val="00BF7598"/>
    <w:rsid w:val="00BF7886"/>
    <w:rsid w:val="00C000A3"/>
    <w:rsid w:val="00C0042E"/>
    <w:rsid w:val="00C006A0"/>
    <w:rsid w:val="00C008E5"/>
    <w:rsid w:val="00C00E0A"/>
    <w:rsid w:val="00C00EDF"/>
    <w:rsid w:val="00C0102B"/>
    <w:rsid w:val="00C01169"/>
    <w:rsid w:val="00C012AF"/>
    <w:rsid w:val="00C01844"/>
    <w:rsid w:val="00C01876"/>
    <w:rsid w:val="00C018AE"/>
    <w:rsid w:val="00C018B1"/>
    <w:rsid w:val="00C01B16"/>
    <w:rsid w:val="00C01BB6"/>
    <w:rsid w:val="00C024A0"/>
    <w:rsid w:val="00C0297F"/>
    <w:rsid w:val="00C029D7"/>
    <w:rsid w:val="00C02BD0"/>
    <w:rsid w:val="00C02D1E"/>
    <w:rsid w:val="00C030FE"/>
    <w:rsid w:val="00C03530"/>
    <w:rsid w:val="00C036B9"/>
    <w:rsid w:val="00C0370B"/>
    <w:rsid w:val="00C03F43"/>
    <w:rsid w:val="00C03F48"/>
    <w:rsid w:val="00C03FD8"/>
    <w:rsid w:val="00C04513"/>
    <w:rsid w:val="00C04557"/>
    <w:rsid w:val="00C04AD4"/>
    <w:rsid w:val="00C04DD1"/>
    <w:rsid w:val="00C0502A"/>
    <w:rsid w:val="00C05121"/>
    <w:rsid w:val="00C05248"/>
    <w:rsid w:val="00C056C9"/>
    <w:rsid w:val="00C057EB"/>
    <w:rsid w:val="00C05900"/>
    <w:rsid w:val="00C05AE7"/>
    <w:rsid w:val="00C05EFF"/>
    <w:rsid w:val="00C05FFB"/>
    <w:rsid w:val="00C06179"/>
    <w:rsid w:val="00C06186"/>
    <w:rsid w:val="00C0691E"/>
    <w:rsid w:val="00C069F1"/>
    <w:rsid w:val="00C06BCE"/>
    <w:rsid w:val="00C06D0B"/>
    <w:rsid w:val="00C06DB4"/>
    <w:rsid w:val="00C06F28"/>
    <w:rsid w:val="00C06FD0"/>
    <w:rsid w:val="00C0707C"/>
    <w:rsid w:val="00C07267"/>
    <w:rsid w:val="00C0747B"/>
    <w:rsid w:val="00C076C2"/>
    <w:rsid w:val="00C07972"/>
    <w:rsid w:val="00C07E81"/>
    <w:rsid w:val="00C07ED2"/>
    <w:rsid w:val="00C10448"/>
    <w:rsid w:val="00C105C2"/>
    <w:rsid w:val="00C10978"/>
    <w:rsid w:val="00C109CB"/>
    <w:rsid w:val="00C10C9B"/>
    <w:rsid w:val="00C10CC1"/>
    <w:rsid w:val="00C10F6E"/>
    <w:rsid w:val="00C10F78"/>
    <w:rsid w:val="00C11561"/>
    <w:rsid w:val="00C117BA"/>
    <w:rsid w:val="00C11F2A"/>
    <w:rsid w:val="00C1200C"/>
    <w:rsid w:val="00C1249E"/>
    <w:rsid w:val="00C124C9"/>
    <w:rsid w:val="00C12554"/>
    <w:rsid w:val="00C1256A"/>
    <w:rsid w:val="00C127B6"/>
    <w:rsid w:val="00C12A64"/>
    <w:rsid w:val="00C12DD6"/>
    <w:rsid w:val="00C131E0"/>
    <w:rsid w:val="00C138AF"/>
    <w:rsid w:val="00C13C42"/>
    <w:rsid w:val="00C14C63"/>
    <w:rsid w:val="00C14F48"/>
    <w:rsid w:val="00C15021"/>
    <w:rsid w:val="00C151E3"/>
    <w:rsid w:val="00C152E3"/>
    <w:rsid w:val="00C1540D"/>
    <w:rsid w:val="00C154CD"/>
    <w:rsid w:val="00C15507"/>
    <w:rsid w:val="00C15671"/>
    <w:rsid w:val="00C158D3"/>
    <w:rsid w:val="00C158DA"/>
    <w:rsid w:val="00C160CD"/>
    <w:rsid w:val="00C165B2"/>
    <w:rsid w:val="00C16703"/>
    <w:rsid w:val="00C16AB2"/>
    <w:rsid w:val="00C16C05"/>
    <w:rsid w:val="00C17036"/>
    <w:rsid w:val="00C17188"/>
    <w:rsid w:val="00C17215"/>
    <w:rsid w:val="00C173AD"/>
    <w:rsid w:val="00C1758F"/>
    <w:rsid w:val="00C176AD"/>
    <w:rsid w:val="00C176CB"/>
    <w:rsid w:val="00C17B66"/>
    <w:rsid w:val="00C17DE5"/>
    <w:rsid w:val="00C17E68"/>
    <w:rsid w:val="00C17F3E"/>
    <w:rsid w:val="00C208D5"/>
    <w:rsid w:val="00C20B43"/>
    <w:rsid w:val="00C20CAB"/>
    <w:rsid w:val="00C20F7A"/>
    <w:rsid w:val="00C21163"/>
    <w:rsid w:val="00C2128A"/>
    <w:rsid w:val="00C214C5"/>
    <w:rsid w:val="00C214E6"/>
    <w:rsid w:val="00C2151A"/>
    <w:rsid w:val="00C219FD"/>
    <w:rsid w:val="00C21A38"/>
    <w:rsid w:val="00C21EAB"/>
    <w:rsid w:val="00C21F8F"/>
    <w:rsid w:val="00C220D3"/>
    <w:rsid w:val="00C224F6"/>
    <w:rsid w:val="00C2251E"/>
    <w:rsid w:val="00C225D6"/>
    <w:rsid w:val="00C22D7F"/>
    <w:rsid w:val="00C22EDF"/>
    <w:rsid w:val="00C23005"/>
    <w:rsid w:val="00C230B7"/>
    <w:rsid w:val="00C2346D"/>
    <w:rsid w:val="00C236F1"/>
    <w:rsid w:val="00C2374B"/>
    <w:rsid w:val="00C23C8C"/>
    <w:rsid w:val="00C23D8E"/>
    <w:rsid w:val="00C23EC1"/>
    <w:rsid w:val="00C240BF"/>
    <w:rsid w:val="00C240EE"/>
    <w:rsid w:val="00C24245"/>
    <w:rsid w:val="00C2479D"/>
    <w:rsid w:val="00C247BF"/>
    <w:rsid w:val="00C24BE2"/>
    <w:rsid w:val="00C24ED1"/>
    <w:rsid w:val="00C24F1D"/>
    <w:rsid w:val="00C24F6C"/>
    <w:rsid w:val="00C25159"/>
    <w:rsid w:val="00C253E2"/>
    <w:rsid w:val="00C25D5F"/>
    <w:rsid w:val="00C25EDE"/>
    <w:rsid w:val="00C26040"/>
    <w:rsid w:val="00C2662E"/>
    <w:rsid w:val="00C267C6"/>
    <w:rsid w:val="00C26CC7"/>
    <w:rsid w:val="00C27030"/>
    <w:rsid w:val="00C271E2"/>
    <w:rsid w:val="00C27518"/>
    <w:rsid w:val="00C275D2"/>
    <w:rsid w:val="00C2784F"/>
    <w:rsid w:val="00C27D1D"/>
    <w:rsid w:val="00C27F24"/>
    <w:rsid w:val="00C301B8"/>
    <w:rsid w:val="00C3023F"/>
    <w:rsid w:val="00C30438"/>
    <w:rsid w:val="00C304C5"/>
    <w:rsid w:val="00C30873"/>
    <w:rsid w:val="00C30902"/>
    <w:rsid w:val="00C30A74"/>
    <w:rsid w:val="00C30E82"/>
    <w:rsid w:val="00C3105A"/>
    <w:rsid w:val="00C31313"/>
    <w:rsid w:val="00C313F4"/>
    <w:rsid w:val="00C3143C"/>
    <w:rsid w:val="00C31610"/>
    <w:rsid w:val="00C31810"/>
    <w:rsid w:val="00C3184B"/>
    <w:rsid w:val="00C318E5"/>
    <w:rsid w:val="00C31D95"/>
    <w:rsid w:val="00C31DE4"/>
    <w:rsid w:val="00C31FBA"/>
    <w:rsid w:val="00C323D1"/>
    <w:rsid w:val="00C32576"/>
    <w:rsid w:val="00C325F9"/>
    <w:rsid w:val="00C32AFA"/>
    <w:rsid w:val="00C32C12"/>
    <w:rsid w:val="00C32C39"/>
    <w:rsid w:val="00C32E32"/>
    <w:rsid w:val="00C33D11"/>
    <w:rsid w:val="00C33DAD"/>
    <w:rsid w:val="00C348C9"/>
    <w:rsid w:val="00C34A49"/>
    <w:rsid w:val="00C34BAA"/>
    <w:rsid w:val="00C34F1C"/>
    <w:rsid w:val="00C35415"/>
    <w:rsid w:val="00C354E3"/>
    <w:rsid w:val="00C355EB"/>
    <w:rsid w:val="00C35967"/>
    <w:rsid w:val="00C35BF9"/>
    <w:rsid w:val="00C35D6A"/>
    <w:rsid w:val="00C35E06"/>
    <w:rsid w:val="00C35FB5"/>
    <w:rsid w:val="00C36132"/>
    <w:rsid w:val="00C36168"/>
    <w:rsid w:val="00C362BB"/>
    <w:rsid w:val="00C36535"/>
    <w:rsid w:val="00C3665A"/>
    <w:rsid w:val="00C36775"/>
    <w:rsid w:val="00C367B2"/>
    <w:rsid w:val="00C36B06"/>
    <w:rsid w:val="00C36C89"/>
    <w:rsid w:val="00C36D6D"/>
    <w:rsid w:val="00C36FA9"/>
    <w:rsid w:val="00C3708F"/>
    <w:rsid w:val="00C3728B"/>
    <w:rsid w:val="00C373CB"/>
    <w:rsid w:val="00C37705"/>
    <w:rsid w:val="00C378EA"/>
    <w:rsid w:val="00C37BC1"/>
    <w:rsid w:val="00C37C88"/>
    <w:rsid w:val="00C37DE9"/>
    <w:rsid w:val="00C37FB8"/>
    <w:rsid w:val="00C401D1"/>
    <w:rsid w:val="00C40483"/>
    <w:rsid w:val="00C407AB"/>
    <w:rsid w:val="00C40AAF"/>
    <w:rsid w:val="00C40C50"/>
    <w:rsid w:val="00C40CDB"/>
    <w:rsid w:val="00C40F89"/>
    <w:rsid w:val="00C41695"/>
    <w:rsid w:val="00C41B04"/>
    <w:rsid w:val="00C41D3E"/>
    <w:rsid w:val="00C41D69"/>
    <w:rsid w:val="00C41F7A"/>
    <w:rsid w:val="00C42042"/>
    <w:rsid w:val="00C4265D"/>
    <w:rsid w:val="00C42674"/>
    <w:rsid w:val="00C428A6"/>
    <w:rsid w:val="00C42D3F"/>
    <w:rsid w:val="00C43119"/>
    <w:rsid w:val="00C43719"/>
    <w:rsid w:val="00C43908"/>
    <w:rsid w:val="00C43B4A"/>
    <w:rsid w:val="00C43C91"/>
    <w:rsid w:val="00C43CEA"/>
    <w:rsid w:val="00C44069"/>
    <w:rsid w:val="00C443DF"/>
    <w:rsid w:val="00C44476"/>
    <w:rsid w:val="00C4500C"/>
    <w:rsid w:val="00C4504E"/>
    <w:rsid w:val="00C45414"/>
    <w:rsid w:val="00C4545E"/>
    <w:rsid w:val="00C4574A"/>
    <w:rsid w:val="00C458FE"/>
    <w:rsid w:val="00C45A54"/>
    <w:rsid w:val="00C45C73"/>
    <w:rsid w:val="00C4629F"/>
    <w:rsid w:val="00C463D5"/>
    <w:rsid w:val="00C4644A"/>
    <w:rsid w:val="00C464FE"/>
    <w:rsid w:val="00C46575"/>
    <w:rsid w:val="00C465E1"/>
    <w:rsid w:val="00C467FD"/>
    <w:rsid w:val="00C46812"/>
    <w:rsid w:val="00C46AA1"/>
    <w:rsid w:val="00C46D27"/>
    <w:rsid w:val="00C472B8"/>
    <w:rsid w:val="00C472DF"/>
    <w:rsid w:val="00C4730A"/>
    <w:rsid w:val="00C4751E"/>
    <w:rsid w:val="00C4751F"/>
    <w:rsid w:val="00C47594"/>
    <w:rsid w:val="00C47A2C"/>
    <w:rsid w:val="00C47AA1"/>
    <w:rsid w:val="00C47C2D"/>
    <w:rsid w:val="00C50676"/>
    <w:rsid w:val="00C50A03"/>
    <w:rsid w:val="00C50D39"/>
    <w:rsid w:val="00C50EB3"/>
    <w:rsid w:val="00C5100D"/>
    <w:rsid w:val="00C51307"/>
    <w:rsid w:val="00C51415"/>
    <w:rsid w:val="00C5156D"/>
    <w:rsid w:val="00C517CA"/>
    <w:rsid w:val="00C51864"/>
    <w:rsid w:val="00C51878"/>
    <w:rsid w:val="00C51A6C"/>
    <w:rsid w:val="00C51B2B"/>
    <w:rsid w:val="00C523B3"/>
    <w:rsid w:val="00C524BE"/>
    <w:rsid w:val="00C5277B"/>
    <w:rsid w:val="00C52BF3"/>
    <w:rsid w:val="00C52DED"/>
    <w:rsid w:val="00C52F8C"/>
    <w:rsid w:val="00C531B8"/>
    <w:rsid w:val="00C53708"/>
    <w:rsid w:val="00C53728"/>
    <w:rsid w:val="00C53955"/>
    <w:rsid w:val="00C53A76"/>
    <w:rsid w:val="00C53BAC"/>
    <w:rsid w:val="00C53E5D"/>
    <w:rsid w:val="00C53ED9"/>
    <w:rsid w:val="00C53F6B"/>
    <w:rsid w:val="00C540EA"/>
    <w:rsid w:val="00C54667"/>
    <w:rsid w:val="00C54668"/>
    <w:rsid w:val="00C546C6"/>
    <w:rsid w:val="00C5472E"/>
    <w:rsid w:val="00C548E5"/>
    <w:rsid w:val="00C54DFB"/>
    <w:rsid w:val="00C55124"/>
    <w:rsid w:val="00C552C8"/>
    <w:rsid w:val="00C5537A"/>
    <w:rsid w:val="00C55395"/>
    <w:rsid w:val="00C55402"/>
    <w:rsid w:val="00C5552B"/>
    <w:rsid w:val="00C5579F"/>
    <w:rsid w:val="00C5599F"/>
    <w:rsid w:val="00C55A42"/>
    <w:rsid w:val="00C55BED"/>
    <w:rsid w:val="00C55D4D"/>
    <w:rsid w:val="00C56A0D"/>
    <w:rsid w:val="00C56E99"/>
    <w:rsid w:val="00C5700F"/>
    <w:rsid w:val="00C5723C"/>
    <w:rsid w:val="00C576C3"/>
    <w:rsid w:val="00C576E5"/>
    <w:rsid w:val="00C57ADB"/>
    <w:rsid w:val="00C57B31"/>
    <w:rsid w:val="00C57BC4"/>
    <w:rsid w:val="00C57C19"/>
    <w:rsid w:val="00C60337"/>
    <w:rsid w:val="00C60372"/>
    <w:rsid w:val="00C6054F"/>
    <w:rsid w:val="00C605B6"/>
    <w:rsid w:val="00C60659"/>
    <w:rsid w:val="00C6066C"/>
    <w:rsid w:val="00C606D0"/>
    <w:rsid w:val="00C606E8"/>
    <w:rsid w:val="00C607C3"/>
    <w:rsid w:val="00C60C67"/>
    <w:rsid w:val="00C612E0"/>
    <w:rsid w:val="00C61516"/>
    <w:rsid w:val="00C61646"/>
    <w:rsid w:val="00C616E3"/>
    <w:rsid w:val="00C61834"/>
    <w:rsid w:val="00C61856"/>
    <w:rsid w:val="00C618C3"/>
    <w:rsid w:val="00C61916"/>
    <w:rsid w:val="00C619ED"/>
    <w:rsid w:val="00C61E6A"/>
    <w:rsid w:val="00C62091"/>
    <w:rsid w:val="00C62171"/>
    <w:rsid w:val="00C62699"/>
    <w:rsid w:val="00C626A2"/>
    <w:rsid w:val="00C62853"/>
    <w:rsid w:val="00C62975"/>
    <w:rsid w:val="00C629C6"/>
    <w:rsid w:val="00C62E15"/>
    <w:rsid w:val="00C62E42"/>
    <w:rsid w:val="00C62F90"/>
    <w:rsid w:val="00C63051"/>
    <w:rsid w:val="00C630A4"/>
    <w:rsid w:val="00C632C3"/>
    <w:rsid w:val="00C636CC"/>
    <w:rsid w:val="00C6371E"/>
    <w:rsid w:val="00C6376F"/>
    <w:rsid w:val="00C6386F"/>
    <w:rsid w:val="00C63F0A"/>
    <w:rsid w:val="00C63F38"/>
    <w:rsid w:val="00C640FD"/>
    <w:rsid w:val="00C641E9"/>
    <w:rsid w:val="00C64322"/>
    <w:rsid w:val="00C646E0"/>
    <w:rsid w:val="00C646F0"/>
    <w:rsid w:val="00C647CC"/>
    <w:rsid w:val="00C648E2"/>
    <w:rsid w:val="00C6492D"/>
    <w:rsid w:val="00C64AF1"/>
    <w:rsid w:val="00C64B75"/>
    <w:rsid w:val="00C64CA8"/>
    <w:rsid w:val="00C64E07"/>
    <w:rsid w:val="00C652DA"/>
    <w:rsid w:val="00C65572"/>
    <w:rsid w:val="00C65655"/>
    <w:rsid w:val="00C657DD"/>
    <w:rsid w:val="00C65A5E"/>
    <w:rsid w:val="00C65A69"/>
    <w:rsid w:val="00C65A6A"/>
    <w:rsid w:val="00C65D4F"/>
    <w:rsid w:val="00C66083"/>
    <w:rsid w:val="00C66225"/>
    <w:rsid w:val="00C662B0"/>
    <w:rsid w:val="00C663FE"/>
    <w:rsid w:val="00C6645A"/>
    <w:rsid w:val="00C66482"/>
    <w:rsid w:val="00C66555"/>
    <w:rsid w:val="00C66878"/>
    <w:rsid w:val="00C66ABC"/>
    <w:rsid w:val="00C66B3A"/>
    <w:rsid w:val="00C66C0D"/>
    <w:rsid w:val="00C66F28"/>
    <w:rsid w:val="00C67001"/>
    <w:rsid w:val="00C67495"/>
    <w:rsid w:val="00C67507"/>
    <w:rsid w:val="00C6787B"/>
    <w:rsid w:val="00C67D4A"/>
    <w:rsid w:val="00C70017"/>
    <w:rsid w:val="00C7026C"/>
    <w:rsid w:val="00C7031D"/>
    <w:rsid w:val="00C704C0"/>
    <w:rsid w:val="00C704C9"/>
    <w:rsid w:val="00C70720"/>
    <w:rsid w:val="00C70A1C"/>
    <w:rsid w:val="00C70BC1"/>
    <w:rsid w:val="00C70ED2"/>
    <w:rsid w:val="00C71189"/>
    <w:rsid w:val="00C71357"/>
    <w:rsid w:val="00C71824"/>
    <w:rsid w:val="00C71889"/>
    <w:rsid w:val="00C7198A"/>
    <w:rsid w:val="00C72074"/>
    <w:rsid w:val="00C7217C"/>
    <w:rsid w:val="00C7228A"/>
    <w:rsid w:val="00C7233C"/>
    <w:rsid w:val="00C72406"/>
    <w:rsid w:val="00C7288A"/>
    <w:rsid w:val="00C72BA9"/>
    <w:rsid w:val="00C72C42"/>
    <w:rsid w:val="00C732CF"/>
    <w:rsid w:val="00C737F5"/>
    <w:rsid w:val="00C73805"/>
    <w:rsid w:val="00C738CF"/>
    <w:rsid w:val="00C73A42"/>
    <w:rsid w:val="00C73B99"/>
    <w:rsid w:val="00C73CD4"/>
    <w:rsid w:val="00C73DD4"/>
    <w:rsid w:val="00C74147"/>
    <w:rsid w:val="00C74327"/>
    <w:rsid w:val="00C7442A"/>
    <w:rsid w:val="00C75517"/>
    <w:rsid w:val="00C75619"/>
    <w:rsid w:val="00C75861"/>
    <w:rsid w:val="00C75A74"/>
    <w:rsid w:val="00C75C38"/>
    <w:rsid w:val="00C75FB2"/>
    <w:rsid w:val="00C76077"/>
    <w:rsid w:val="00C76228"/>
    <w:rsid w:val="00C764E4"/>
    <w:rsid w:val="00C76BB9"/>
    <w:rsid w:val="00C76C31"/>
    <w:rsid w:val="00C76E57"/>
    <w:rsid w:val="00C770CE"/>
    <w:rsid w:val="00C7724F"/>
    <w:rsid w:val="00C77281"/>
    <w:rsid w:val="00C777A7"/>
    <w:rsid w:val="00C777E9"/>
    <w:rsid w:val="00C77804"/>
    <w:rsid w:val="00C805D9"/>
    <w:rsid w:val="00C80A72"/>
    <w:rsid w:val="00C80AF3"/>
    <w:rsid w:val="00C80C7A"/>
    <w:rsid w:val="00C8110D"/>
    <w:rsid w:val="00C81331"/>
    <w:rsid w:val="00C81975"/>
    <w:rsid w:val="00C81BF0"/>
    <w:rsid w:val="00C82166"/>
    <w:rsid w:val="00C82540"/>
    <w:rsid w:val="00C82624"/>
    <w:rsid w:val="00C82EBF"/>
    <w:rsid w:val="00C82ED3"/>
    <w:rsid w:val="00C82FB5"/>
    <w:rsid w:val="00C83405"/>
    <w:rsid w:val="00C834C9"/>
    <w:rsid w:val="00C83613"/>
    <w:rsid w:val="00C83958"/>
    <w:rsid w:val="00C83F9A"/>
    <w:rsid w:val="00C83FEA"/>
    <w:rsid w:val="00C84324"/>
    <w:rsid w:val="00C8434D"/>
    <w:rsid w:val="00C84898"/>
    <w:rsid w:val="00C848A0"/>
    <w:rsid w:val="00C84A98"/>
    <w:rsid w:val="00C84AE5"/>
    <w:rsid w:val="00C84D61"/>
    <w:rsid w:val="00C850F8"/>
    <w:rsid w:val="00C85145"/>
    <w:rsid w:val="00C85608"/>
    <w:rsid w:val="00C859B5"/>
    <w:rsid w:val="00C85B6F"/>
    <w:rsid w:val="00C86183"/>
    <w:rsid w:val="00C86245"/>
    <w:rsid w:val="00C86370"/>
    <w:rsid w:val="00C867AE"/>
    <w:rsid w:val="00C867E1"/>
    <w:rsid w:val="00C86D7B"/>
    <w:rsid w:val="00C86EEC"/>
    <w:rsid w:val="00C87296"/>
    <w:rsid w:val="00C87318"/>
    <w:rsid w:val="00C873A0"/>
    <w:rsid w:val="00C875F0"/>
    <w:rsid w:val="00C8771A"/>
    <w:rsid w:val="00C87A85"/>
    <w:rsid w:val="00C904A8"/>
    <w:rsid w:val="00C90603"/>
    <w:rsid w:val="00C90DA1"/>
    <w:rsid w:val="00C90F11"/>
    <w:rsid w:val="00C9131E"/>
    <w:rsid w:val="00C915A0"/>
    <w:rsid w:val="00C9185A"/>
    <w:rsid w:val="00C919DA"/>
    <w:rsid w:val="00C91A1D"/>
    <w:rsid w:val="00C91AB0"/>
    <w:rsid w:val="00C91BE3"/>
    <w:rsid w:val="00C91E07"/>
    <w:rsid w:val="00C91E8F"/>
    <w:rsid w:val="00C91F7A"/>
    <w:rsid w:val="00C9215C"/>
    <w:rsid w:val="00C92222"/>
    <w:rsid w:val="00C9268B"/>
    <w:rsid w:val="00C9268D"/>
    <w:rsid w:val="00C92957"/>
    <w:rsid w:val="00C92C0C"/>
    <w:rsid w:val="00C92CFA"/>
    <w:rsid w:val="00C92F0A"/>
    <w:rsid w:val="00C92F77"/>
    <w:rsid w:val="00C93579"/>
    <w:rsid w:val="00C937E9"/>
    <w:rsid w:val="00C93A91"/>
    <w:rsid w:val="00C93CB0"/>
    <w:rsid w:val="00C941E2"/>
    <w:rsid w:val="00C942CD"/>
    <w:rsid w:val="00C945E1"/>
    <w:rsid w:val="00C9501F"/>
    <w:rsid w:val="00C95083"/>
    <w:rsid w:val="00C953CB"/>
    <w:rsid w:val="00C954B0"/>
    <w:rsid w:val="00C95639"/>
    <w:rsid w:val="00C95761"/>
    <w:rsid w:val="00C95ED5"/>
    <w:rsid w:val="00C9653E"/>
    <w:rsid w:val="00C966AC"/>
    <w:rsid w:val="00C969DE"/>
    <w:rsid w:val="00C96B91"/>
    <w:rsid w:val="00C96FEF"/>
    <w:rsid w:val="00C97969"/>
    <w:rsid w:val="00C97AB4"/>
    <w:rsid w:val="00C97ADC"/>
    <w:rsid w:val="00C97BE8"/>
    <w:rsid w:val="00C97D4F"/>
    <w:rsid w:val="00C97E64"/>
    <w:rsid w:val="00CA0104"/>
    <w:rsid w:val="00CA0188"/>
    <w:rsid w:val="00CA03B4"/>
    <w:rsid w:val="00CA0416"/>
    <w:rsid w:val="00CA04BA"/>
    <w:rsid w:val="00CA0576"/>
    <w:rsid w:val="00CA05D1"/>
    <w:rsid w:val="00CA0719"/>
    <w:rsid w:val="00CA0739"/>
    <w:rsid w:val="00CA07B2"/>
    <w:rsid w:val="00CA09D3"/>
    <w:rsid w:val="00CA0C34"/>
    <w:rsid w:val="00CA0D7E"/>
    <w:rsid w:val="00CA0E1E"/>
    <w:rsid w:val="00CA0FA1"/>
    <w:rsid w:val="00CA114E"/>
    <w:rsid w:val="00CA19B2"/>
    <w:rsid w:val="00CA1B6B"/>
    <w:rsid w:val="00CA1C6C"/>
    <w:rsid w:val="00CA1C94"/>
    <w:rsid w:val="00CA23ED"/>
    <w:rsid w:val="00CA24D9"/>
    <w:rsid w:val="00CA2EE2"/>
    <w:rsid w:val="00CA326D"/>
    <w:rsid w:val="00CA388C"/>
    <w:rsid w:val="00CA3942"/>
    <w:rsid w:val="00CA3ABD"/>
    <w:rsid w:val="00CA3AD1"/>
    <w:rsid w:val="00CA3CDD"/>
    <w:rsid w:val="00CA3D2D"/>
    <w:rsid w:val="00CA3DCC"/>
    <w:rsid w:val="00CA404F"/>
    <w:rsid w:val="00CA43B9"/>
    <w:rsid w:val="00CA463C"/>
    <w:rsid w:val="00CA474B"/>
    <w:rsid w:val="00CA4760"/>
    <w:rsid w:val="00CA4863"/>
    <w:rsid w:val="00CA4C2D"/>
    <w:rsid w:val="00CA4C6A"/>
    <w:rsid w:val="00CA51C3"/>
    <w:rsid w:val="00CA5B28"/>
    <w:rsid w:val="00CA5CEA"/>
    <w:rsid w:val="00CA5D19"/>
    <w:rsid w:val="00CA633D"/>
    <w:rsid w:val="00CA63D9"/>
    <w:rsid w:val="00CA6598"/>
    <w:rsid w:val="00CA6759"/>
    <w:rsid w:val="00CA6CB0"/>
    <w:rsid w:val="00CA76F9"/>
    <w:rsid w:val="00CA7700"/>
    <w:rsid w:val="00CA7755"/>
    <w:rsid w:val="00CA776B"/>
    <w:rsid w:val="00CA7A40"/>
    <w:rsid w:val="00CA7AA0"/>
    <w:rsid w:val="00CA7BAC"/>
    <w:rsid w:val="00CA7E32"/>
    <w:rsid w:val="00CB0237"/>
    <w:rsid w:val="00CB0447"/>
    <w:rsid w:val="00CB053B"/>
    <w:rsid w:val="00CB0729"/>
    <w:rsid w:val="00CB074A"/>
    <w:rsid w:val="00CB07D9"/>
    <w:rsid w:val="00CB08CA"/>
    <w:rsid w:val="00CB09B7"/>
    <w:rsid w:val="00CB0F1F"/>
    <w:rsid w:val="00CB0F7E"/>
    <w:rsid w:val="00CB102A"/>
    <w:rsid w:val="00CB1792"/>
    <w:rsid w:val="00CB184E"/>
    <w:rsid w:val="00CB202F"/>
    <w:rsid w:val="00CB224B"/>
    <w:rsid w:val="00CB23F7"/>
    <w:rsid w:val="00CB257A"/>
    <w:rsid w:val="00CB2643"/>
    <w:rsid w:val="00CB2775"/>
    <w:rsid w:val="00CB2EB3"/>
    <w:rsid w:val="00CB346D"/>
    <w:rsid w:val="00CB34E4"/>
    <w:rsid w:val="00CB3621"/>
    <w:rsid w:val="00CB373A"/>
    <w:rsid w:val="00CB38DE"/>
    <w:rsid w:val="00CB3CD5"/>
    <w:rsid w:val="00CB400B"/>
    <w:rsid w:val="00CB4184"/>
    <w:rsid w:val="00CB41DB"/>
    <w:rsid w:val="00CB421E"/>
    <w:rsid w:val="00CB469E"/>
    <w:rsid w:val="00CB486E"/>
    <w:rsid w:val="00CB494A"/>
    <w:rsid w:val="00CB4995"/>
    <w:rsid w:val="00CB4D0B"/>
    <w:rsid w:val="00CB50D9"/>
    <w:rsid w:val="00CB52FD"/>
    <w:rsid w:val="00CB5470"/>
    <w:rsid w:val="00CB56EC"/>
    <w:rsid w:val="00CB56F2"/>
    <w:rsid w:val="00CB5A25"/>
    <w:rsid w:val="00CB5B93"/>
    <w:rsid w:val="00CB5E6C"/>
    <w:rsid w:val="00CB5F55"/>
    <w:rsid w:val="00CB623C"/>
    <w:rsid w:val="00CB6428"/>
    <w:rsid w:val="00CB6733"/>
    <w:rsid w:val="00CB6737"/>
    <w:rsid w:val="00CB6A01"/>
    <w:rsid w:val="00CB6FA6"/>
    <w:rsid w:val="00CB7274"/>
    <w:rsid w:val="00CB72C9"/>
    <w:rsid w:val="00CB740D"/>
    <w:rsid w:val="00CB7483"/>
    <w:rsid w:val="00CB78B6"/>
    <w:rsid w:val="00CB7B22"/>
    <w:rsid w:val="00CB7C1B"/>
    <w:rsid w:val="00CB7C5C"/>
    <w:rsid w:val="00CB7DE0"/>
    <w:rsid w:val="00CC0543"/>
    <w:rsid w:val="00CC05D3"/>
    <w:rsid w:val="00CC0609"/>
    <w:rsid w:val="00CC071E"/>
    <w:rsid w:val="00CC083E"/>
    <w:rsid w:val="00CC09B2"/>
    <w:rsid w:val="00CC1463"/>
    <w:rsid w:val="00CC158D"/>
    <w:rsid w:val="00CC168E"/>
    <w:rsid w:val="00CC1C59"/>
    <w:rsid w:val="00CC1D4B"/>
    <w:rsid w:val="00CC1E96"/>
    <w:rsid w:val="00CC20BF"/>
    <w:rsid w:val="00CC2255"/>
    <w:rsid w:val="00CC237C"/>
    <w:rsid w:val="00CC2381"/>
    <w:rsid w:val="00CC246F"/>
    <w:rsid w:val="00CC25A8"/>
    <w:rsid w:val="00CC263C"/>
    <w:rsid w:val="00CC2E07"/>
    <w:rsid w:val="00CC31E7"/>
    <w:rsid w:val="00CC3491"/>
    <w:rsid w:val="00CC3A21"/>
    <w:rsid w:val="00CC3A34"/>
    <w:rsid w:val="00CC3CEC"/>
    <w:rsid w:val="00CC3DC2"/>
    <w:rsid w:val="00CC3F89"/>
    <w:rsid w:val="00CC40EB"/>
    <w:rsid w:val="00CC4179"/>
    <w:rsid w:val="00CC4314"/>
    <w:rsid w:val="00CC4522"/>
    <w:rsid w:val="00CC474D"/>
    <w:rsid w:val="00CC4818"/>
    <w:rsid w:val="00CC49F5"/>
    <w:rsid w:val="00CC4B9D"/>
    <w:rsid w:val="00CC4FFC"/>
    <w:rsid w:val="00CC50F1"/>
    <w:rsid w:val="00CC5105"/>
    <w:rsid w:val="00CC5180"/>
    <w:rsid w:val="00CC51D6"/>
    <w:rsid w:val="00CC5280"/>
    <w:rsid w:val="00CC52A6"/>
    <w:rsid w:val="00CC554A"/>
    <w:rsid w:val="00CC5C70"/>
    <w:rsid w:val="00CC5DBC"/>
    <w:rsid w:val="00CC60DD"/>
    <w:rsid w:val="00CC6139"/>
    <w:rsid w:val="00CC6282"/>
    <w:rsid w:val="00CC67AF"/>
    <w:rsid w:val="00CC6897"/>
    <w:rsid w:val="00CC68DC"/>
    <w:rsid w:val="00CC6A7E"/>
    <w:rsid w:val="00CC6F8F"/>
    <w:rsid w:val="00CC745A"/>
    <w:rsid w:val="00CC7832"/>
    <w:rsid w:val="00CC783C"/>
    <w:rsid w:val="00CC7E1E"/>
    <w:rsid w:val="00CC7E5C"/>
    <w:rsid w:val="00CC7FD7"/>
    <w:rsid w:val="00CD0113"/>
    <w:rsid w:val="00CD0127"/>
    <w:rsid w:val="00CD028A"/>
    <w:rsid w:val="00CD052F"/>
    <w:rsid w:val="00CD05A1"/>
    <w:rsid w:val="00CD0667"/>
    <w:rsid w:val="00CD06E4"/>
    <w:rsid w:val="00CD076C"/>
    <w:rsid w:val="00CD07A1"/>
    <w:rsid w:val="00CD087F"/>
    <w:rsid w:val="00CD0AD1"/>
    <w:rsid w:val="00CD0E95"/>
    <w:rsid w:val="00CD13A4"/>
    <w:rsid w:val="00CD18D9"/>
    <w:rsid w:val="00CD19EB"/>
    <w:rsid w:val="00CD1B28"/>
    <w:rsid w:val="00CD1B29"/>
    <w:rsid w:val="00CD1C40"/>
    <w:rsid w:val="00CD1E87"/>
    <w:rsid w:val="00CD2013"/>
    <w:rsid w:val="00CD208C"/>
    <w:rsid w:val="00CD2242"/>
    <w:rsid w:val="00CD22BE"/>
    <w:rsid w:val="00CD249B"/>
    <w:rsid w:val="00CD2523"/>
    <w:rsid w:val="00CD2912"/>
    <w:rsid w:val="00CD291D"/>
    <w:rsid w:val="00CD2E1F"/>
    <w:rsid w:val="00CD2EB3"/>
    <w:rsid w:val="00CD30ED"/>
    <w:rsid w:val="00CD3197"/>
    <w:rsid w:val="00CD34DD"/>
    <w:rsid w:val="00CD34FA"/>
    <w:rsid w:val="00CD3544"/>
    <w:rsid w:val="00CD37E0"/>
    <w:rsid w:val="00CD3E8B"/>
    <w:rsid w:val="00CD41DD"/>
    <w:rsid w:val="00CD47F2"/>
    <w:rsid w:val="00CD4E1C"/>
    <w:rsid w:val="00CD4EBB"/>
    <w:rsid w:val="00CD5571"/>
    <w:rsid w:val="00CD5775"/>
    <w:rsid w:val="00CD5991"/>
    <w:rsid w:val="00CD5AC0"/>
    <w:rsid w:val="00CD5DA8"/>
    <w:rsid w:val="00CD5DAA"/>
    <w:rsid w:val="00CD5F0A"/>
    <w:rsid w:val="00CD5F4D"/>
    <w:rsid w:val="00CD6331"/>
    <w:rsid w:val="00CD64C9"/>
    <w:rsid w:val="00CD6540"/>
    <w:rsid w:val="00CD6703"/>
    <w:rsid w:val="00CD6A12"/>
    <w:rsid w:val="00CD6DD4"/>
    <w:rsid w:val="00CD6F3A"/>
    <w:rsid w:val="00CD730B"/>
    <w:rsid w:val="00CD7314"/>
    <w:rsid w:val="00CD7479"/>
    <w:rsid w:val="00CD756A"/>
    <w:rsid w:val="00CD7AB0"/>
    <w:rsid w:val="00CD7C05"/>
    <w:rsid w:val="00CD7C10"/>
    <w:rsid w:val="00CD7D8D"/>
    <w:rsid w:val="00CD7EA8"/>
    <w:rsid w:val="00CE00CD"/>
    <w:rsid w:val="00CE014C"/>
    <w:rsid w:val="00CE0298"/>
    <w:rsid w:val="00CE0627"/>
    <w:rsid w:val="00CE091F"/>
    <w:rsid w:val="00CE09C2"/>
    <w:rsid w:val="00CE0A3E"/>
    <w:rsid w:val="00CE0BE4"/>
    <w:rsid w:val="00CE0E8F"/>
    <w:rsid w:val="00CE1128"/>
    <w:rsid w:val="00CE1253"/>
    <w:rsid w:val="00CE1636"/>
    <w:rsid w:val="00CE185B"/>
    <w:rsid w:val="00CE18CD"/>
    <w:rsid w:val="00CE19D8"/>
    <w:rsid w:val="00CE1A6A"/>
    <w:rsid w:val="00CE1BFB"/>
    <w:rsid w:val="00CE1EF2"/>
    <w:rsid w:val="00CE1FA2"/>
    <w:rsid w:val="00CE1FBD"/>
    <w:rsid w:val="00CE2001"/>
    <w:rsid w:val="00CE20D4"/>
    <w:rsid w:val="00CE2C4C"/>
    <w:rsid w:val="00CE2FEC"/>
    <w:rsid w:val="00CE3343"/>
    <w:rsid w:val="00CE3589"/>
    <w:rsid w:val="00CE3C8A"/>
    <w:rsid w:val="00CE3D2A"/>
    <w:rsid w:val="00CE3E38"/>
    <w:rsid w:val="00CE436D"/>
    <w:rsid w:val="00CE44A8"/>
    <w:rsid w:val="00CE48FA"/>
    <w:rsid w:val="00CE495C"/>
    <w:rsid w:val="00CE5216"/>
    <w:rsid w:val="00CE52E3"/>
    <w:rsid w:val="00CE5986"/>
    <w:rsid w:val="00CE5DD1"/>
    <w:rsid w:val="00CE5E30"/>
    <w:rsid w:val="00CE5E85"/>
    <w:rsid w:val="00CE5FAA"/>
    <w:rsid w:val="00CE63FA"/>
    <w:rsid w:val="00CE6EC3"/>
    <w:rsid w:val="00CE6EEE"/>
    <w:rsid w:val="00CE6F8E"/>
    <w:rsid w:val="00CE7412"/>
    <w:rsid w:val="00CE7572"/>
    <w:rsid w:val="00CE76EE"/>
    <w:rsid w:val="00CE7B52"/>
    <w:rsid w:val="00CE7E70"/>
    <w:rsid w:val="00CF0243"/>
    <w:rsid w:val="00CF02A7"/>
    <w:rsid w:val="00CF02FB"/>
    <w:rsid w:val="00CF0607"/>
    <w:rsid w:val="00CF0E85"/>
    <w:rsid w:val="00CF0FAC"/>
    <w:rsid w:val="00CF0FFE"/>
    <w:rsid w:val="00CF101F"/>
    <w:rsid w:val="00CF132F"/>
    <w:rsid w:val="00CF1390"/>
    <w:rsid w:val="00CF1558"/>
    <w:rsid w:val="00CF1565"/>
    <w:rsid w:val="00CF162A"/>
    <w:rsid w:val="00CF177B"/>
    <w:rsid w:val="00CF192F"/>
    <w:rsid w:val="00CF1A06"/>
    <w:rsid w:val="00CF1B11"/>
    <w:rsid w:val="00CF1DF8"/>
    <w:rsid w:val="00CF1F60"/>
    <w:rsid w:val="00CF1FD6"/>
    <w:rsid w:val="00CF203C"/>
    <w:rsid w:val="00CF2145"/>
    <w:rsid w:val="00CF2161"/>
    <w:rsid w:val="00CF2348"/>
    <w:rsid w:val="00CF2501"/>
    <w:rsid w:val="00CF255C"/>
    <w:rsid w:val="00CF2631"/>
    <w:rsid w:val="00CF27A9"/>
    <w:rsid w:val="00CF27DB"/>
    <w:rsid w:val="00CF29EB"/>
    <w:rsid w:val="00CF2D06"/>
    <w:rsid w:val="00CF3014"/>
    <w:rsid w:val="00CF36BD"/>
    <w:rsid w:val="00CF3769"/>
    <w:rsid w:val="00CF3C30"/>
    <w:rsid w:val="00CF547E"/>
    <w:rsid w:val="00CF5895"/>
    <w:rsid w:val="00CF5954"/>
    <w:rsid w:val="00CF5A41"/>
    <w:rsid w:val="00CF5B65"/>
    <w:rsid w:val="00CF5BD9"/>
    <w:rsid w:val="00CF5D8A"/>
    <w:rsid w:val="00CF5D99"/>
    <w:rsid w:val="00CF5F23"/>
    <w:rsid w:val="00CF6013"/>
    <w:rsid w:val="00CF62EA"/>
    <w:rsid w:val="00CF64BB"/>
    <w:rsid w:val="00CF650A"/>
    <w:rsid w:val="00CF66FF"/>
    <w:rsid w:val="00CF67B8"/>
    <w:rsid w:val="00CF6BE8"/>
    <w:rsid w:val="00CF6D16"/>
    <w:rsid w:val="00CF6DBF"/>
    <w:rsid w:val="00CF6E1E"/>
    <w:rsid w:val="00CF6F7C"/>
    <w:rsid w:val="00CF6FF5"/>
    <w:rsid w:val="00CF703E"/>
    <w:rsid w:val="00CF7345"/>
    <w:rsid w:val="00CF741D"/>
    <w:rsid w:val="00CF7ABD"/>
    <w:rsid w:val="00CF7BFD"/>
    <w:rsid w:val="00CF7D09"/>
    <w:rsid w:val="00CF7E82"/>
    <w:rsid w:val="00D00051"/>
    <w:rsid w:val="00D00195"/>
    <w:rsid w:val="00D00243"/>
    <w:rsid w:val="00D0064D"/>
    <w:rsid w:val="00D00664"/>
    <w:rsid w:val="00D0075D"/>
    <w:rsid w:val="00D007E4"/>
    <w:rsid w:val="00D008E3"/>
    <w:rsid w:val="00D00993"/>
    <w:rsid w:val="00D0099E"/>
    <w:rsid w:val="00D009AA"/>
    <w:rsid w:val="00D009BA"/>
    <w:rsid w:val="00D00C3D"/>
    <w:rsid w:val="00D00CA9"/>
    <w:rsid w:val="00D00DC1"/>
    <w:rsid w:val="00D0114A"/>
    <w:rsid w:val="00D015EF"/>
    <w:rsid w:val="00D01688"/>
    <w:rsid w:val="00D016DD"/>
    <w:rsid w:val="00D01865"/>
    <w:rsid w:val="00D01AD7"/>
    <w:rsid w:val="00D01DEF"/>
    <w:rsid w:val="00D01E05"/>
    <w:rsid w:val="00D01E2C"/>
    <w:rsid w:val="00D01E2D"/>
    <w:rsid w:val="00D01E95"/>
    <w:rsid w:val="00D01F9A"/>
    <w:rsid w:val="00D02198"/>
    <w:rsid w:val="00D0238E"/>
    <w:rsid w:val="00D0239F"/>
    <w:rsid w:val="00D02D3F"/>
    <w:rsid w:val="00D0325B"/>
    <w:rsid w:val="00D03729"/>
    <w:rsid w:val="00D03C56"/>
    <w:rsid w:val="00D03CE1"/>
    <w:rsid w:val="00D03E40"/>
    <w:rsid w:val="00D04064"/>
    <w:rsid w:val="00D04154"/>
    <w:rsid w:val="00D04509"/>
    <w:rsid w:val="00D04AAA"/>
    <w:rsid w:val="00D04ABA"/>
    <w:rsid w:val="00D04AEC"/>
    <w:rsid w:val="00D04E7B"/>
    <w:rsid w:val="00D05038"/>
    <w:rsid w:val="00D050ED"/>
    <w:rsid w:val="00D05236"/>
    <w:rsid w:val="00D05591"/>
    <w:rsid w:val="00D055E1"/>
    <w:rsid w:val="00D0579D"/>
    <w:rsid w:val="00D057AE"/>
    <w:rsid w:val="00D0583F"/>
    <w:rsid w:val="00D05F13"/>
    <w:rsid w:val="00D05F34"/>
    <w:rsid w:val="00D062BC"/>
    <w:rsid w:val="00D0659A"/>
    <w:rsid w:val="00D065A0"/>
    <w:rsid w:val="00D0712F"/>
    <w:rsid w:val="00D07276"/>
    <w:rsid w:val="00D0742A"/>
    <w:rsid w:val="00D07497"/>
    <w:rsid w:val="00D07682"/>
    <w:rsid w:val="00D0779C"/>
    <w:rsid w:val="00D077B3"/>
    <w:rsid w:val="00D07841"/>
    <w:rsid w:val="00D07984"/>
    <w:rsid w:val="00D07D37"/>
    <w:rsid w:val="00D07D5C"/>
    <w:rsid w:val="00D07F1F"/>
    <w:rsid w:val="00D10049"/>
    <w:rsid w:val="00D1010F"/>
    <w:rsid w:val="00D102D3"/>
    <w:rsid w:val="00D102E3"/>
    <w:rsid w:val="00D1065D"/>
    <w:rsid w:val="00D1082E"/>
    <w:rsid w:val="00D10D79"/>
    <w:rsid w:val="00D10E13"/>
    <w:rsid w:val="00D110A2"/>
    <w:rsid w:val="00D1136C"/>
    <w:rsid w:val="00D118DD"/>
    <w:rsid w:val="00D11A1C"/>
    <w:rsid w:val="00D11BF4"/>
    <w:rsid w:val="00D11F64"/>
    <w:rsid w:val="00D12070"/>
    <w:rsid w:val="00D1221A"/>
    <w:rsid w:val="00D1221D"/>
    <w:rsid w:val="00D123A9"/>
    <w:rsid w:val="00D123EC"/>
    <w:rsid w:val="00D12697"/>
    <w:rsid w:val="00D127AE"/>
    <w:rsid w:val="00D12B64"/>
    <w:rsid w:val="00D12B78"/>
    <w:rsid w:val="00D12DD0"/>
    <w:rsid w:val="00D12F15"/>
    <w:rsid w:val="00D13416"/>
    <w:rsid w:val="00D1366E"/>
    <w:rsid w:val="00D13839"/>
    <w:rsid w:val="00D13B8E"/>
    <w:rsid w:val="00D13CA8"/>
    <w:rsid w:val="00D13D6E"/>
    <w:rsid w:val="00D13FA5"/>
    <w:rsid w:val="00D14003"/>
    <w:rsid w:val="00D14040"/>
    <w:rsid w:val="00D14131"/>
    <w:rsid w:val="00D1414C"/>
    <w:rsid w:val="00D142FA"/>
    <w:rsid w:val="00D148DD"/>
    <w:rsid w:val="00D14E4A"/>
    <w:rsid w:val="00D1520E"/>
    <w:rsid w:val="00D154B4"/>
    <w:rsid w:val="00D15578"/>
    <w:rsid w:val="00D158A2"/>
    <w:rsid w:val="00D15E58"/>
    <w:rsid w:val="00D15E75"/>
    <w:rsid w:val="00D160C6"/>
    <w:rsid w:val="00D161E6"/>
    <w:rsid w:val="00D16440"/>
    <w:rsid w:val="00D166A4"/>
    <w:rsid w:val="00D16B2F"/>
    <w:rsid w:val="00D16C40"/>
    <w:rsid w:val="00D16E07"/>
    <w:rsid w:val="00D1788B"/>
    <w:rsid w:val="00D178EB"/>
    <w:rsid w:val="00D17923"/>
    <w:rsid w:val="00D179CA"/>
    <w:rsid w:val="00D17DB7"/>
    <w:rsid w:val="00D202EB"/>
    <w:rsid w:val="00D20878"/>
    <w:rsid w:val="00D2089A"/>
    <w:rsid w:val="00D208BA"/>
    <w:rsid w:val="00D20933"/>
    <w:rsid w:val="00D209FF"/>
    <w:rsid w:val="00D20C9E"/>
    <w:rsid w:val="00D211AC"/>
    <w:rsid w:val="00D21913"/>
    <w:rsid w:val="00D2193A"/>
    <w:rsid w:val="00D2196A"/>
    <w:rsid w:val="00D21B70"/>
    <w:rsid w:val="00D21C40"/>
    <w:rsid w:val="00D21C72"/>
    <w:rsid w:val="00D21F3F"/>
    <w:rsid w:val="00D220C7"/>
    <w:rsid w:val="00D221FA"/>
    <w:rsid w:val="00D225E7"/>
    <w:rsid w:val="00D229C9"/>
    <w:rsid w:val="00D22D1B"/>
    <w:rsid w:val="00D22DEE"/>
    <w:rsid w:val="00D22E7A"/>
    <w:rsid w:val="00D22FAE"/>
    <w:rsid w:val="00D23458"/>
    <w:rsid w:val="00D234CA"/>
    <w:rsid w:val="00D23750"/>
    <w:rsid w:val="00D23769"/>
    <w:rsid w:val="00D2381F"/>
    <w:rsid w:val="00D23A25"/>
    <w:rsid w:val="00D241EF"/>
    <w:rsid w:val="00D24287"/>
    <w:rsid w:val="00D2434F"/>
    <w:rsid w:val="00D24364"/>
    <w:rsid w:val="00D244FC"/>
    <w:rsid w:val="00D24586"/>
    <w:rsid w:val="00D2475A"/>
    <w:rsid w:val="00D24874"/>
    <w:rsid w:val="00D24920"/>
    <w:rsid w:val="00D24D69"/>
    <w:rsid w:val="00D24EF2"/>
    <w:rsid w:val="00D24F74"/>
    <w:rsid w:val="00D25094"/>
    <w:rsid w:val="00D250D2"/>
    <w:rsid w:val="00D250E9"/>
    <w:rsid w:val="00D250EF"/>
    <w:rsid w:val="00D25168"/>
    <w:rsid w:val="00D256E6"/>
    <w:rsid w:val="00D25773"/>
    <w:rsid w:val="00D257D5"/>
    <w:rsid w:val="00D25CBB"/>
    <w:rsid w:val="00D25CCA"/>
    <w:rsid w:val="00D26150"/>
    <w:rsid w:val="00D265C6"/>
    <w:rsid w:val="00D268BE"/>
    <w:rsid w:val="00D2691A"/>
    <w:rsid w:val="00D26C51"/>
    <w:rsid w:val="00D271AC"/>
    <w:rsid w:val="00D27609"/>
    <w:rsid w:val="00D276FB"/>
    <w:rsid w:val="00D27950"/>
    <w:rsid w:val="00D279BB"/>
    <w:rsid w:val="00D27AAA"/>
    <w:rsid w:val="00D27C35"/>
    <w:rsid w:val="00D300DA"/>
    <w:rsid w:val="00D30132"/>
    <w:rsid w:val="00D303D4"/>
    <w:rsid w:val="00D303EE"/>
    <w:rsid w:val="00D306B6"/>
    <w:rsid w:val="00D307D9"/>
    <w:rsid w:val="00D30CC7"/>
    <w:rsid w:val="00D30DEE"/>
    <w:rsid w:val="00D30E78"/>
    <w:rsid w:val="00D31170"/>
    <w:rsid w:val="00D311E7"/>
    <w:rsid w:val="00D31348"/>
    <w:rsid w:val="00D314AD"/>
    <w:rsid w:val="00D31582"/>
    <w:rsid w:val="00D31991"/>
    <w:rsid w:val="00D31A6F"/>
    <w:rsid w:val="00D31BDD"/>
    <w:rsid w:val="00D32151"/>
    <w:rsid w:val="00D322A0"/>
    <w:rsid w:val="00D324FC"/>
    <w:rsid w:val="00D32558"/>
    <w:rsid w:val="00D32912"/>
    <w:rsid w:val="00D32A27"/>
    <w:rsid w:val="00D32F54"/>
    <w:rsid w:val="00D33204"/>
    <w:rsid w:val="00D3320F"/>
    <w:rsid w:val="00D3343E"/>
    <w:rsid w:val="00D334D5"/>
    <w:rsid w:val="00D33919"/>
    <w:rsid w:val="00D33AAD"/>
    <w:rsid w:val="00D33B8B"/>
    <w:rsid w:val="00D34189"/>
    <w:rsid w:val="00D343D7"/>
    <w:rsid w:val="00D34589"/>
    <w:rsid w:val="00D34757"/>
    <w:rsid w:val="00D349D7"/>
    <w:rsid w:val="00D34CAB"/>
    <w:rsid w:val="00D34FE4"/>
    <w:rsid w:val="00D35223"/>
    <w:rsid w:val="00D3540D"/>
    <w:rsid w:val="00D3552E"/>
    <w:rsid w:val="00D3553D"/>
    <w:rsid w:val="00D3576B"/>
    <w:rsid w:val="00D35B03"/>
    <w:rsid w:val="00D35C4C"/>
    <w:rsid w:val="00D35FD5"/>
    <w:rsid w:val="00D361A7"/>
    <w:rsid w:val="00D36A01"/>
    <w:rsid w:val="00D36A0C"/>
    <w:rsid w:val="00D36ADA"/>
    <w:rsid w:val="00D36E44"/>
    <w:rsid w:val="00D36F14"/>
    <w:rsid w:val="00D3736D"/>
    <w:rsid w:val="00D37550"/>
    <w:rsid w:val="00D376ED"/>
    <w:rsid w:val="00D37715"/>
    <w:rsid w:val="00D379D8"/>
    <w:rsid w:val="00D37B46"/>
    <w:rsid w:val="00D400B0"/>
    <w:rsid w:val="00D403C0"/>
    <w:rsid w:val="00D4075C"/>
    <w:rsid w:val="00D40CD6"/>
    <w:rsid w:val="00D40CE6"/>
    <w:rsid w:val="00D40E31"/>
    <w:rsid w:val="00D40F7B"/>
    <w:rsid w:val="00D410B3"/>
    <w:rsid w:val="00D412B0"/>
    <w:rsid w:val="00D417F7"/>
    <w:rsid w:val="00D41A0D"/>
    <w:rsid w:val="00D41BC7"/>
    <w:rsid w:val="00D41BE4"/>
    <w:rsid w:val="00D41C06"/>
    <w:rsid w:val="00D41C33"/>
    <w:rsid w:val="00D41D0D"/>
    <w:rsid w:val="00D41FF4"/>
    <w:rsid w:val="00D42531"/>
    <w:rsid w:val="00D427BE"/>
    <w:rsid w:val="00D42928"/>
    <w:rsid w:val="00D42AB7"/>
    <w:rsid w:val="00D42D74"/>
    <w:rsid w:val="00D42FF7"/>
    <w:rsid w:val="00D43048"/>
    <w:rsid w:val="00D43376"/>
    <w:rsid w:val="00D43385"/>
    <w:rsid w:val="00D4340D"/>
    <w:rsid w:val="00D435F9"/>
    <w:rsid w:val="00D43693"/>
    <w:rsid w:val="00D43856"/>
    <w:rsid w:val="00D438FB"/>
    <w:rsid w:val="00D43EFA"/>
    <w:rsid w:val="00D44230"/>
    <w:rsid w:val="00D442C7"/>
    <w:rsid w:val="00D446BC"/>
    <w:rsid w:val="00D44B15"/>
    <w:rsid w:val="00D44B2B"/>
    <w:rsid w:val="00D44B5D"/>
    <w:rsid w:val="00D4517E"/>
    <w:rsid w:val="00D4543F"/>
    <w:rsid w:val="00D45502"/>
    <w:rsid w:val="00D45508"/>
    <w:rsid w:val="00D4589B"/>
    <w:rsid w:val="00D45EFB"/>
    <w:rsid w:val="00D460EB"/>
    <w:rsid w:val="00D463E2"/>
    <w:rsid w:val="00D4659C"/>
    <w:rsid w:val="00D46635"/>
    <w:rsid w:val="00D468D0"/>
    <w:rsid w:val="00D46AE2"/>
    <w:rsid w:val="00D46C8F"/>
    <w:rsid w:val="00D47073"/>
    <w:rsid w:val="00D479E4"/>
    <w:rsid w:val="00D47AEB"/>
    <w:rsid w:val="00D47B91"/>
    <w:rsid w:val="00D47CBD"/>
    <w:rsid w:val="00D502A6"/>
    <w:rsid w:val="00D502C1"/>
    <w:rsid w:val="00D502DD"/>
    <w:rsid w:val="00D503A9"/>
    <w:rsid w:val="00D503FC"/>
    <w:rsid w:val="00D50674"/>
    <w:rsid w:val="00D506D1"/>
    <w:rsid w:val="00D506F5"/>
    <w:rsid w:val="00D50B35"/>
    <w:rsid w:val="00D50CCE"/>
    <w:rsid w:val="00D50F49"/>
    <w:rsid w:val="00D50FEC"/>
    <w:rsid w:val="00D51AB2"/>
    <w:rsid w:val="00D51D3E"/>
    <w:rsid w:val="00D51D9F"/>
    <w:rsid w:val="00D51ED2"/>
    <w:rsid w:val="00D51F0A"/>
    <w:rsid w:val="00D5200B"/>
    <w:rsid w:val="00D5241D"/>
    <w:rsid w:val="00D52478"/>
    <w:rsid w:val="00D524BE"/>
    <w:rsid w:val="00D52956"/>
    <w:rsid w:val="00D52BBC"/>
    <w:rsid w:val="00D52C38"/>
    <w:rsid w:val="00D52CE1"/>
    <w:rsid w:val="00D52CE3"/>
    <w:rsid w:val="00D53235"/>
    <w:rsid w:val="00D536A4"/>
    <w:rsid w:val="00D5392B"/>
    <w:rsid w:val="00D53980"/>
    <w:rsid w:val="00D53989"/>
    <w:rsid w:val="00D5399E"/>
    <w:rsid w:val="00D539DD"/>
    <w:rsid w:val="00D53E5D"/>
    <w:rsid w:val="00D53FF4"/>
    <w:rsid w:val="00D544C6"/>
    <w:rsid w:val="00D5468E"/>
    <w:rsid w:val="00D5468F"/>
    <w:rsid w:val="00D54BF9"/>
    <w:rsid w:val="00D54E5B"/>
    <w:rsid w:val="00D5500B"/>
    <w:rsid w:val="00D5547D"/>
    <w:rsid w:val="00D55572"/>
    <w:rsid w:val="00D5560D"/>
    <w:rsid w:val="00D557C6"/>
    <w:rsid w:val="00D557EE"/>
    <w:rsid w:val="00D5583B"/>
    <w:rsid w:val="00D55AA4"/>
    <w:rsid w:val="00D55AB3"/>
    <w:rsid w:val="00D5640B"/>
    <w:rsid w:val="00D56C12"/>
    <w:rsid w:val="00D57040"/>
    <w:rsid w:val="00D57446"/>
    <w:rsid w:val="00D576BC"/>
    <w:rsid w:val="00D579A6"/>
    <w:rsid w:val="00D579CC"/>
    <w:rsid w:val="00D57A73"/>
    <w:rsid w:val="00D57D22"/>
    <w:rsid w:val="00D60235"/>
    <w:rsid w:val="00D60339"/>
    <w:rsid w:val="00D6035A"/>
    <w:rsid w:val="00D6053E"/>
    <w:rsid w:val="00D60564"/>
    <w:rsid w:val="00D6083C"/>
    <w:rsid w:val="00D60870"/>
    <w:rsid w:val="00D6088B"/>
    <w:rsid w:val="00D60A34"/>
    <w:rsid w:val="00D60C5B"/>
    <w:rsid w:val="00D60EED"/>
    <w:rsid w:val="00D60F21"/>
    <w:rsid w:val="00D61070"/>
    <w:rsid w:val="00D615AD"/>
    <w:rsid w:val="00D617CC"/>
    <w:rsid w:val="00D6183D"/>
    <w:rsid w:val="00D61A02"/>
    <w:rsid w:val="00D62208"/>
    <w:rsid w:val="00D625F2"/>
    <w:rsid w:val="00D62AAF"/>
    <w:rsid w:val="00D62B8A"/>
    <w:rsid w:val="00D63034"/>
    <w:rsid w:val="00D634A7"/>
    <w:rsid w:val="00D634E9"/>
    <w:rsid w:val="00D6361B"/>
    <w:rsid w:val="00D636AA"/>
    <w:rsid w:val="00D63CDA"/>
    <w:rsid w:val="00D643C5"/>
    <w:rsid w:val="00D64791"/>
    <w:rsid w:val="00D64A46"/>
    <w:rsid w:val="00D64B5A"/>
    <w:rsid w:val="00D64CE8"/>
    <w:rsid w:val="00D64F53"/>
    <w:rsid w:val="00D6505D"/>
    <w:rsid w:val="00D65064"/>
    <w:rsid w:val="00D6563A"/>
    <w:rsid w:val="00D656B9"/>
    <w:rsid w:val="00D65BA6"/>
    <w:rsid w:val="00D65E4D"/>
    <w:rsid w:val="00D66132"/>
    <w:rsid w:val="00D66287"/>
    <w:rsid w:val="00D662C9"/>
    <w:rsid w:val="00D664C6"/>
    <w:rsid w:val="00D665A3"/>
    <w:rsid w:val="00D66CDA"/>
    <w:rsid w:val="00D66CDB"/>
    <w:rsid w:val="00D66EFF"/>
    <w:rsid w:val="00D66F39"/>
    <w:rsid w:val="00D67710"/>
    <w:rsid w:val="00D677CA"/>
    <w:rsid w:val="00D67C18"/>
    <w:rsid w:val="00D70039"/>
    <w:rsid w:val="00D70318"/>
    <w:rsid w:val="00D70604"/>
    <w:rsid w:val="00D70631"/>
    <w:rsid w:val="00D708BC"/>
    <w:rsid w:val="00D709D6"/>
    <w:rsid w:val="00D70B9C"/>
    <w:rsid w:val="00D70C68"/>
    <w:rsid w:val="00D70C6E"/>
    <w:rsid w:val="00D70E1F"/>
    <w:rsid w:val="00D70EFA"/>
    <w:rsid w:val="00D711FF"/>
    <w:rsid w:val="00D71496"/>
    <w:rsid w:val="00D714AE"/>
    <w:rsid w:val="00D7165F"/>
    <w:rsid w:val="00D717C5"/>
    <w:rsid w:val="00D724E2"/>
    <w:rsid w:val="00D72500"/>
    <w:rsid w:val="00D72826"/>
    <w:rsid w:val="00D728E2"/>
    <w:rsid w:val="00D729DC"/>
    <w:rsid w:val="00D72B1F"/>
    <w:rsid w:val="00D72D1D"/>
    <w:rsid w:val="00D73108"/>
    <w:rsid w:val="00D731EB"/>
    <w:rsid w:val="00D7358E"/>
    <w:rsid w:val="00D7392E"/>
    <w:rsid w:val="00D73FB6"/>
    <w:rsid w:val="00D740D6"/>
    <w:rsid w:val="00D740DB"/>
    <w:rsid w:val="00D7476D"/>
    <w:rsid w:val="00D74933"/>
    <w:rsid w:val="00D749DD"/>
    <w:rsid w:val="00D74A63"/>
    <w:rsid w:val="00D74AF0"/>
    <w:rsid w:val="00D74BDE"/>
    <w:rsid w:val="00D74D0C"/>
    <w:rsid w:val="00D750BA"/>
    <w:rsid w:val="00D75160"/>
    <w:rsid w:val="00D755E7"/>
    <w:rsid w:val="00D756AA"/>
    <w:rsid w:val="00D757BD"/>
    <w:rsid w:val="00D75843"/>
    <w:rsid w:val="00D75DE5"/>
    <w:rsid w:val="00D75FA2"/>
    <w:rsid w:val="00D76097"/>
    <w:rsid w:val="00D765A0"/>
    <w:rsid w:val="00D765D0"/>
    <w:rsid w:val="00D76709"/>
    <w:rsid w:val="00D767A0"/>
    <w:rsid w:val="00D7682A"/>
    <w:rsid w:val="00D76E51"/>
    <w:rsid w:val="00D7703D"/>
    <w:rsid w:val="00D776D4"/>
    <w:rsid w:val="00D77800"/>
    <w:rsid w:val="00D779F9"/>
    <w:rsid w:val="00D77BBF"/>
    <w:rsid w:val="00D8040B"/>
    <w:rsid w:val="00D80567"/>
    <w:rsid w:val="00D80889"/>
    <w:rsid w:val="00D80912"/>
    <w:rsid w:val="00D809AE"/>
    <w:rsid w:val="00D80AF6"/>
    <w:rsid w:val="00D80C3D"/>
    <w:rsid w:val="00D80FB0"/>
    <w:rsid w:val="00D812B7"/>
    <w:rsid w:val="00D81550"/>
    <w:rsid w:val="00D818DD"/>
    <w:rsid w:val="00D81DDD"/>
    <w:rsid w:val="00D81DF1"/>
    <w:rsid w:val="00D820EF"/>
    <w:rsid w:val="00D8231D"/>
    <w:rsid w:val="00D82569"/>
    <w:rsid w:val="00D825DD"/>
    <w:rsid w:val="00D82658"/>
    <w:rsid w:val="00D8297C"/>
    <w:rsid w:val="00D82A80"/>
    <w:rsid w:val="00D82E08"/>
    <w:rsid w:val="00D831DD"/>
    <w:rsid w:val="00D832A1"/>
    <w:rsid w:val="00D832D6"/>
    <w:rsid w:val="00D83420"/>
    <w:rsid w:val="00D834ED"/>
    <w:rsid w:val="00D83753"/>
    <w:rsid w:val="00D83BC6"/>
    <w:rsid w:val="00D84463"/>
    <w:rsid w:val="00D8455B"/>
    <w:rsid w:val="00D845B3"/>
    <w:rsid w:val="00D849DC"/>
    <w:rsid w:val="00D84A7E"/>
    <w:rsid w:val="00D84C1F"/>
    <w:rsid w:val="00D84E7E"/>
    <w:rsid w:val="00D84E81"/>
    <w:rsid w:val="00D850FE"/>
    <w:rsid w:val="00D85500"/>
    <w:rsid w:val="00D8559F"/>
    <w:rsid w:val="00D8562E"/>
    <w:rsid w:val="00D85B61"/>
    <w:rsid w:val="00D85FDD"/>
    <w:rsid w:val="00D862D7"/>
    <w:rsid w:val="00D866CC"/>
    <w:rsid w:val="00D86929"/>
    <w:rsid w:val="00D869CB"/>
    <w:rsid w:val="00D86AF6"/>
    <w:rsid w:val="00D86CDC"/>
    <w:rsid w:val="00D86D0A"/>
    <w:rsid w:val="00D86E1C"/>
    <w:rsid w:val="00D870FF"/>
    <w:rsid w:val="00D873CB"/>
    <w:rsid w:val="00D874B9"/>
    <w:rsid w:val="00D877C5"/>
    <w:rsid w:val="00D879F1"/>
    <w:rsid w:val="00D87A6E"/>
    <w:rsid w:val="00D87D83"/>
    <w:rsid w:val="00D87EAA"/>
    <w:rsid w:val="00D900EF"/>
    <w:rsid w:val="00D90555"/>
    <w:rsid w:val="00D907B3"/>
    <w:rsid w:val="00D9089A"/>
    <w:rsid w:val="00D90932"/>
    <w:rsid w:val="00D90C91"/>
    <w:rsid w:val="00D90CD2"/>
    <w:rsid w:val="00D912E6"/>
    <w:rsid w:val="00D913F5"/>
    <w:rsid w:val="00D915E1"/>
    <w:rsid w:val="00D915EE"/>
    <w:rsid w:val="00D91A7C"/>
    <w:rsid w:val="00D91D74"/>
    <w:rsid w:val="00D91E68"/>
    <w:rsid w:val="00D9201D"/>
    <w:rsid w:val="00D923E5"/>
    <w:rsid w:val="00D924F3"/>
    <w:rsid w:val="00D925AB"/>
    <w:rsid w:val="00D92877"/>
    <w:rsid w:val="00D9294C"/>
    <w:rsid w:val="00D92A24"/>
    <w:rsid w:val="00D92AB6"/>
    <w:rsid w:val="00D92BFF"/>
    <w:rsid w:val="00D92DE5"/>
    <w:rsid w:val="00D92F09"/>
    <w:rsid w:val="00D930B9"/>
    <w:rsid w:val="00D93630"/>
    <w:rsid w:val="00D937F1"/>
    <w:rsid w:val="00D93AB8"/>
    <w:rsid w:val="00D93FD0"/>
    <w:rsid w:val="00D940D6"/>
    <w:rsid w:val="00D941A4"/>
    <w:rsid w:val="00D942BE"/>
    <w:rsid w:val="00D944F1"/>
    <w:rsid w:val="00D9471D"/>
    <w:rsid w:val="00D94A2A"/>
    <w:rsid w:val="00D94A4A"/>
    <w:rsid w:val="00D94A8C"/>
    <w:rsid w:val="00D94B40"/>
    <w:rsid w:val="00D94BA6"/>
    <w:rsid w:val="00D94C8A"/>
    <w:rsid w:val="00D94E8F"/>
    <w:rsid w:val="00D94F9F"/>
    <w:rsid w:val="00D95051"/>
    <w:rsid w:val="00D9508E"/>
    <w:rsid w:val="00D95460"/>
    <w:rsid w:val="00D95963"/>
    <w:rsid w:val="00D95B84"/>
    <w:rsid w:val="00D95CB4"/>
    <w:rsid w:val="00D95E94"/>
    <w:rsid w:val="00D95F9E"/>
    <w:rsid w:val="00D96231"/>
    <w:rsid w:val="00D96714"/>
    <w:rsid w:val="00D969F4"/>
    <w:rsid w:val="00D96AFE"/>
    <w:rsid w:val="00D96EA9"/>
    <w:rsid w:val="00D9701C"/>
    <w:rsid w:val="00D97320"/>
    <w:rsid w:val="00D9784A"/>
    <w:rsid w:val="00D978E5"/>
    <w:rsid w:val="00D97D00"/>
    <w:rsid w:val="00D97EFE"/>
    <w:rsid w:val="00DA008F"/>
    <w:rsid w:val="00DA01BF"/>
    <w:rsid w:val="00DA08BB"/>
    <w:rsid w:val="00DA09AF"/>
    <w:rsid w:val="00DA09D2"/>
    <w:rsid w:val="00DA0B44"/>
    <w:rsid w:val="00DA0F90"/>
    <w:rsid w:val="00DA10CD"/>
    <w:rsid w:val="00DA14F6"/>
    <w:rsid w:val="00DA1801"/>
    <w:rsid w:val="00DA1803"/>
    <w:rsid w:val="00DA1F2D"/>
    <w:rsid w:val="00DA1F83"/>
    <w:rsid w:val="00DA2176"/>
    <w:rsid w:val="00DA2223"/>
    <w:rsid w:val="00DA22ED"/>
    <w:rsid w:val="00DA26B8"/>
    <w:rsid w:val="00DA26FA"/>
    <w:rsid w:val="00DA2720"/>
    <w:rsid w:val="00DA2774"/>
    <w:rsid w:val="00DA2838"/>
    <w:rsid w:val="00DA2885"/>
    <w:rsid w:val="00DA2CBD"/>
    <w:rsid w:val="00DA3167"/>
    <w:rsid w:val="00DA31B5"/>
    <w:rsid w:val="00DA3497"/>
    <w:rsid w:val="00DA3767"/>
    <w:rsid w:val="00DA385D"/>
    <w:rsid w:val="00DA39FF"/>
    <w:rsid w:val="00DA3A17"/>
    <w:rsid w:val="00DA3D62"/>
    <w:rsid w:val="00DA3DE7"/>
    <w:rsid w:val="00DA4049"/>
    <w:rsid w:val="00DA43F1"/>
    <w:rsid w:val="00DA4549"/>
    <w:rsid w:val="00DA455E"/>
    <w:rsid w:val="00DA48EF"/>
    <w:rsid w:val="00DA49CA"/>
    <w:rsid w:val="00DA49CF"/>
    <w:rsid w:val="00DA5446"/>
    <w:rsid w:val="00DA5E4B"/>
    <w:rsid w:val="00DA6189"/>
    <w:rsid w:val="00DA6A3D"/>
    <w:rsid w:val="00DA7613"/>
    <w:rsid w:val="00DA7622"/>
    <w:rsid w:val="00DA7637"/>
    <w:rsid w:val="00DA77EB"/>
    <w:rsid w:val="00DA7BE9"/>
    <w:rsid w:val="00DA7C43"/>
    <w:rsid w:val="00DA7D70"/>
    <w:rsid w:val="00DA7E37"/>
    <w:rsid w:val="00DA7FD7"/>
    <w:rsid w:val="00DB0253"/>
    <w:rsid w:val="00DB0259"/>
    <w:rsid w:val="00DB072F"/>
    <w:rsid w:val="00DB0B99"/>
    <w:rsid w:val="00DB0CC9"/>
    <w:rsid w:val="00DB0D3F"/>
    <w:rsid w:val="00DB0DAC"/>
    <w:rsid w:val="00DB0FE2"/>
    <w:rsid w:val="00DB124D"/>
    <w:rsid w:val="00DB17CA"/>
    <w:rsid w:val="00DB18D5"/>
    <w:rsid w:val="00DB18EE"/>
    <w:rsid w:val="00DB1A21"/>
    <w:rsid w:val="00DB1A4C"/>
    <w:rsid w:val="00DB1C33"/>
    <w:rsid w:val="00DB1D3E"/>
    <w:rsid w:val="00DB1EF5"/>
    <w:rsid w:val="00DB1F51"/>
    <w:rsid w:val="00DB1FE2"/>
    <w:rsid w:val="00DB2327"/>
    <w:rsid w:val="00DB24BC"/>
    <w:rsid w:val="00DB256C"/>
    <w:rsid w:val="00DB27C6"/>
    <w:rsid w:val="00DB28E3"/>
    <w:rsid w:val="00DB3507"/>
    <w:rsid w:val="00DB37CD"/>
    <w:rsid w:val="00DB39D1"/>
    <w:rsid w:val="00DB3F0A"/>
    <w:rsid w:val="00DB41CC"/>
    <w:rsid w:val="00DB4665"/>
    <w:rsid w:val="00DB46B9"/>
    <w:rsid w:val="00DB49E5"/>
    <w:rsid w:val="00DB4AFF"/>
    <w:rsid w:val="00DB4B12"/>
    <w:rsid w:val="00DB4B7C"/>
    <w:rsid w:val="00DB4C97"/>
    <w:rsid w:val="00DB52BA"/>
    <w:rsid w:val="00DB53FD"/>
    <w:rsid w:val="00DB54EB"/>
    <w:rsid w:val="00DB5A4C"/>
    <w:rsid w:val="00DB5AA2"/>
    <w:rsid w:val="00DB5B85"/>
    <w:rsid w:val="00DB5E56"/>
    <w:rsid w:val="00DB6066"/>
    <w:rsid w:val="00DB6115"/>
    <w:rsid w:val="00DB61F1"/>
    <w:rsid w:val="00DB6277"/>
    <w:rsid w:val="00DB68DD"/>
    <w:rsid w:val="00DB6958"/>
    <w:rsid w:val="00DB6B9B"/>
    <w:rsid w:val="00DB6BDA"/>
    <w:rsid w:val="00DB6E0A"/>
    <w:rsid w:val="00DB6F45"/>
    <w:rsid w:val="00DB7168"/>
    <w:rsid w:val="00DB71E5"/>
    <w:rsid w:val="00DB76E4"/>
    <w:rsid w:val="00DB7A6D"/>
    <w:rsid w:val="00DB7C25"/>
    <w:rsid w:val="00DB7FA0"/>
    <w:rsid w:val="00DB7FF4"/>
    <w:rsid w:val="00DC00FF"/>
    <w:rsid w:val="00DC0129"/>
    <w:rsid w:val="00DC0191"/>
    <w:rsid w:val="00DC02B3"/>
    <w:rsid w:val="00DC0646"/>
    <w:rsid w:val="00DC07AC"/>
    <w:rsid w:val="00DC07F1"/>
    <w:rsid w:val="00DC0920"/>
    <w:rsid w:val="00DC0A11"/>
    <w:rsid w:val="00DC0AA5"/>
    <w:rsid w:val="00DC0F1F"/>
    <w:rsid w:val="00DC12EB"/>
    <w:rsid w:val="00DC16EC"/>
    <w:rsid w:val="00DC1B38"/>
    <w:rsid w:val="00DC1BA2"/>
    <w:rsid w:val="00DC1BD3"/>
    <w:rsid w:val="00DC1C8D"/>
    <w:rsid w:val="00DC21FC"/>
    <w:rsid w:val="00DC22CF"/>
    <w:rsid w:val="00DC2492"/>
    <w:rsid w:val="00DC252C"/>
    <w:rsid w:val="00DC25B5"/>
    <w:rsid w:val="00DC26F6"/>
    <w:rsid w:val="00DC27BC"/>
    <w:rsid w:val="00DC2904"/>
    <w:rsid w:val="00DC2926"/>
    <w:rsid w:val="00DC2DC7"/>
    <w:rsid w:val="00DC2E42"/>
    <w:rsid w:val="00DC31C7"/>
    <w:rsid w:val="00DC3405"/>
    <w:rsid w:val="00DC35AC"/>
    <w:rsid w:val="00DC38DC"/>
    <w:rsid w:val="00DC39F8"/>
    <w:rsid w:val="00DC3A72"/>
    <w:rsid w:val="00DC3C0D"/>
    <w:rsid w:val="00DC3C85"/>
    <w:rsid w:val="00DC3CEC"/>
    <w:rsid w:val="00DC3E91"/>
    <w:rsid w:val="00DC4063"/>
    <w:rsid w:val="00DC409B"/>
    <w:rsid w:val="00DC4401"/>
    <w:rsid w:val="00DC4502"/>
    <w:rsid w:val="00DC479B"/>
    <w:rsid w:val="00DC4BFC"/>
    <w:rsid w:val="00DC4C60"/>
    <w:rsid w:val="00DC511F"/>
    <w:rsid w:val="00DC5471"/>
    <w:rsid w:val="00DC551C"/>
    <w:rsid w:val="00DC58BD"/>
    <w:rsid w:val="00DC5931"/>
    <w:rsid w:val="00DC5A0D"/>
    <w:rsid w:val="00DC5C6C"/>
    <w:rsid w:val="00DC5E12"/>
    <w:rsid w:val="00DC5F93"/>
    <w:rsid w:val="00DC6203"/>
    <w:rsid w:val="00DC6387"/>
    <w:rsid w:val="00DC6685"/>
    <w:rsid w:val="00DC673B"/>
    <w:rsid w:val="00DC6868"/>
    <w:rsid w:val="00DC6B52"/>
    <w:rsid w:val="00DC6DCC"/>
    <w:rsid w:val="00DC6F0E"/>
    <w:rsid w:val="00DC7000"/>
    <w:rsid w:val="00DC73FF"/>
    <w:rsid w:val="00DC742E"/>
    <w:rsid w:val="00DC78B7"/>
    <w:rsid w:val="00DC7FD6"/>
    <w:rsid w:val="00DD0135"/>
    <w:rsid w:val="00DD0249"/>
    <w:rsid w:val="00DD042F"/>
    <w:rsid w:val="00DD05DC"/>
    <w:rsid w:val="00DD061A"/>
    <w:rsid w:val="00DD0948"/>
    <w:rsid w:val="00DD0A7A"/>
    <w:rsid w:val="00DD0B37"/>
    <w:rsid w:val="00DD0E21"/>
    <w:rsid w:val="00DD1017"/>
    <w:rsid w:val="00DD1042"/>
    <w:rsid w:val="00DD1105"/>
    <w:rsid w:val="00DD1213"/>
    <w:rsid w:val="00DD12B1"/>
    <w:rsid w:val="00DD14EB"/>
    <w:rsid w:val="00DD1511"/>
    <w:rsid w:val="00DD168F"/>
    <w:rsid w:val="00DD16DB"/>
    <w:rsid w:val="00DD17AC"/>
    <w:rsid w:val="00DD1B07"/>
    <w:rsid w:val="00DD1CDB"/>
    <w:rsid w:val="00DD247B"/>
    <w:rsid w:val="00DD255F"/>
    <w:rsid w:val="00DD270C"/>
    <w:rsid w:val="00DD274B"/>
    <w:rsid w:val="00DD277A"/>
    <w:rsid w:val="00DD2A72"/>
    <w:rsid w:val="00DD2AAB"/>
    <w:rsid w:val="00DD2F61"/>
    <w:rsid w:val="00DD30B6"/>
    <w:rsid w:val="00DD3363"/>
    <w:rsid w:val="00DD3386"/>
    <w:rsid w:val="00DD3534"/>
    <w:rsid w:val="00DD38C7"/>
    <w:rsid w:val="00DD3AB4"/>
    <w:rsid w:val="00DD3AEB"/>
    <w:rsid w:val="00DD3C15"/>
    <w:rsid w:val="00DD3C23"/>
    <w:rsid w:val="00DD3C99"/>
    <w:rsid w:val="00DD4022"/>
    <w:rsid w:val="00DD419B"/>
    <w:rsid w:val="00DD42BA"/>
    <w:rsid w:val="00DD453D"/>
    <w:rsid w:val="00DD4556"/>
    <w:rsid w:val="00DD473F"/>
    <w:rsid w:val="00DD478F"/>
    <w:rsid w:val="00DD4901"/>
    <w:rsid w:val="00DD49C0"/>
    <w:rsid w:val="00DD49E2"/>
    <w:rsid w:val="00DD4BE6"/>
    <w:rsid w:val="00DD513E"/>
    <w:rsid w:val="00DD5458"/>
    <w:rsid w:val="00DD55DE"/>
    <w:rsid w:val="00DD577E"/>
    <w:rsid w:val="00DD5812"/>
    <w:rsid w:val="00DD58DE"/>
    <w:rsid w:val="00DD59C0"/>
    <w:rsid w:val="00DD5ABC"/>
    <w:rsid w:val="00DD5CAC"/>
    <w:rsid w:val="00DD60CD"/>
    <w:rsid w:val="00DD6C24"/>
    <w:rsid w:val="00DD70F4"/>
    <w:rsid w:val="00DD7740"/>
    <w:rsid w:val="00DD786C"/>
    <w:rsid w:val="00DE0556"/>
    <w:rsid w:val="00DE074F"/>
    <w:rsid w:val="00DE0B91"/>
    <w:rsid w:val="00DE0CD8"/>
    <w:rsid w:val="00DE0EA8"/>
    <w:rsid w:val="00DE110E"/>
    <w:rsid w:val="00DE12F3"/>
    <w:rsid w:val="00DE1911"/>
    <w:rsid w:val="00DE1B4F"/>
    <w:rsid w:val="00DE1D2D"/>
    <w:rsid w:val="00DE1D7C"/>
    <w:rsid w:val="00DE2066"/>
    <w:rsid w:val="00DE2142"/>
    <w:rsid w:val="00DE28F2"/>
    <w:rsid w:val="00DE291A"/>
    <w:rsid w:val="00DE2C38"/>
    <w:rsid w:val="00DE305A"/>
    <w:rsid w:val="00DE30C2"/>
    <w:rsid w:val="00DE33E1"/>
    <w:rsid w:val="00DE352E"/>
    <w:rsid w:val="00DE354E"/>
    <w:rsid w:val="00DE35B6"/>
    <w:rsid w:val="00DE3600"/>
    <w:rsid w:val="00DE3658"/>
    <w:rsid w:val="00DE3660"/>
    <w:rsid w:val="00DE3740"/>
    <w:rsid w:val="00DE3825"/>
    <w:rsid w:val="00DE4462"/>
    <w:rsid w:val="00DE4561"/>
    <w:rsid w:val="00DE4976"/>
    <w:rsid w:val="00DE4C64"/>
    <w:rsid w:val="00DE4ED8"/>
    <w:rsid w:val="00DE5337"/>
    <w:rsid w:val="00DE534B"/>
    <w:rsid w:val="00DE5DAE"/>
    <w:rsid w:val="00DE5F9A"/>
    <w:rsid w:val="00DE61F0"/>
    <w:rsid w:val="00DE6364"/>
    <w:rsid w:val="00DE63B4"/>
    <w:rsid w:val="00DE6412"/>
    <w:rsid w:val="00DE66A3"/>
    <w:rsid w:val="00DE6922"/>
    <w:rsid w:val="00DE6CE1"/>
    <w:rsid w:val="00DE6FD9"/>
    <w:rsid w:val="00DE72D8"/>
    <w:rsid w:val="00DE72E1"/>
    <w:rsid w:val="00DE740C"/>
    <w:rsid w:val="00DE7586"/>
    <w:rsid w:val="00DE75B9"/>
    <w:rsid w:val="00DE76BC"/>
    <w:rsid w:val="00DE7729"/>
    <w:rsid w:val="00DE7F68"/>
    <w:rsid w:val="00DF0007"/>
    <w:rsid w:val="00DF0008"/>
    <w:rsid w:val="00DF00A2"/>
    <w:rsid w:val="00DF0387"/>
    <w:rsid w:val="00DF06D1"/>
    <w:rsid w:val="00DF08F5"/>
    <w:rsid w:val="00DF0AC7"/>
    <w:rsid w:val="00DF0BC6"/>
    <w:rsid w:val="00DF0D75"/>
    <w:rsid w:val="00DF1197"/>
    <w:rsid w:val="00DF1548"/>
    <w:rsid w:val="00DF16FA"/>
    <w:rsid w:val="00DF17C5"/>
    <w:rsid w:val="00DF1B32"/>
    <w:rsid w:val="00DF1D3D"/>
    <w:rsid w:val="00DF1F3B"/>
    <w:rsid w:val="00DF2199"/>
    <w:rsid w:val="00DF24D4"/>
    <w:rsid w:val="00DF24D5"/>
    <w:rsid w:val="00DF2741"/>
    <w:rsid w:val="00DF28C3"/>
    <w:rsid w:val="00DF28CB"/>
    <w:rsid w:val="00DF2983"/>
    <w:rsid w:val="00DF2E58"/>
    <w:rsid w:val="00DF3087"/>
    <w:rsid w:val="00DF3351"/>
    <w:rsid w:val="00DF35EF"/>
    <w:rsid w:val="00DF3705"/>
    <w:rsid w:val="00DF3D7C"/>
    <w:rsid w:val="00DF3FB0"/>
    <w:rsid w:val="00DF40BD"/>
    <w:rsid w:val="00DF4758"/>
    <w:rsid w:val="00DF48F5"/>
    <w:rsid w:val="00DF4927"/>
    <w:rsid w:val="00DF4F79"/>
    <w:rsid w:val="00DF507F"/>
    <w:rsid w:val="00DF554D"/>
    <w:rsid w:val="00DF576F"/>
    <w:rsid w:val="00DF58BC"/>
    <w:rsid w:val="00DF5BE3"/>
    <w:rsid w:val="00DF5D06"/>
    <w:rsid w:val="00DF5F70"/>
    <w:rsid w:val="00DF6122"/>
    <w:rsid w:val="00DF62DB"/>
    <w:rsid w:val="00DF6667"/>
    <w:rsid w:val="00DF66B7"/>
    <w:rsid w:val="00DF68C4"/>
    <w:rsid w:val="00DF6C35"/>
    <w:rsid w:val="00DF6DD9"/>
    <w:rsid w:val="00DF7124"/>
    <w:rsid w:val="00DF7320"/>
    <w:rsid w:val="00DF7433"/>
    <w:rsid w:val="00DF7465"/>
    <w:rsid w:val="00DF7560"/>
    <w:rsid w:val="00DF7682"/>
    <w:rsid w:val="00DF78DE"/>
    <w:rsid w:val="00DF78F2"/>
    <w:rsid w:val="00DF7CA7"/>
    <w:rsid w:val="00DF7D59"/>
    <w:rsid w:val="00DF7F6D"/>
    <w:rsid w:val="00DF7F9B"/>
    <w:rsid w:val="00E003DE"/>
    <w:rsid w:val="00E00427"/>
    <w:rsid w:val="00E005AA"/>
    <w:rsid w:val="00E0095A"/>
    <w:rsid w:val="00E00A7F"/>
    <w:rsid w:val="00E00BAB"/>
    <w:rsid w:val="00E00CA8"/>
    <w:rsid w:val="00E01174"/>
    <w:rsid w:val="00E01404"/>
    <w:rsid w:val="00E017F5"/>
    <w:rsid w:val="00E019FC"/>
    <w:rsid w:val="00E01A90"/>
    <w:rsid w:val="00E0209A"/>
    <w:rsid w:val="00E02147"/>
    <w:rsid w:val="00E02795"/>
    <w:rsid w:val="00E02815"/>
    <w:rsid w:val="00E0316F"/>
    <w:rsid w:val="00E03549"/>
    <w:rsid w:val="00E03709"/>
    <w:rsid w:val="00E0370A"/>
    <w:rsid w:val="00E03898"/>
    <w:rsid w:val="00E038F6"/>
    <w:rsid w:val="00E03AC2"/>
    <w:rsid w:val="00E04144"/>
    <w:rsid w:val="00E044A6"/>
    <w:rsid w:val="00E0470E"/>
    <w:rsid w:val="00E04B9E"/>
    <w:rsid w:val="00E04B9F"/>
    <w:rsid w:val="00E04E00"/>
    <w:rsid w:val="00E04FAA"/>
    <w:rsid w:val="00E05046"/>
    <w:rsid w:val="00E05097"/>
    <w:rsid w:val="00E05165"/>
    <w:rsid w:val="00E051C8"/>
    <w:rsid w:val="00E051EE"/>
    <w:rsid w:val="00E05317"/>
    <w:rsid w:val="00E0534C"/>
    <w:rsid w:val="00E05402"/>
    <w:rsid w:val="00E05443"/>
    <w:rsid w:val="00E05514"/>
    <w:rsid w:val="00E05751"/>
    <w:rsid w:val="00E057C1"/>
    <w:rsid w:val="00E05968"/>
    <w:rsid w:val="00E05B55"/>
    <w:rsid w:val="00E05B8F"/>
    <w:rsid w:val="00E05F66"/>
    <w:rsid w:val="00E0605A"/>
    <w:rsid w:val="00E063E2"/>
    <w:rsid w:val="00E06454"/>
    <w:rsid w:val="00E06E26"/>
    <w:rsid w:val="00E0712A"/>
    <w:rsid w:val="00E07179"/>
    <w:rsid w:val="00E07511"/>
    <w:rsid w:val="00E07955"/>
    <w:rsid w:val="00E07B62"/>
    <w:rsid w:val="00E07DD8"/>
    <w:rsid w:val="00E07E9C"/>
    <w:rsid w:val="00E07EB8"/>
    <w:rsid w:val="00E07F78"/>
    <w:rsid w:val="00E1015B"/>
    <w:rsid w:val="00E1037C"/>
    <w:rsid w:val="00E10385"/>
    <w:rsid w:val="00E103F8"/>
    <w:rsid w:val="00E10DDF"/>
    <w:rsid w:val="00E114E8"/>
    <w:rsid w:val="00E11A5E"/>
    <w:rsid w:val="00E11A99"/>
    <w:rsid w:val="00E11B19"/>
    <w:rsid w:val="00E11BAF"/>
    <w:rsid w:val="00E11BE3"/>
    <w:rsid w:val="00E11E7E"/>
    <w:rsid w:val="00E12054"/>
    <w:rsid w:val="00E12088"/>
    <w:rsid w:val="00E120CF"/>
    <w:rsid w:val="00E121DE"/>
    <w:rsid w:val="00E122A5"/>
    <w:rsid w:val="00E1247E"/>
    <w:rsid w:val="00E125FB"/>
    <w:rsid w:val="00E129D0"/>
    <w:rsid w:val="00E12A19"/>
    <w:rsid w:val="00E12B44"/>
    <w:rsid w:val="00E12D6F"/>
    <w:rsid w:val="00E12FDB"/>
    <w:rsid w:val="00E13074"/>
    <w:rsid w:val="00E13076"/>
    <w:rsid w:val="00E130F9"/>
    <w:rsid w:val="00E13188"/>
    <w:rsid w:val="00E131C3"/>
    <w:rsid w:val="00E1320F"/>
    <w:rsid w:val="00E13319"/>
    <w:rsid w:val="00E133C5"/>
    <w:rsid w:val="00E13455"/>
    <w:rsid w:val="00E1360C"/>
    <w:rsid w:val="00E136BE"/>
    <w:rsid w:val="00E139C9"/>
    <w:rsid w:val="00E13D6C"/>
    <w:rsid w:val="00E13EF6"/>
    <w:rsid w:val="00E14731"/>
    <w:rsid w:val="00E14759"/>
    <w:rsid w:val="00E148D1"/>
    <w:rsid w:val="00E149FB"/>
    <w:rsid w:val="00E14A5F"/>
    <w:rsid w:val="00E14E2B"/>
    <w:rsid w:val="00E1524E"/>
    <w:rsid w:val="00E152EE"/>
    <w:rsid w:val="00E15474"/>
    <w:rsid w:val="00E15572"/>
    <w:rsid w:val="00E15766"/>
    <w:rsid w:val="00E159CE"/>
    <w:rsid w:val="00E15A95"/>
    <w:rsid w:val="00E15B88"/>
    <w:rsid w:val="00E15E01"/>
    <w:rsid w:val="00E15FE0"/>
    <w:rsid w:val="00E163A6"/>
    <w:rsid w:val="00E16E02"/>
    <w:rsid w:val="00E16F85"/>
    <w:rsid w:val="00E172CA"/>
    <w:rsid w:val="00E1738E"/>
    <w:rsid w:val="00E174D6"/>
    <w:rsid w:val="00E17545"/>
    <w:rsid w:val="00E177CE"/>
    <w:rsid w:val="00E17A6E"/>
    <w:rsid w:val="00E20190"/>
    <w:rsid w:val="00E2034C"/>
    <w:rsid w:val="00E20392"/>
    <w:rsid w:val="00E204FE"/>
    <w:rsid w:val="00E20655"/>
    <w:rsid w:val="00E206C3"/>
    <w:rsid w:val="00E20AA7"/>
    <w:rsid w:val="00E20B39"/>
    <w:rsid w:val="00E20DF1"/>
    <w:rsid w:val="00E20E9D"/>
    <w:rsid w:val="00E20FCC"/>
    <w:rsid w:val="00E211C5"/>
    <w:rsid w:val="00E21364"/>
    <w:rsid w:val="00E21697"/>
    <w:rsid w:val="00E21823"/>
    <w:rsid w:val="00E21A01"/>
    <w:rsid w:val="00E21BC5"/>
    <w:rsid w:val="00E21E37"/>
    <w:rsid w:val="00E21E5E"/>
    <w:rsid w:val="00E21EB4"/>
    <w:rsid w:val="00E22096"/>
    <w:rsid w:val="00E221B9"/>
    <w:rsid w:val="00E221F8"/>
    <w:rsid w:val="00E22335"/>
    <w:rsid w:val="00E2251F"/>
    <w:rsid w:val="00E228E5"/>
    <w:rsid w:val="00E22B6E"/>
    <w:rsid w:val="00E22C48"/>
    <w:rsid w:val="00E22C52"/>
    <w:rsid w:val="00E22D99"/>
    <w:rsid w:val="00E23159"/>
    <w:rsid w:val="00E23263"/>
    <w:rsid w:val="00E23366"/>
    <w:rsid w:val="00E23376"/>
    <w:rsid w:val="00E236C6"/>
    <w:rsid w:val="00E23885"/>
    <w:rsid w:val="00E238B8"/>
    <w:rsid w:val="00E239C3"/>
    <w:rsid w:val="00E23ABC"/>
    <w:rsid w:val="00E23AE2"/>
    <w:rsid w:val="00E23B6E"/>
    <w:rsid w:val="00E23B9A"/>
    <w:rsid w:val="00E23C28"/>
    <w:rsid w:val="00E23E77"/>
    <w:rsid w:val="00E24102"/>
    <w:rsid w:val="00E24196"/>
    <w:rsid w:val="00E243FC"/>
    <w:rsid w:val="00E24559"/>
    <w:rsid w:val="00E24633"/>
    <w:rsid w:val="00E247A6"/>
    <w:rsid w:val="00E24BC9"/>
    <w:rsid w:val="00E24DE0"/>
    <w:rsid w:val="00E24ED2"/>
    <w:rsid w:val="00E25A72"/>
    <w:rsid w:val="00E25B4C"/>
    <w:rsid w:val="00E25CCF"/>
    <w:rsid w:val="00E25D73"/>
    <w:rsid w:val="00E25F74"/>
    <w:rsid w:val="00E25FD4"/>
    <w:rsid w:val="00E26300"/>
    <w:rsid w:val="00E263D8"/>
    <w:rsid w:val="00E26692"/>
    <w:rsid w:val="00E26852"/>
    <w:rsid w:val="00E269D7"/>
    <w:rsid w:val="00E26A80"/>
    <w:rsid w:val="00E26C84"/>
    <w:rsid w:val="00E26D53"/>
    <w:rsid w:val="00E26DF7"/>
    <w:rsid w:val="00E26E81"/>
    <w:rsid w:val="00E2716E"/>
    <w:rsid w:val="00E27435"/>
    <w:rsid w:val="00E2767F"/>
    <w:rsid w:val="00E276DE"/>
    <w:rsid w:val="00E27A53"/>
    <w:rsid w:val="00E27C79"/>
    <w:rsid w:val="00E27D41"/>
    <w:rsid w:val="00E300BD"/>
    <w:rsid w:val="00E3083D"/>
    <w:rsid w:val="00E30897"/>
    <w:rsid w:val="00E309D2"/>
    <w:rsid w:val="00E30ACA"/>
    <w:rsid w:val="00E30E94"/>
    <w:rsid w:val="00E31064"/>
    <w:rsid w:val="00E311E3"/>
    <w:rsid w:val="00E317EA"/>
    <w:rsid w:val="00E318E0"/>
    <w:rsid w:val="00E31AF4"/>
    <w:rsid w:val="00E31C73"/>
    <w:rsid w:val="00E31E9C"/>
    <w:rsid w:val="00E31EC3"/>
    <w:rsid w:val="00E32127"/>
    <w:rsid w:val="00E322B5"/>
    <w:rsid w:val="00E3250E"/>
    <w:rsid w:val="00E326B6"/>
    <w:rsid w:val="00E3296B"/>
    <w:rsid w:val="00E32985"/>
    <w:rsid w:val="00E32CE4"/>
    <w:rsid w:val="00E32EF3"/>
    <w:rsid w:val="00E32F68"/>
    <w:rsid w:val="00E33491"/>
    <w:rsid w:val="00E335D5"/>
    <w:rsid w:val="00E3365E"/>
    <w:rsid w:val="00E33A4C"/>
    <w:rsid w:val="00E33A50"/>
    <w:rsid w:val="00E33BB7"/>
    <w:rsid w:val="00E33BD0"/>
    <w:rsid w:val="00E33C5E"/>
    <w:rsid w:val="00E33CEC"/>
    <w:rsid w:val="00E33DE9"/>
    <w:rsid w:val="00E33E62"/>
    <w:rsid w:val="00E33F98"/>
    <w:rsid w:val="00E34156"/>
    <w:rsid w:val="00E3507E"/>
    <w:rsid w:val="00E350FC"/>
    <w:rsid w:val="00E351A5"/>
    <w:rsid w:val="00E351F9"/>
    <w:rsid w:val="00E35384"/>
    <w:rsid w:val="00E35390"/>
    <w:rsid w:val="00E3556F"/>
    <w:rsid w:val="00E3564F"/>
    <w:rsid w:val="00E35871"/>
    <w:rsid w:val="00E35AA6"/>
    <w:rsid w:val="00E35AC5"/>
    <w:rsid w:val="00E36196"/>
    <w:rsid w:val="00E36483"/>
    <w:rsid w:val="00E364E8"/>
    <w:rsid w:val="00E36A71"/>
    <w:rsid w:val="00E36D4D"/>
    <w:rsid w:val="00E36EE5"/>
    <w:rsid w:val="00E36FD9"/>
    <w:rsid w:val="00E3769A"/>
    <w:rsid w:val="00E378C4"/>
    <w:rsid w:val="00E378EC"/>
    <w:rsid w:val="00E379F2"/>
    <w:rsid w:val="00E37B9B"/>
    <w:rsid w:val="00E37BA8"/>
    <w:rsid w:val="00E37F75"/>
    <w:rsid w:val="00E37FD7"/>
    <w:rsid w:val="00E4019B"/>
    <w:rsid w:val="00E4081E"/>
    <w:rsid w:val="00E40AEB"/>
    <w:rsid w:val="00E40F6D"/>
    <w:rsid w:val="00E410A5"/>
    <w:rsid w:val="00E413E9"/>
    <w:rsid w:val="00E413FC"/>
    <w:rsid w:val="00E41728"/>
    <w:rsid w:val="00E418F5"/>
    <w:rsid w:val="00E4198A"/>
    <w:rsid w:val="00E42218"/>
    <w:rsid w:val="00E422FC"/>
    <w:rsid w:val="00E42357"/>
    <w:rsid w:val="00E424A4"/>
    <w:rsid w:val="00E42525"/>
    <w:rsid w:val="00E4269E"/>
    <w:rsid w:val="00E426F9"/>
    <w:rsid w:val="00E427CE"/>
    <w:rsid w:val="00E429DB"/>
    <w:rsid w:val="00E42D92"/>
    <w:rsid w:val="00E42D96"/>
    <w:rsid w:val="00E431E9"/>
    <w:rsid w:val="00E43322"/>
    <w:rsid w:val="00E43453"/>
    <w:rsid w:val="00E4361F"/>
    <w:rsid w:val="00E438F9"/>
    <w:rsid w:val="00E4420B"/>
    <w:rsid w:val="00E44235"/>
    <w:rsid w:val="00E44521"/>
    <w:rsid w:val="00E445A4"/>
    <w:rsid w:val="00E44813"/>
    <w:rsid w:val="00E44907"/>
    <w:rsid w:val="00E44909"/>
    <w:rsid w:val="00E45159"/>
    <w:rsid w:val="00E4522F"/>
    <w:rsid w:val="00E4531F"/>
    <w:rsid w:val="00E455C8"/>
    <w:rsid w:val="00E456B8"/>
    <w:rsid w:val="00E456D5"/>
    <w:rsid w:val="00E45C4D"/>
    <w:rsid w:val="00E45D0B"/>
    <w:rsid w:val="00E45DD3"/>
    <w:rsid w:val="00E45E50"/>
    <w:rsid w:val="00E460D5"/>
    <w:rsid w:val="00E46116"/>
    <w:rsid w:val="00E46235"/>
    <w:rsid w:val="00E4656D"/>
    <w:rsid w:val="00E46676"/>
    <w:rsid w:val="00E46989"/>
    <w:rsid w:val="00E46CB0"/>
    <w:rsid w:val="00E46D65"/>
    <w:rsid w:val="00E4702F"/>
    <w:rsid w:val="00E47530"/>
    <w:rsid w:val="00E47550"/>
    <w:rsid w:val="00E477B9"/>
    <w:rsid w:val="00E477EF"/>
    <w:rsid w:val="00E47A00"/>
    <w:rsid w:val="00E47B48"/>
    <w:rsid w:val="00E47F05"/>
    <w:rsid w:val="00E500A1"/>
    <w:rsid w:val="00E5019D"/>
    <w:rsid w:val="00E501CA"/>
    <w:rsid w:val="00E502F0"/>
    <w:rsid w:val="00E50475"/>
    <w:rsid w:val="00E508AD"/>
    <w:rsid w:val="00E509AB"/>
    <w:rsid w:val="00E509DF"/>
    <w:rsid w:val="00E50CEC"/>
    <w:rsid w:val="00E50EF3"/>
    <w:rsid w:val="00E51A1A"/>
    <w:rsid w:val="00E51B67"/>
    <w:rsid w:val="00E51E55"/>
    <w:rsid w:val="00E52544"/>
    <w:rsid w:val="00E52569"/>
    <w:rsid w:val="00E53101"/>
    <w:rsid w:val="00E53182"/>
    <w:rsid w:val="00E533B0"/>
    <w:rsid w:val="00E53404"/>
    <w:rsid w:val="00E53541"/>
    <w:rsid w:val="00E53724"/>
    <w:rsid w:val="00E53810"/>
    <w:rsid w:val="00E539B9"/>
    <w:rsid w:val="00E53C2E"/>
    <w:rsid w:val="00E53F1E"/>
    <w:rsid w:val="00E53F43"/>
    <w:rsid w:val="00E53F79"/>
    <w:rsid w:val="00E541D6"/>
    <w:rsid w:val="00E54255"/>
    <w:rsid w:val="00E542BD"/>
    <w:rsid w:val="00E5433A"/>
    <w:rsid w:val="00E54342"/>
    <w:rsid w:val="00E545E0"/>
    <w:rsid w:val="00E5465D"/>
    <w:rsid w:val="00E5483A"/>
    <w:rsid w:val="00E54B60"/>
    <w:rsid w:val="00E54D11"/>
    <w:rsid w:val="00E54DC1"/>
    <w:rsid w:val="00E550BE"/>
    <w:rsid w:val="00E55275"/>
    <w:rsid w:val="00E552C2"/>
    <w:rsid w:val="00E553FE"/>
    <w:rsid w:val="00E55679"/>
    <w:rsid w:val="00E55F2E"/>
    <w:rsid w:val="00E561B5"/>
    <w:rsid w:val="00E5640A"/>
    <w:rsid w:val="00E56599"/>
    <w:rsid w:val="00E568A7"/>
    <w:rsid w:val="00E56C87"/>
    <w:rsid w:val="00E56F06"/>
    <w:rsid w:val="00E57AE6"/>
    <w:rsid w:val="00E57B97"/>
    <w:rsid w:val="00E57CA4"/>
    <w:rsid w:val="00E57CB5"/>
    <w:rsid w:val="00E57EEF"/>
    <w:rsid w:val="00E60523"/>
    <w:rsid w:val="00E60648"/>
    <w:rsid w:val="00E608B4"/>
    <w:rsid w:val="00E608D3"/>
    <w:rsid w:val="00E60B92"/>
    <w:rsid w:val="00E60C56"/>
    <w:rsid w:val="00E60FA3"/>
    <w:rsid w:val="00E613AB"/>
    <w:rsid w:val="00E6148E"/>
    <w:rsid w:val="00E6178E"/>
    <w:rsid w:val="00E61919"/>
    <w:rsid w:val="00E61B0B"/>
    <w:rsid w:val="00E61C4A"/>
    <w:rsid w:val="00E61F89"/>
    <w:rsid w:val="00E61FA1"/>
    <w:rsid w:val="00E61FC7"/>
    <w:rsid w:val="00E61FE8"/>
    <w:rsid w:val="00E624A7"/>
    <w:rsid w:val="00E627F5"/>
    <w:rsid w:val="00E62827"/>
    <w:rsid w:val="00E628DA"/>
    <w:rsid w:val="00E62A3B"/>
    <w:rsid w:val="00E62F23"/>
    <w:rsid w:val="00E630DE"/>
    <w:rsid w:val="00E635A3"/>
    <w:rsid w:val="00E6372E"/>
    <w:rsid w:val="00E637E2"/>
    <w:rsid w:val="00E63FEC"/>
    <w:rsid w:val="00E64068"/>
    <w:rsid w:val="00E64107"/>
    <w:rsid w:val="00E6462F"/>
    <w:rsid w:val="00E64C05"/>
    <w:rsid w:val="00E64EF3"/>
    <w:rsid w:val="00E64F2A"/>
    <w:rsid w:val="00E65083"/>
    <w:rsid w:val="00E653A1"/>
    <w:rsid w:val="00E65407"/>
    <w:rsid w:val="00E65564"/>
    <w:rsid w:val="00E6599E"/>
    <w:rsid w:val="00E65A14"/>
    <w:rsid w:val="00E65A52"/>
    <w:rsid w:val="00E65A67"/>
    <w:rsid w:val="00E65B5E"/>
    <w:rsid w:val="00E65B73"/>
    <w:rsid w:val="00E65D02"/>
    <w:rsid w:val="00E65E44"/>
    <w:rsid w:val="00E65EE9"/>
    <w:rsid w:val="00E65F8A"/>
    <w:rsid w:val="00E65FFC"/>
    <w:rsid w:val="00E661E3"/>
    <w:rsid w:val="00E665A5"/>
    <w:rsid w:val="00E665F0"/>
    <w:rsid w:val="00E66621"/>
    <w:rsid w:val="00E666EC"/>
    <w:rsid w:val="00E66729"/>
    <w:rsid w:val="00E667C1"/>
    <w:rsid w:val="00E66824"/>
    <w:rsid w:val="00E66858"/>
    <w:rsid w:val="00E668BA"/>
    <w:rsid w:val="00E66F28"/>
    <w:rsid w:val="00E6721B"/>
    <w:rsid w:val="00E67357"/>
    <w:rsid w:val="00E674BF"/>
    <w:rsid w:val="00E678AD"/>
    <w:rsid w:val="00E67998"/>
    <w:rsid w:val="00E67BA0"/>
    <w:rsid w:val="00E67E01"/>
    <w:rsid w:val="00E70014"/>
    <w:rsid w:val="00E701EB"/>
    <w:rsid w:val="00E7034D"/>
    <w:rsid w:val="00E706C4"/>
    <w:rsid w:val="00E70797"/>
    <w:rsid w:val="00E70895"/>
    <w:rsid w:val="00E709A0"/>
    <w:rsid w:val="00E70A49"/>
    <w:rsid w:val="00E70CDE"/>
    <w:rsid w:val="00E70CEB"/>
    <w:rsid w:val="00E71027"/>
    <w:rsid w:val="00E711AB"/>
    <w:rsid w:val="00E7124E"/>
    <w:rsid w:val="00E713B3"/>
    <w:rsid w:val="00E71504"/>
    <w:rsid w:val="00E71567"/>
    <w:rsid w:val="00E716F6"/>
    <w:rsid w:val="00E71914"/>
    <w:rsid w:val="00E71A2A"/>
    <w:rsid w:val="00E71A57"/>
    <w:rsid w:val="00E71ACB"/>
    <w:rsid w:val="00E71AFB"/>
    <w:rsid w:val="00E71CB7"/>
    <w:rsid w:val="00E71DA5"/>
    <w:rsid w:val="00E71FC5"/>
    <w:rsid w:val="00E7206D"/>
    <w:rsid w:val="00E720FB"/>
    <w:rsid w:val="00E72697"/>
    <w:rsid w:val="00E726BB"/>
    <w:rsid w:val="00E72926"/>
    <w:rsid w:val="00E72C50"/>
    <w:rsid w:val="00E72ECE"/>
    <w:rsid w:val="00E72F7C"/>
    <w:rsid w:val="00E7315C"/>
    <w:rsid w:val="00E7337C"/>
    <w:rsid w:val="00E73745"/>
    <w:rsid w:val="00E73865"/>
    <w:rsid w:val="00E739B6"/>
    <w:rsid w:val="00E73A7D"/>
    <w:rsid w:val="00E73BF9"/>
    <w:rsid w:val="00E74064"/>
    <w:rsid w:val="00E740BA"/>
    <w:rsid w:val="00E74148"/>
    <w:rsid w:val="00E74228"/>
    <w:rsid w:val="00E7422A"/>
    <w:rsid w:val="00E74BA6"/>
    <w:rsid w:val="00E74ED0"/>
    <w:rsid w:val="00E750C5"/>
    <w:rsid w:val="00E75156"/>
    <w:rsid w:val="00E75422"/>
    <w:rsid w:val="00E75467"/>
    <w:rsid w:val="00E75947"/>
    <w:rsid w:val="00E7596A"/>
    <w:rsid w:val="00E759B2"/>
    <w:rsid w:val="00E75B45"/>
    <w:rsid w:val="00E75FC2"/>
    <w:rsid w:val="00E76202"/>
    <w:rsid w:val="00E762C5"/>
    <w:rsid w:val="00E763A2"/>
    <w:rsid w:val="00E7641C"/>
    <w:rsid w:val="00E7642C"/>
    <w:rsid w:val="00E764AC"/>
    <w:rsid w:val="00E765E8"/>
    <w:rsid w:val="00E76A5C"/>
    <w:rsid w:val="00E77057"/>
    <w:rsid w:val="00E7732E"/>
    <w:rsid w:val="00E773E4"/>
    <w:rsid w:val="00E7740C"/>
    <w:rsid w:val="00E77432"/>
    <w:rsid w:val="00E776BB"/>
    <w:rsid w:val="00E777E4"/>
    <w:rsid w:val="00E77B4C"/>
    <w:rsid w:val="00E77CAD"/>
    <w:rsid w:val="00E77FA8"/>
    <w:rsid w:val="00E80015"/>
    <w:rsid w:val="00E8026D"/>
    <w:rsid w:val="00E8030A"/>
    <w:rsid w:val="00E80500"/>
    <w:rsid w:val="00E8050B"/>
    <w:rsid w:val="00E8094F"/>
    <w:rsid w:val="00E80A2B"/>
    <w:rsid w:val="00E80C42"/>
    <w:rsid w:val="00E813C0"/>
    <w:rsid w:val="00E81459"/>
    <w:rsid w:val="00E82093"/>
    <w:rsid w:val="00E821F0"/>
    <w:rsid w:val="00E82324"/>
    <w:rsid w:val="00E823EA"/>
    <w:rsid w:val="00E82471"/>
    <w:rsid w:val="00E8265B"/>
    <w:rsid w:val="00E826FB"/>
    <w:rsid w:val="00E8271A"/>
    <w:rsid w:val="00E8286F"/>
    <w:rsid w:val="00E8293D"/>
    <w:rsid w:val="00E82AE3"/>
    <w:rsid w:val="00E82C18"/>
    <w:rsid w:val="00E82D4C"/>
    <w:rsid w:val="00E82FD4"/>
    <w:rsid w:val="00E8303D"/>
    <w:rsid w:val="00E8304F"/>
    <w:rsid w:val="00E8324C"/>
    <w:rsid w:val="00E835C1"/>
    <w:rsid w:val="00E839C7"/>
    <w:rsid w:val="00E83F5F"/>
    <w:rsid w:val="00E83F95"/>
    <w:rsid w:val="00E840FB"/>
    <w:rsid w:val="00E84258"/>
    <w:rsid w:val="00E84526"/>
    <w:rsid w:val="00E846A9"/>
    <w:rsid w:val="00E84719"/>
    <w:rsid w:val="00E848C4"/>
    <w:rsid w:val="00E84A60"/>
    <w:rsid w:val="00E84F79"/>
    <w:rsid w:val="00E8511A"/>
    <w:rsid w:val="00E853C8"/>
    <w:rsid w:val="00E853F5"/>
    <w:rsid w:val="00E85449"/>
    <w:rsid w:val="00E859F1"/>
    <w:rsid w:val="00E85A91"/>
    <w:rsid w:val="00E85B5F"/>
    <w:rsid w:val="00E85BE3"/>
    <w:rsid w:val="00E85C82"/>
    <w:rsid w:val="00E85F3D"/>
    <w:rsid w:val="00E860DC"/>
    <w:rsid w:val="00E8639A"/>
    <w:rsid w:val="00E86577"/>
    <w:rsid w:val="00E86799"/>
    <w:rsid w:val="00E86D66"/>
    <w:rsid w:val="00E86E68"/>
    <w:rsid w:val="00E87307"/>
    <w:rsid w:val="00E87313"/>
    <w:rsid w:val="00E87333"/>
    <w:rsid w:val="00E87362"/>
    <w:rsid w:val="00E8748C"/>
    <w:rsid w:val="00E87722"/>
    <w:rsid w:val="00E87744"/>
    <w:rsid w:val="00E87845"/>
    <w:rsid w:val="00E87A47"/>
    <w:rsid w:val="00E87D94"/>
    <w:rsid w:val="00E87F55"/>
    <w:rsid w:val="00E87FC4"/>
    <w:rsid w:val="00E90A1C"/>
    <w:rsid w:val="00E91109"/>
    <w:rsid w:val="00E9155C"/>
    <w:rsid w:val="00E9161A"/>
    <w:rsid w:val="00E91659"/>
    <w:rsid w:val="00E918A6"/>
    <w:rsid w:val="00E91BB1"/>
    <w:rsid w:val="00E91BB4"/>
    <w:rsid w:val="00E91C63"/>
    <w:rsid w:val="00E91CD1"/>
    <w:rsid w:val="00E91E00"/>
    <w:rsid w:val="00E922BF"/>
    <w:rsid w:val="00E9259F"/>
    <w:rsid w:val="00E926C9"/>
    <w:rsid w:val="00E92755"/>
    <w:rsid w:val="00E92762"/>
    <w:rsid w:val="00E92AEE"/>
    <w:rsid w:val="00E93126"/>
    <w:rsid w:val="00E93279"/>
    <w:rsid w:val="00E93799"/>
    <w:rsid w:val="00E93D4E"/>
    <w:rsid w:val="00E93FE0"/>
    <w:rsid w:val="00E940B2"/>
    <w:rsid w:val="00E946BB"/>
    <w:rsid w:val="00E9543D"/>
    <w:rsid w:val="00E95626"/>
    <w:rsid w:val="00E95723"/>
    <w:rsid w:val="00E95859"/>
    <w:rsid w:val="00E95AE1"/>
    <w:rsid w:val="00E95B16"/>
    <w:rsid w:val="00E95B77"/>
    <w:rsid w:val="00E95BFB"/>
    <w:rsid w:val="00E95C9A"/>
    <w:rsid w:val="00E95CBA"/>
    <w:rsid w:val="00E95D68"/>
    <w:rsid w:val="00E95E51"/>
    <w:rsid w:val="00E95EC2"/>
    <w:rsid w:val="00E95F2C"/>
    <w:rsid w:val="00E95FB8"/>
    <w:rsid w:val="00E96035"/>
    <w:rsid w:val="00E96112"/>
    <w:rsid w:val="00E9629C"/>
    <w:rsid w:val="00E962BC"/>
    <w:rsid w:val="00E96DD1"/>
    <w:rsid w:val="00E96E58"/>
    <w:rsid w:val="00E96E77"/>
    <w:rsid w:val="00E96F2D"/>
    <w:rsid w:val="00E972C9"/>
    <w:rsid w:val="00E97485"/>
    <w:rsid w:val="00E97584"/>
    <w:rsid w:val="00E9772C"/>
    <w:rsid w:val="00E97795"/>
    <w:rsid w:val="00E977AA"/>
    <w:rsid w:val="00E977DB"/>
    <w:rsid w:val="00E97864"/>
    <w:rsid w:val="00E97D5E"/>
    <w:rsid w:val="00E97E68"/>
    <w:rsid w:val="00EA0241"/>
    <w:rsid w:val="00EA0267"/>
    <w:rsid w:val="00EA045F"/>
    <w:rsid w:val="00EA04DA"/>
    <w:rsid w:val="00EA0616"/>
    <w:rsid w:val="00EA0667"/>
    <w:rsid w:val="00EA0B1E"/>
    <w:rsid w:val="00EA0B68"/>
    <w:rsid w:val="00EA0D59"/>
    <w:rsid w:val="00EA0E76"/>
    <w:rsid w:val="00EA135B"/>
    <w:rsid w:val="00EA1460"/>
    <w:rsid w:val="00EA16CF"/>
    <w:rsid w:val="00EA196E"/>
    <w:rsid w:val="00EA1A07"/>
    <w:rsid w:val="00EA1A27"/>
    <w:rsid w:val="00EA1B8C"/>
    <w:rsid w:val="00EA1ECD"/>
    <w:rsid w:val="00EA2194"/>
    <w:rsid w:val="00EA2267"/>
    <w:rsid w:val="00EA2441"/>
    <w:rsid w:val="00EA2903"/>
    <w:rsid w:val="00EA298F"/>
    <w:rsid w:val="00EA2B7A"/>
    <w:rsid w:val="00EA2F75"/>
    <w:rsid w:val="00EA3018"/>
    <w:rsid w:val="00EA3229"/>
    <w:rsid w:val="00EA3324"/>
    <w:rsid w:val="00EA33A6"/>
    <w:rsid w:val="00EA3E2B"/>
    <w:rsid w:val="00EA4240"/>
    <w:rsid w:val="00EA42F1"/>
    <w:rsid w:val="00EA4682"/>
    <w:rsid w:val="00EA4794"/>
    <w:rsid w:val="00EA487F"/>
    <w:rsid w:val="00EA4954"/>
    <w:rsid w:val="00EA49CD"/>
    <w:rsid w:val="00EA4A6D"/>
    <w:rsid w:val="00EA4EA4"/>
    <w:rsid w:val="00EA4EA8"/>
    <w:rsid w:val="00EA50D8"/>
    <w:rsid w:val="00EA522B"/>
    <w:rsid w:val="00EA5A22"/>
    <w:rsid w:val="00EA5A4F"/>
    <w:rsid w:val="00EA5AFA"/>
    <w:rsid w:val="00EA5B6F"/>
    <w:rsid w:val="00EA61F2"/>
    <w:rsid w:val="00EA6602"/>
    <w:rsid w:val="00EA6ECA"/>
    <w:rsid w:val="00EA7007"/>
    <w:rsid w:val="00EA73A2"/>
    <w:rsid w:val="00EA75DC"/>
    <w:rsid w:val="00EA7828"/>
    <w:rsid w:val="00EA7A72"/>
    <w:rsid w:val="00EA7B2F"/>
    <w:rsid w:val="00EA7C4C"/>
    <w:rsid w:val="00EB0340"/>
    <w:rsid w:val="00EB077B"/>
    <w:rsid w:val="00EB0B6C"/>
    <w:rsid w:val="00EB0EB9"/>
    <w:rsid w:val="00EB0EEC"/>
    <w:rsid w:val="00EB18E4"/>
    <w:rsid w:val="00EB190B"/>
    <w:rsid w:val="00EB1CD5"/>
    <w:rsid w:val="00EB1CE6"/>
    <w:rsid w:val="00EB1DAC"/>
    <w:rsid w:val="00EB1E29"/>
    <w:rsid w:val="00EB2769"/>
    <w:rsid w:val="00EB2874"/>
    <w:rsid w:val="00EB28DB"/>
    <w:rsid w:val="00EB29DD"/>
    <w:rsid w:val="00EB2F87"/>
    <w:rsid w:val="00EB2FD2"/>
    <w:rsid w:val="00EB2FDD"/>
    <w:rsid w:val="00EB3011"/>
    <w:rsid w:val="00EB303B"/>
    <w:rsid w:val="00EB3664"/>
    <w:rsid w:val="00EB3DA5"/>
    <w:rsid w:val="00EB3F1C"/>
    <w:rsid w:val="00EB416E"/>
    <w:rsid w:val="00EB4A71"/>
    <w:rsid w:val="00EB4D0F"/>
    <w:rsid w:val="00EB534E"/>
    <w:rsid w:val="00EB5353"/>
    <w:rsid w:val="00EB59CA"/>
    <w:rsid w:val="00EB5B9D"/>
    <w:rsid w:val="00EB68EF"/>
    <w:rsid w:val="00EB6B54"/>
    <w:rsid w:val="00EB6BF9"/>
    <w:rsid w:val="00EB7333"/>
    <w:rsid w:val="00EB749E"/>
    <w:rsid w:val="00EB74A6"/>
    <w:rsid w:val="00EB76E7"/>
    <w:rsid w:val="00EB7788"/>
    <w:rsid w:val="00EB7AE0"/>
    <w:rsid w:val="00EB7EDD"/>
    <w:rsid w:val="00EB7EF5"/>
    <w:rsid w:val="00EB7F52"/>
    <w:rsid w:val="00EB7FF5"/>
    <w:rsid w:val="00EC01B0"/>
    <w:rsid w:val="00EC02E9"/>
    <w:rsid w:val="00EC0667"/>
    <w:rsid w:val="00EC0743"/>
    <w:rsid w:val="00EC094E"/>
    <w:rsid w:val="00EC0B35"/>
    <w:rsid w:val="00EC0EB6"/>
    <w:rsid w:val="00EC0ED6"/>
    <w:rsid w:val="00EC13C2"/>
    <w:rsid w:val="00EC16BB"/>
    <w:rsid w:val="00EC1834"/>
    <w:rsid w:val="00EC1861"/>
    <w:rsid w:val="00EC19EA"/>
    <w:rsid w:val="00EC19F4"/>
    <w:rsid w:val="00EC1A4F"/>
    <w:rsid w:val="00EC1B80"/>
    <w:rsid w:val="00EC1DEF"/>
    <w:rsid w:val="00EC269B"/>
    <w:rsid w:val="00EC26D3"/>
    <w:rsid w:val="00EC2C0C"/>
    <w:rsid w:val="00EC2CA9"/>
    <w:rsid w:val="00EC3557"/>
    <w:rsid w:val="00EC37A8"/>
    <w:rsid w:val="00EC38B5"/>
    <w:rsid w:val="00EC39C6"/>
    <w:rsid w:val="00EC3A6B"/>
    <w:rsid w:val="00EC3D09"/>
    <w:rsid w:val="00EC3F3C"/>
    <w:rsid w:val="00EC4B5E"/>
    <w:rsid w:val="00EC4C95"/>
    <w:rsid w:val="00EC4F5E"/>
    <w:rsid w:val="00EC4F76"/>
    <w:rsid w:val="00EC4F80"/>
    <w:rsid w:val="00EC4FF8"/>
    <w:rsid w:val="00EC52EE"/>
    <w:rsid w:val="00EC58D5"/>
    <w:rsid w:val="00EC58D8"/>
    <w:rsid w:val="00EC5BD9"/>
    <w:rsid w:val="00EC5E0C"/>
    <w:rsid w:val="00EC6183"/>
    <w:rsid w:val="00EC65D4"/>
    <w:rsid w:val="00EC67F6"/>
    <w:rsid w:val="00EC682B"/>
    <w:rsid w:val="00EC6FDA"/>
    <w:rsid w:val="00EC705A"/>
    <w:rsid w:val="00EC72C7"/>
    <w:rsid w:val="00EC7372"/>
    <w:rsid w:val="00EC73F8"/>
    <w:rsid w:val="00EC7590"/>
    <w:rsid w:val="00EC75A7"/>
    <w:rsid w:val="00EC76AA"/>
    <w:rsid w:val="00EC7851"/>
    <w:rsid w:val="00EC788C"/>
    <w:rsid w:val="00EC7F71"/>
    <w:rsid w:val="00ED0155"/>
    <w:rsid w:val="00ED01A6"/>
    <w:rsid w:val="00ED04F3"/>
    <w:rsid w:val="00ED0550"/>
    <w:rsid w:val="00ED067C"/>
    <w:rsid w:val="00ED0CB4"/>
    <w:rsid w:val="00ED1353"/>
    <w:rsid w:val="00ED1686"/>
    <w:rsid w:val="00ED1CD0"/>
    <w:rsid w:val="00ED20C8"/>
    <w:rsid w:val="00ED21AB"/>
    <w:rsid w:val="00ED2824"/>
    <w:rsid w:val="00ED2C72"/>
    <w:rsid w:val="00ED367D"/>
    <w:rsid w:val="00ED3995"/>
    <w:rsid w:val="00ED3B96"/>
    <w:rsid w:val="00ED4495"/>
    <w:rsid w:val="00ED44D6"/>
    <w:rsid w:val="00ED465C"/>
    <w:rsid w:val="00ED4867"/>
    <w:rsid w:val="00ED4E07"/>
    <w:rsid w:val="00ED542F"/>
    <w:rsid w:val="00ED5905"/>
    <w:rsid w:val="00ED59D0"/>
    <w:rsid w:val="00ED5C0F"/>
    <w:rsid w:val="00ED5D51"/>
    <w:rsid w:val="00ED602B"/>
    <w:rsid w:val="00ED6042"/>
    <w:rsid w:val="00ED61AC"/>
    <w:rsid w:val="00ED63A3"/>
    <w:rsid w:val="00ED6AD4"/>
    <w:rsid w:val="00ED6B96"/>
    <w:rsid w:val="00ED6D5D"/>
    <w:rsid w:val="00ED71E1"/>
    <w:rsid w:val="00ED71EE"/>
    <w:rsid w:val="00ED7309"/>
    <w:rsid w:val="00ED78C3"/>
    <w:rsid w:val="00ED7A53"/>
    <w:rsid w:val="00ED7AE2"/>
    <w:rsid w:val="00ED7B5E"/>
    <w:rsid w:val="00ED7F43"/>
    <w:rsid w:val="00EE00EC"/>
    <w:rsid w:val="00EE035C"/>
    <w:rsid w:val="00EE05F4"/>
    <w:rsid w:val="00EE0926"/>
    <w:rsid w:val="00EE0932"/>
    <w:rsid w:val="00EE0A27"/>
    <w:rsid w:val="00EE0D82"/>
    <w:rsid w:val="00EE0DA7"/>
    <w:rsid w:val="00EE0E57"/>
    <w:rsid w:val="00EE0ED5"/>
    <w:rsid w:val="00EE1019"/>
    <w:rsid w:val="00EE1023"/>
    <w:rsid w:val="00EE10D5"/>
    <w:rsid w:val="00EE161B"/>
    <w:rsid w:val="00EE1622"/>
    <w:rsid w:val="00EE1951"/>
    <w:rsid w:val="00EE1B3E"/>
    <w:rsid w:val="00EE1BB6"/>
    <w:rsid w:val="00EE1E5C"/>
    <w:rsid w:val="00EE203B"/>
    <w:rsid w:val="00EE204E"/>
    <w:rsid w:val="00EE21AE"/>
    <w:rsid w:val="00EE272B"/>
    <w:rsid w:val="00EE27E9"/>
    <w:rsid w:val="00EE281B"/>
    <w:rsid w:val="00EE29B5"/>
    <w:rsid w:val="00EE2AAE"/>
    <w:rsid w:val="00EE2D67"/>
    <w:rsid w:val="00EE2DB3"/>
    <w:rsid w:val="00EE2F6C"/>
    <w:rsid w:val="00EE3073"/>
    <w:rsid w:val="00EE3153"/>
    <w:rsid w:val="00EE3257"/>
    <w:rsid w:val="00EE35CE"/>
    <w:rsid w:val="00EE3916"/>
    <w:rsid w:val="00EE3964"/>
    <w:rsid w:val="00EE3B00"/>
    <w:rsid w:val="00EE442F"/>
    <w:rsid w:val="00EE4446"/>
    <w:rsid w:val="00EE4465"/>
    <w:rsid w:val="00EE45B8"/>
    <w:rsid w:val="00EE4A2C"/>
    <w:rsid w:val="00EE4AA2"/>
    <w:rsid w:val="00EE4BBF"/>
    <w:rsid w:val="00EE4EC1"/>
    <w:rsid w:val="00EE5154"/>
    <w:rsid w:val="00EE554C"/>
    <w:rsid w:val="00EE56B6"/>
    <w:rsid w:val="00EE56C9"/>
    <w:rsid w:val="00EE5ADD"/>
    <w:rsid w:val="00EE5C77"/>
    <w:rsid w:val="00EE5D24"/>
    <w:rsid w:val="00EE5E56"/>
    <w:rsid w:val="00EE5F0D"/>
    <w:rsid w:val="00EE623A"/>
    <w:rsid w:val="00EE6344"/>
    <w:rsid w:val="00EE664D"/>
    <w:rsid w:val="00EE67DD"/>
    <w:rsid w:val="00EE6C68"/>
    <w:rsid w:val="00EE6F30"/>
    <w:rsid w:val="00EE72E4"/>
    <w:rsid w:val="00EE7551"/>
    <w:rsid w:val="00EE7572"/>
    <w:rsid w:val="00EE75D7"/>
    <w:rsid w:val="00EE77A2"/>
    <w:rsid w:val="00EF004A"/>
    <w:rsid w:val="00EF03FF"/>
    <w:rsid w:val="00EF04B5"/>
    <w:rsid w:val="00EF0973"/>
    <w:rsid w:val="00EF0F78"/>
    <w:rsid w:val="00EF1002"/>
    <w:rsid w:val="00EF1305"/>
    <w:rsid w:val="00EF14EB"/>
    <w:rsid w:val="00EF1613"/>
    <w:rsid w:val="00EF1786"/>
    <w:rsid w:val="00EF18CA"/>
    <w:rsid w:val="00EF199A"/>
    <w:rsid w:val="00EF1CA6"/>
    <w:rsid w:val="00EF22CA"/>
    <w:rsid w:val="00EF24BE"/>
    <w:rsid w:val="00EF25F1"/>
    <w:rsid w:val="00EF273C"/>
    <w:rsid w:val="00EF2AC5"/>
    <w:rsid w:val="00EF2AFF"/>
    <w:rsid w:val="00EF2E62"/>
    <w:rsid w:val="00EF3023"/>
    <w:rsid w:val="00EF3111"/>
    <w:rsid w:val="00EF3252"/>
    <w:rsid w:val="00EF34C5"/>
    <w:rsid w:val="00EF353B"/>
    <w:rsid w:val="00EF3593"/>
    <w:rsid w:val="00EF365C"/>
    <w:rsid w:val="00EF398C"/>
    <w:rsid w:val="00EF3BA0"/>
    <w:rsid w:val="00EF3D6D"/>
    <w:rsid w:val="00EF3DFF"/>
    <w:rsid w:val="00EF42D1"/>
    <w:rsid w:val="00EF4699"/>
    <w:rsid w:val="00EF46A9"/>
    <w:rsid w:val="00EF46CC"/>
    <w:rsid w:val="00EF4C3A"/>
    <w:rsid w:val="00EF4C8D"/>
    <w:rsid w:val="00EF4DCA"/>
    <w:rsid w:val="00EF4F8E"/>
    <w:rsid w:val="00EF526B"/>
    <w:rsid w:val="00EF5C68"/>
    <w:rsid w:val="00EF60FE"/>
    <w:rsid w:val="00EF6281"/>
    <w:rsid w:val="00EF6321"/>
    <w:rsid w:val="00EF6489"/>
    <w:rsid w:val="00EF661D"/>
    <w:rsid w:val="00EF66FF"/>
    <w:rsid w:val="00EF695C"/>
    <w:rsid w:val="00EF6DD2"/>
    <w:rsid w:val="00EF6EF5"/>
    <w:rsid w:val="00EF7072"/>
    <w:rsid w:val="00EF7523"/>
    <w:rsid w:val="00EF7658"/>
    <w:rsid w:val="00EF76ED"/>
    <w:rsid w:val="00EF7798"/>
    <w:rsid w:val="00EF784C"/>
    <w:rsid w:val="00EF7989"/>
    <w:rsid w:val="00EF79B6"/>
    <w:rsid w:val="00EF79D3"/>
    <w:rsid w:val="00EF7A3F"/>
    <w:rsid w:val="00EF7E61"/>
    <w:rsid w:val="00EF7EB9"/>
    <w:rsid w:val="00F009AF"/>
    <w:rsid w:val="00F00A8E"/>
    <w:rsid w:val="00F00ABB"/>
    <w:rsid w:val="00F00AD5"/>
    <w:rsid w:val="00F00B17"/>
    <w:rsid w:val="00F0135A"/>
    <w:rsid w:val="00F01A65"/>
    <w:rsid w:val="00F02197"/>
    <w:rsid w:val="00F0219B"/>
    <w:rsid w:val="00F023D8"/>
    <w:rsid w:val="00F02440"/>
    <w:rsid w:val="00F02465"/>
    <w:rsid w:val="00F02500"/>
    <w:rsid w:val="00F027C0"/>
    <w:rsid w:val="00F02862"/>
    <w:rsid w:val="00F02901"/>
    <w:rsid w:val="00F037F9"/>
    <w:rsid w:val="00F03837"/>
    <w:rsid w:val="00F03934"/>
    <w:rsid w:val="00F03A90"/>
    <w:rsid w:val="00F03B2B"/>
    <w:rsid w:val="00F03B5F"/>
    <w:rsid w:val="00F03DB0"/>
    <w:rsid w:val="00F045F1"/>
    <w:rsid w:val="00F0480B"/>
    <w:rsid w:val="00F0481A"/>
    <w:rsid w:val="00F049E6"/>
    <w:rsid w:val="00F049E8"/>
    <w:rsid w:val="00F04F72"/>
    <w:rsid w:val="00F050D8"/>
    <w:rsid w:val="00F0544C"/>
    <w:rsid w:val="00F054F5"/>
    <w:rsid w:val="00F05602"/>
    <w:rsid w:val="00F05A7F"/>
    <w:rsid w:val="00F05A8D"/>
    <w:rsid w:val="00F05C9A"/>
    <w:rsid w:val="00F05D80"/>
    <w:rsid w:val="00F06231"/>
    <w:rsid w:val="00F06830"/>
    <w:rsid w:val="00F06A6B"/>
    <w:rsid w:val="00F06D2A"/>
    <w:rsid w:val="00F06E36"/>
    <w:rsid w:val="00F07501"/>
    <w:rsid w:val="00F07789"/>
    <w:rsid w:val="00F101BC"/>
    <w:rsid w:val="00F102C5"/>
    <w:rsid w:val="00F104E1"/>
    <w:rsid w:val="00F10541"/>
    <w:rsid w:val="00F108F3"/>
    <w:rsid w:val="00F109AA"/>
    <w:rsid w:val="00F110EE"/>
    <w:rsid w:val="00F11159"/>
    <w:rsid w:val="00F11195"/>
    <w:rsid w:val="00F11230"/>
    <w:rsid w:val="00F115B0"/>
    <w:rsid w:val="00F11A18"/>
    <w:rsid w:val="00F11B05"/>
    <w:rsid w:val="00F11C38"/>
    <w:rsid w:val="00F11F62"/>
    <w:rsid w:val="00F12941"/>
    <w:rsid w:val="00F12BFC"/>
    <w:rsid w:val="00F13051"/>
    <w:rsid w:val="00F13119"/>
    <w:rsid w:val="00F133E9"/>
    <w:rsid w:val="00F133F2"/>
    <w:rsid w:val="00F1362E"/>
    <w:rsid w:val="00F13AF6"/>
    <w:rsid w:val="00F13B38"/>
    <w:rsid w:val="00F13EA3"/>
    <w:rsid w:val="00F13ECB"/>
    <w:rsid w:val="00F13F15"/>
    <w:rsid w:val="00F142C4"/>
    <w:rsid w:val="00F142CF"/>
    <w:rsid w:val="00F145D6"/>
    <w:rsid w:val="00F14823"/>
    <w:rsid w:val="00F14A4D"/>
    <w:rsid w:val="00F14E67"/>
    <w:rsid w:val="00F14FC2"/>
    <w:rsid w:val="00F150F8"/>
    <w:rsid w:val="00F152AC"/>
    <w:rsid w:val="00F152BC"/>
    <w:rsid w:val="00F15614"/>
    <w:rsid w:val="00F15A67"/>
    <w:rsid w:val="00F15A89"/>
    <w:rsid w:val="00F15D1D"/>
    <w:rsid w:val="00F15ED3"/>
    <w:rsid w:val="00F16074"/>
    <w:rsid w:val="00F1680A"/>
    <w:rsid w:val="00F16886"/>
    <w:rsid w:val="00F16C62"/>
    <w:rsid w:val="00F173E4"/>
    <w:rsid w:val="00F17590"/>
    <w:rsid w:val="00F17716"/>
    <w:rsid w:val="00F177F5"/>
    <w:rsid w:val="00F17953"/>
    <w:rsid w:val="00F17C03"/>
    <w:rsid w:val="00F17F15"/>
    <w:rsid w:val="00F17F43"/>
    <w:rsid w:val="00F2014C"/>
    <w:rsid w:val="00F203AB"/>
    <w:rsid w:val="00F20457"/>
    <w:rsid w:val="00F2063F"/>
    <w:rsid w:val="00F20857"/>
    <w:rsid w:val="00F208E2"/>
    <w:rsid w:val="00F20A76"/>
    <w:rsid w:val="00F20C58"/>
    <w:rsid w:val="00F20F07"/>
    <w:rsid w:val="00F20F16"/>
    <w:rsid w:val="00F20F96"/>
    <w:rsid w:val="00F21120"/>
    <w:rsid w:val="00F213C7"/>
    <w:rsid w:val="00F213C8"/>
    <w:rsid w:val="00F21550"/>
    <w:rsid w:val="00F21D0B"/>
    <w:rsid w:val="00F21DA8"/>
    <w:rsid w:val="00F229BD"/>
    <w:rsid w:val="00F22B34"/>
    <w:rsid w:val="00F22B5D"/>
    <w:rsid w:val="00F22B63"/>
    <w:rsid w:val="00F22C32"/>
    <w:rsid w:val="00F22C8C"/>
    <w:rsid w:val="00F22D71"/>
    <w:rsid w:val="00F23122"/>
    <w:rsid w:val="00F2357D"/>
    <w:rsid w:val="00F23605"/>
    <w:rsid w:val="00F23DB4"/>
    <w:rsid w:val="00F23DC8"/>
    <w:rsid w:val="00F23F9F"/>
    <w:rsid w:val="00F2424F"/>
    <w:rsid w:val="00F2438C"/>
    <w:rsid w:val="00F2443F"/>
    <w:rsid w:val="00F24580"/>
    <w:rsid w:val="00F24607"/>
    <w:rsid w:val="00F247D4"/>
    <w:rsid w:val="00F24A48"/>
    <w:rsid w:val="00F24A59"/>
    <w:rsid w:val="00F25012"/>
    <w:rsid w:val="00F25485"/>
    <w:rsid w:val="00F25969"/>
    <w:rsid w:val="00F25E1A"/>
    <w:rsid w:val="00F26131"/>
    <w:rsid w:val="00F262FC"/>
    <w:rsid w:val="00F26331"/>
    <w:rsid w:val="00F2658D"/>
    <w:rsid w:val="00F26666"/>
    <w:rsid w:val="00F26E9E"/>
    <w:rsid w:val="00F26F51"/>
    <w:rsid w:val="00F26F8E"/>
    <w:rsid w:val="00F2708E"/>
    <w:rsid w:val="00F270A8"/>
    <w:rsid w:val="00F271CD"/>
    <w:rsid w:val="00F2722B"/>
    <w:rsid w:val="00F272C0"/>
    <w:rsid w:val="00F276C5"/>
    <w:rsid w:val="00F277CB"/>
    <w:rsid w:val="00F279D3"/>
    <w:rsid w:val="00F27AAF"/>
    <w:rsid w:val="00F27AC7"/>
    <w:rsid w:val="00F27B03"/>
    <w:rsid w:val="00F27C90"/>
    <w:rsid w:val="00F27F89"/>
    <w:rsid w:val="00F30122"/>
    <w:rsid w:val="00F30754"/>
    <w:rsid w:val="00F30976"/>
    <w:rsid w:val="00F30A24"/>
    <w:rsid w:val="00F30A9C"/>
    <w:rsid w:val="00F30EF5"/>
    <w:rsid w:val="00F31569"/>
    <w:rsid w:val="00F3162D"/>
    <w:rsid w:val="00F31911"/>
    <w:rsid w:val="00F31B14"/>
    <w:rsid w:val="00F320E2"/>
    <w:rsid w:val="00F322A0"/>
    <w:rsid w:val="00F32681"/>
    <w:rsid w:val="00F3269A"/>
    <w:rsid w:val="00F3281E"/>
    <w:rsid w:val="00F3296B"/>
    <w:rsid w:val="00F32E03"/>
    <w:rsid w:val="00F32E28"/>
    <w:rsid w:val="00F32F0D"/>
    <w:rsid w:val="00F32FA0"/>
    <w:rsid w:val="00F32FBD"/>
    <w:rsid w:val="00F33122"/>
    <w:rsid w:val="00F331EE"/>
    <w:rsid w:val="00F3329B"/>
    <w:rsid w:val="00F3336A"/>
    <w:rsid w:val="00F3348C"/>
    <w:rsid w:val="00F3360B"/>
    <w:rsid w:val="00F33789"/>
    <w:rsid w:val="00F33841"/>
    <w:rsid w:val="00F338BB"/>
    <w:rsid w:val="00F33B7B"/>
    <w:rsid w:val="00F33BD4"/>
    <w:rsid w:val="00F34561"/>
    <w:rsid w:val="00F34AA8"/>
    <w:rsid w:val="00F34ADB"/>
    <w:rsid w:val="00F35160"/>
    <w:rsid w:val="00F351CA"/>
    <w:rsid w:val="00F35587"/>
    <w:rsid w:val="00F35A7F"/>
    <w:rsid w:val="00F35FE0"/>
    <w:rsid w:val="00F36149"/>
    <w:rsid w:val="00F3623A"/>
    <w:rsid w:val="00F36674"/>
    <w:rsid w:val="00F36953"/>
    <w:rsid w:val="00F3716D"/>
    <w:rsid w:val="00F37280"/>
    <w:rsid w:val="00F37762"/>
    <w:rsid w:val="00F377AF"/>
    <w:rsid w:val="00F37864"/>
    <w:rsid w:val="00F37875"/>
    <w:rsid w:val="00F3793F"/>
    <w:rsid w:val="00F37C56"/>
    <w:rsid w:val="00F37EB0"/>
    <w:rsid w:val="00F37FA3"/>
    <w:rsid w:val="00F4010B"/>
    <w:rsid w:val="00F40286"/>
    <w:rsid w:val="00F4089B"/>
    <w:rsid w:val="00F40ABB"/>
    <w:rsid w:val="00F40ADA"/>
    <w:rsid w:val="00F40AED"/>
    <w:rsid w:val="00F40B8A"/>
    <w:rsid w:val="00F40F7E"/>
    <w:rsid w:val="00F40FE0"/>
    <w:rsid w:val="00F4126D"/>
    <w:rsid w:val="00F412CE"/>
    <w:rsid w:val="00F41608"/>
    <w:rsid w:val="00F41658"/>
    <w:rsid w:val="00F416BA"/>
    <w:rsid w:val="00F41724"/>
    <w:rsid w:val="00F41895"/>
    <w:rsid w:val="00F418EC"/>
    <w:rsid w:val="00F41971"/>
    <w:rsid w:val="00F419A1"/>
    <w:rsid w:val="00F419BB"/>
    <w:rsid w:val="00F41A96"/>
    <w:rsid w:val="00F41C3B"/>
    <w:rsid w:val="00F41C8E"/>
    <w:rsid w:val="00F42490"/>
    <w:rsid w:val="00F42C82"/>
    <w:rsid w:val="00F43066"/>
    <w:rsid w:val="00F4309B"/>
    <w:rsid w:val="00F430BF"/>
    <w:rsid w:val="00F4339C"/>
    <w:rsid w:val="00F436A4"/>
    <w:rsid w:val="00F43ABF"/>
    <w:rsid w:val="00F43C91"/>
    <w:rsid w:val="00F43E2F"/>
    <w:rsid w:val="00F43EB1"/>
    <w:rsid w:val="00F44238"/>
    <w:rsid w:val="00F44506"/>
    <w:rsid w:val="00F445B7"/>
    <w:rsid w:val="00F44ABA"/>
    <w:rsid w:val="00F45818"/>
    <w:rsid w:val="00F4587C"/>
    <w:rsid w:val="00F45B75"/>
    <w:rsid w:val="00F45C13"/>
    <w:rsid w:val="00F45EAC"/>
    <w:rsid w:val="00F460A6"/>
    <w:rsid w:val="00F4621E"/>
    <w:rsid w:val="00F46254"/>
    <w:rsid w:val="00F4657D"/>
    <w:rsid w:val="00F465AF"/>
    <w:rsid w:val="00F46677"/>
    <w:rsid w:val="00F4670F"/>
    <w:rsid w:val="00F46842"/>
    <w:rsid w:val="00F468C6"/>
    <w:rsid w:val="00F46B73"/>
    <w:rsid w:val="00F46C10"/>
    <w:rsid w:val="00F46D24"/>
    <w:rsid w:val="00F46D29"/>
    <w:rsid w:val="00F46F1D"/>
    <w:rsid w:val="00F46FCC"/>
    <w:rsid w:val="00F47291"/>
    <w:rsid w:val="00F47518"/>
    <w:rsid w:val="00F47762"/>
    <w:rsid w:val="00F47793"/>
    <w:rsid w:val="00F479B4"/>
    <w:rsid w:val="00F47A07"/>
    <w:rsid w:val="00F47B73"/>
    <w:rsid w:val="00F47DD1"/>
    <w:rsid w:val="00F47DF7"/>
    <w:rsid w:val="00F47F9F"/>
    <w:rsid w:val="00F50051"/>
    <w:rsid w:val="00F50539"/>
    <w:rsid w:val="00F5061E"/>
    <w:rsid w:val="00F506CE"/>
    <w:rsid w:val="00F50D44"/>
    <w:rsid w:val="00F50DDB"/>
    <w:rsid w:val="00F50E6A"/>
    <w:rsid w:val="00F50E6C"/>
    <w:rsid w:val="00F512B8"/>
    <w:rsid w:val="00F51513"/>
    <w:rsid w:val="00F516B8"/>
    <w:rsid w:val="00F517FF"/>
    <w:rsid w:val="00F51838"/>
    <w:rsid w:val="00F51AA0"/>
    <w:rsid w:val="00F51AC4"/>
    <w:rsid w:val="00F51B82"/>
    <w:rsid w:val="00F51D19"/>
    <w:rsid w:val="00F51F71"/>
    <w:rsid w:val="00F520FD"/>
    <w:rsid w:val="00F52641"/>
    <w:rsid w:val="00F526B3"/>
    <w:rsid w:val="00F526F2"/>
    <w:rsid w:val="00F52808"/>
    <w:rsid w:val="00F5297C"/>
    <w:rsid w:val="00F52AFE"/>
    <w:rsid w:val="00F52D02"/>
    <w:rsid w:val="00F52D1C"/>
    <w:rsid w:val="00F52D5B"/>
    <w:rsid w:val="00F53502"/>
    <w:rsid w:val="00F535E0"/>
    <w:rsid w:val="00F535EC"/>
    <w:rsid w:val="00F536E1"/>
    <w:rsid w:val="00F5375B"/>
    <w:rsid w:val="00F53979"/>
    <w:rsid w:val="00F53D3A"/>
    <w:rsid w:val="00F53DC6"/>
    <w:rsid w:val="00F5413B"/>
    <w:rsid w:val="00F541BF"/>
    <w:rsid w:val="00F542DE"/>
    <w:rsid w:val="00F54301"/>
    <w:rsid w:val="00F54368"/>
    <w:rsid w:val="00F543A3"/>
    <w:rsid w:val="00F5467C"/>
    <w:rsid w:val="00F54A3F"/>
    <w:rsid w:val="00F54B3B"/>
    <w:rsid w:val="00F54DDD"/>
    <w:rsid w:val="00F54E47"/>
    <w:rsid w:val="00F5510A"/>
    <w:rsid w:val="00F551C8"/>
    <w:rsid w:val="00F551F5"/>
    <w:rsid w:val="00F5538A"/>
    <w:rsid w:val="00F55630"/>
    <w:rsid w:val="00F556A9"/>
    <w:rsid w:val="00F556DF"/>
    <w:rsid w:val="00F55773"/>
    <w:rsid w:val="00F55D7B"/>
    <w:rsid w:val="00F560EB"/>
    <w:rsid w:val="00F56159"/>
    <w:rsid w:val="00F562DA"/>
    <w:rsid w:val="00F564A3"/>
    <w:rsid w:val="00F564A4"/>
    <w:rsid w:val="00F56655"/>
    <w:rsid w:val="00F566D5"/>
    <w:rsid w:val="00F56B2A"/>
    <w:rsid w:val="00F56CFC"/>
    <w:rsid w:val="00F56E21"/>
    <w:rsid w:val="00F571FA"/>
    <w:rsid w:val="00F5741C"/>
    <w:rsid w:val="00F575D2"/>
    <w:rsid w:val="00F575E0"/>
    <w:rsid w:val="00F5768E"/>
    <w:rsid w:val="00F578FC"/>
    <w:rsid w:val="00F57AA8"/>
    <w:rsid w:val="00F57ADE"/>
    <w:rsid w:val="00F57C34"/>
    <w:rsid w:val="00F57EF5"/>
    <w:rsid w:val="00F60108"/>
    <w:rsid w:val="00F60127"/>
    <w:rsid w:val="00F603BA"/>
    <w:rsid w:val="00F61505"/>
    <w:rsid w:val="00F619A9"/>
    <w:rsid w:val="00F61CC0"/>
    <w:rsid w:val="00F61DDA"/>
    <w:rsid w:val="00F6204B"/>
    <w:rsid w:val="00F62114"/>
    <w:rsid w:val="00F623A6"/>
    <w:rsid w:val="00F623D5"/>
    <w:rsid w:val="00F624BA"/>
    <w:rsid w:val="00F62577"/>
    <w:rsid w:val="00F62583"/>
    <w:rsid w:val="00F62986"/>
    <w:rsid w:val="00F62A35"/>
    <w:rsid w:val="00F62CC8"/>
    <w:rsid w:val="00F63311"/>
    <w:rsid w:val="00F63851"/>
    <w:rsid w:val="00F63A58"/>
    <w:rsid w:val="00F63E86"/>
    <w:rsid w:val="00F64115"/>
    <w:rsid w:val="00F6413D"/>
    <w:rsid w:val="00F6434A"/>
    <w:rsid w:val="00F646F5"/>
    <w:rsid w:val="00F64751"/>
    <w:rsid w:val="00F64AF4"/>
    <w:rsid w:val="00F64E90"/>
    <w:rsid w:val="00F65515"/>
    <w:rsid w:val="00F6564C"/>
    <w:rsid w:val="00F65CC6"/>
    <w:rsid w:val="00F65D6B"/>
    <w:rsid w:val="00F65FCB"/>
    <w:rsid w:val="00F66039"/>
    <w:rsid w:val="00F66117"/>
    <w:rsid w:val="00F661DC"/>
    <w:rsid w:val="00F664DE"/>
    <w:rsid w:val="00F66AFB"/>
    <w:rsid w:val="00F670CE"/>
    <w:rsid w:val="00F6720F"/>
    <w:rsid w:val="00F673B6"/>
    <w:rsid w:val="00F67603"/>
    <w:rsid w:val="00F6765F"/>
    <w:rsid w:val="00F6796C"/>
    <w:rsid w:val="00F67AA3"/>
    <w:rsid w:val="00F67BC2"/>
    <w:rsid w:val="00F67E5B"/>
    <w:rsid w:val="00F67F9C"/>
    <w:rsid w:val="00F70381"/>
    <w:rsid w:val="00F709B2"/>
    <w:rsid w:val="00F70B5F"/>
    <w:rsid w:val="00F71078"/>
    <w:rsid w:val="00F7118F"/>
    <w:rsid w:val="00F712A5"/>
    <w:rsid w:val="00F71364"/>
    <w:rsid w:val="00F71415"/>
    <w:rsid w:val="00F715FB"/>
    <w:rsid w:val="00F7161A"/>
    <w:rsid w:val="00F717EA"/>
    <w:rsid w:val="00F71882"/>
    <w:rsid w:val="00F71943"/>
    <w:rsid w:val="00F719C9"/>
    <w:rsid w:val="00F71BB1"/>
    <w:rsid w:val="00F71C38"/>
    <w:rsid w:val="00F71D32"/>
    <w:rsid w:val="00F71E64"/>
    <w:rsid w:val="00F71E7E"/>
    <w:rsid w:val="00F71F2D"/>
    <w:rsid w:val="00F71FC2"/>
    <w:rsid w:val="00F726C0"/>
    <w:rsid w:val="00F72B89"/>
    <w:rsid w:val="00F72C22"/>
    <w:rsid w:val="00F72DC8"/>
    <w:rsid w:val="00F72F1D"/>
    <w:rsid w:val="00F73277"/>
    <w:rsid w:val="00F73330"/>
    <w:rsid w:val="00F7381F"/>
    <w:rsid w:val="00F73965"/>
    <w:rsid w:val="00F742FE"/>
    <w:rsid w:val="00F74427"/>
    <w:rsid w:val="00F7480D"/>
    <w:rsid w:val="00F74B21"/>
    <w:rsid w:val="00F74BC8"/>
    <w:rsid w:val="00F7520F"/>
    <w:rsid w:val="00F753AA"/>
    <w:rsid w:val="00F756D4"/>
    <w:rsid w:val="00F75F2B"/>
    <w:rsid w:val="00F76562"/>
    <w:rsid w:val="00F765D2"/>
    <w:rsid w:val="00F76BDA"/>
    <w:rsid w:val="00F76D01"/>
    <w:rsid w:val="00F770BE"/>
    <w:rsid w:val="00F773E1"/>
    <w:rsid w:val="00F776DF"/>
    <w:rsid w:val="00F77EAA"/>
    <w:rsid w:val="00F806AC"/>
    <w:rsid w:val="00F807CA"/>
    <w:rsid w:val="00F808E9"/>
    <w:rsid w:val="00F80D68"/>
    <w:rsid w:val="00F80D79"/>
    <w:rsid w:val="00F8102E"/>
    <w:rsid w:val="00F81434"/>
    <w:rsid w:val="00F81509"/>
    <w:rsid w:val="00F815A4"/>
    <w:rsid w:val="00F81671"/>
    <w:rsid w:val="00F81765"/>
    <w:rsid w:val="00F81814"/>
    <w:rsid w:val="00F81A9C"/>
    <w:rsid w:val="00F81B84"/>
    <w:rsid w:val="00F81CB7"/>
    <w:rsid w:val="00F81DCD"/>
    <w:rsid w:val="00F81E23"/>
    <w:rsid w:val="00F81F8D"/>
    <w:rsid w:val="00F81FC0"/>
    <w:rsid w:val="00F82192"/>
    <w:rsid w:val="00F821B5"/>
    <w:rsid w:val="00F821B7"/>
    <w:rsid w:val="00F822A0"/>
    <w:rsid w:val="00F825BB"/>
    <w:rsid w:val="00F82643"/>
    <w:rsid w:val="00F8269D"/>
    <w:rsid w:val="00F826E7"/>
    <w:rsid w:val="00F82BA1"/>
    <w:rsid w:val="00F82F93"/>
    <w:rsid w:val="00F834DC"/>
    <w:rsid w:val="00F835CA"/>
    <w:rsid w:val="00F83BAB"/>
    <w:rsid w:val="00F840B5"/>
    <w:rsid w:val="00F8419D"/>
    <w:rsid w:val="00F84779"/>
    <w:rsid w:val="00F84D8D"/>
    <w:rsid w:val="00F84E62"/>
    <w:rsid w:val="00F84EA8"/>
    <w:rsid w:val="00F84EF1"/>
    <w:rsid w:val="00F8553A"/>
    <w:rsid w:val="00F85831"/>
    <w:rsid w:val="00F858E4"/>
    <w:rsid w:val="00F859E6"/>
    <w:rsid w:val="00F85D02"/>
    <w:rsid w:val="00F861B8"/>
    <w:rsid w:val="00F8625C"/>
    <w:rsid w:val="00F864F0"/>
    <w:rsid w:val="00F86B80"/>
    <w:rsid w:val="00F86EDE"/>
    <w:rsid w:val="00F86F57"/>
    <w:rsid w:val="00F875D2"/>
    <w:rsid w:val="00F8769A"/>
    <w:rsid w:val="00F8769C"/>
    <w:rsid w:val="00F876CC"/>
    <w:rsid w:val="00F876E5"/>
    <w:rsid w:val="00F87AA6"/>
    <w:rsid w:val="00F87F8A"/>
    <w:rsid w:val="00F90229"/>
    <w:rsid w:val="00F90345"/>
    <w:rsid w:val="00F9051C"/>
    <w:rsid w:val="00F90788"/>
    <w:rsid w:val="00F909DD"/>
    <w:rsid w:val="00F90C44"/>
    <w:rsid w:val="00F90C5C"/>
    <w:rsid w:val="00F90D7F"/>
    <w:rsid w:val="00F90DA1"/>
    <w:rsid w:val="00F91322"/>
    <w:rsid w:val="00F9145D"/>
    <w:rsid w:val="00F91A11"/>
    <w:rsid w:val="00F91A18"/>
    <w:rsid w:val="00F91F66"/>
    <w:rsid w:val="00F92025"/>
    <w:rsid w:val="00F92955"/>
    <w:rsid w:val="00F92987"/>
    <w:rsid w:val="00F92996"/>
    <w:rsid w:val="00F92BE5"/>
    <w:rsid w:val="00F92E01"/>
    <w:rsid w:val="00F93288"/>
    <w:rsid w:val="00F93304"/>
    <w:rsid w:val="00F934D3"/>
    <w:rsid w:val="00F93733"/>
    <w:rsid w:val="00F937B7"/>
    <w:rsid w:val="00F939CB"/>
    <w:rsid w:val="00F93B02"/>
    <w:rsid w:val="00F9418D"/>
    <w:rsid w:val="00F94395"/>
    <w:rsid w:val="00F945E0"/>
    <w:rsid w:val="00F94837"/>
    <w:rsid w:val="00F9484E"/>
    <w:rsid w:val="00F94B32"/>
    <w:rsid w:val="00F94BDC"/>
    <w:rsid w:val="00F94F2A"/>
    <w:rsid w:val="00F954AB"/>
    <w:rsid w:val="00F95689"/>
    <w:rsid w:val="00F956F3"/>
    <w:rsid w:val="00F95A4D"/>
    <w:rsid w:val="00F95C96"/>
    <w:rsid w:val="00F95D78"/>
    <w:rsid w:val="00F96289"/>
    <w:rsid w:val="00F9651A"/>
    <w:rsid w:val="00F96752"/>
    <w:rsid w:val="00F968F9"/>
    <w:rsid w:val="00F96AD5"/>
    <w:rsid w:val="00F96C3F"/>
    <w:rsid w:val="00F96E2C"/>
    <w:rsid w:val="00F97088"/>
    <w:rsid w:val="00F976C0"/>
    <w:rsid w:val="00F97836"/>
    <w:rsid w:val="00FA023C"/>
    <w:rsid w:val="00FA04D6"/>
    <w:rsid w:val="00FA04EF"/>
    <w:rsid w:val="00FA04F0"/>
    <w:rsid w:val="00FA0795"/>
    <w:rsid w:val="00FA08C2"/>
    <w:rsid w:val="00FA0986"/>
    <w:rsid w:val="00FA0DA2"/>
    <w:rsid w:val="00FA0E2B"/>
    <w:rsid w:val="00FA104D"/>
    <w:rsid w:val="00FA113C"/>
    <w:rsid w:val="00FA120B"/>
    <w:rsid w:val="00FA162C"/>
    <w:rsid w:val="00FA17F0"/>
    <w:rsid w:val="00FA1933"/>
    <w:rsid w:val="00FA1B8D"/>
    <w:rsid w:val="00FA24B3"/>
    <w:rsid w:val="00FA2708"/>
    <w:rsid w:val="00FA2727"/>
    <w:rsid w:val="00FA2771"/>
    <w:rsid w:val="00FA2787"/>
    <w:rsid w:val="00FA2A3D"/>
    <w:rsid w:val="00FA2B96"/>
    <w:rsid w:val="00FA2E23"/>
    <w:rsid w:val="00FA3146"/>
    <w:rsid w:val="00FA31E3"/>
    <w:rsid w:val="00FA35E8"/>
    <w:rsid w:val="00FA3A0A"/>
    <w:rsid w:val="00FA3E96"/>
    <w:rsid w:val="00FA4329"/>
    <w:rsid w:val="00FA47DA"/>
    <w:rsid w:val="00FA4906"/>
    <w:rsid w:val="00FA4A13"/>
    <w:rsid w:val="00FA4C39"/>
    <w:rsid w:val="00FA4F7A"/>
    <w:rsid w:val="00FA5078"/>
    <w:rsid w:val="00FA5244"/>
    <w:rsid w:val="00FA55DB"/>
    <w:rsid w:val="00FA583B"/>
    <w:rsid w:val="00FA624C"/>
    <w:rsid w:val="00FA6446"/>
    <w:rsid w:val="00FA6547"/>
    <w:rsid w:val="00FA657E"/>
    <w:rsid w:val="00FA67D1"/>
    <w:rsid w:val="00FA68D3"/>
    <w:rsid w:val="00FA6D4F"/>
    <w:rsid w:val="00FA6E35"/>
    <w:rsid w:val="00FA7474"/>
    <w:rsid w:val="00FA74C2"/>
    <w:rsid w:val="00FA78A6"/>
    <w:rsid w:val="00FA7C15"/>
    <w:rsid w:val="00FA7E3D"/>
    <w:rsid w:val="00FA7E56"/>
    <w:rsid w:val="00FA7EDE"/>
    <w:rsid w:val="00FB0085"/>
    <w:rsid w:val="00FB0447"/>
    <w:rsid w:val="00FB052C"/>
    <w:rsid w:val="00FB06D8"/>
    <w:rsid w:val="00FB077D"/>
    <w:rsid w:val="00FB07E8"/>
    <w:rsid w:val="00FB0C9E"/>
    <w:rsid w:val="00FB0F08"/>
    <w:rsid w:val="00FB0F10"/>
    <w:rsid w:val="00FB140B"/>
    <w:rsid w:val="00FB1859"/>
    <w:rsid w:val="00FB1935"/>
    <w:rsid w:val="00FB1A41"/>
    <w:rsid w:val="00FB1AE4"/>
    <w:rsid w:val="00FB1C06"/>
    <w:rsid w:val="00FB1C1E"/>
    <w:rsid w:val="00FB1D13"/>
    <w:rsid w:val="00FB22EF"/>
    <w:rsid w:val="00FB242F"/>
    <w:rsid w:val="00FB2508"/>
    <w:rsid w:val="00FB27B9"/>
    <w:rsid w:val="00FB27C1"/>
    <w:rsid w:val="00FB2BAD"/>
    <w:rsid w:val="00FB3151"/>
    <w:rsid w:val="00FB3ED3"/>
    <w:rsid w:val="00FB4279"/>
    <w:rsid w:val="00FB42AB"/>
    <w:rsid w:val="00FB45B7"/>
    <w:rsid w:val="00FB4942"/>
    <w:rsid w:val="00FB4967"/>
    <w:rsid w:val="00FB49AF"/>
    <w:rsid w:val="00FB4D53"/>
    <w:rsid w:val="00FB5182"/>
    <w:rsid w:val="00FB53E3"/>
    <w:rsid w:val="00FB566D"/>
    <w:rsid w:val="00FB587D"/>
    <w:rsid w:val="00FB5880"/>
    <w:rsid w:val="00FB5B40"/>
    <w:rsid w:val="00FB5BBE"/>
    <w:rsid w:val="00FB5D16"/>
    <w:rsid w:val="00FB5E9C"/>
    <w:rsid w:val="00FB5F51"/>
    <w:rsid w:val="00FB60DF"/>
    <w:rsid w:val="00FB6449"/>
    <w:rsid w:val="00FB6504"/>
    <w:rsid w:val="00FB6773"/>
    <w:rsid w:val="00FB69CF"/>
    <w:rsid w:val="00FB6B07"/>
    <w:rsid w:val="00FB6BA1"/>
    <w:rsid w:val="00FB6C90"/>
    <w:rsid w:val="00FB6CB2"/>
    <w:rsid w:val="00FB6D4D"/>
    <w:rsid w:val="00FB6F4F"/>
    <w:rsid w:val="00FB7222"/>
    <w:rsid w:val="00FB7396"/>
    <w:rsid w:val="00FB76B8"/>
    <w:rsid w:val="00FB7934"/>
    <w:rsid w:val="00FB7B97"/>
    <w:rsid w:val="00FB7EF3"/>
    <w:rsid w:val="00FB7F6F"/>
    <w:rsid w:val="00FC0004"/>
    <w:rsid w:val="00FC0013"/>
    <w:rsid w:val="00FC00FE"/>
    <w:rsid w:val="00FC0193"/>
    <w:rsid w:val="00FC0DD5"/>
    <w:rsid w:val="00FC0E23"/>
    <w:rsid w:val="00FC13FD"/>
    <w:rsid w:val="00FC143F"/>
    <w:rsid w:val="00FC162E"/>
    <w:rsid w:val="00FC1D70"/>
    <w:rsid w:val="00FC1E5C"/>
    <w:rsid w:val="00FC1E9F"/>
    <w:rsid w:val="00FC1EE3"/>
    <w:rsid w:val="00FC20E6"/>
    <w:rsid w:val="00FC242A"/>
    <w:rsid w:val="00FC2434"/>
    <w:rsid w:val="00FC2537"/>
    <w:rsid w:val="00FC2867"/>
    <w:rsid w:val="00FC2886"/>
    <w:rsid w:val="00FC29ED"/>
    <w:rsid w:val="00FC32CE"/>
    <w:rsid w:val="00FC32D5"/>
    <w:rsid w:val="00FC33E2"/>
    <w:rsid w:val="00FC3413"/>
    <w:rsid w:val="00FC34E1"/>
    <w:rsid w:val="00FC3E5D"/>
    <w:rsid w:val="00FC4058"/>
    <w:rsid w:val="00FC4181"/>
    <w:rsid w:val="00FC42E9"/>
    <w:rsid w:val="00FC4528"/>
    <w:rsid w:val="00FC48FE"/>
    <w:rsid w:val="00FC4AAE"/>
    <w:rsid w:val="00FC4D41"/>
    <w:rsid w:val="00FC4FC9"/>
    <w:rsid w:val="00FC52FB"/>
    <w:rsid w:val="00FC592E"/>
    <w:rsid w:val="00FC5937"/>
    <w:rsid w:val="00FC5FD2"/>
    <w:rsid w:val="00FC5FDD"/>
    <w:rsid w:val="00FC608D"/>
    <w:rsid w:val="00FC60A5"/>
    <w:rsid w:val="00FC617F"/>
    <w:rsid w:val="00FC6372"/>
    <w:rsid w:val="00FC63C2"/>
    <w:rsid w:val="00FC64F6"/>
    <w:rsid w:val="00FC656F"/>
    <w:rsid w:val="00FC672F"/>
    <w:rsid w:val="00FC6C1F"/>
    <w:rsid w:val="00FC6C6D"/>
    <w:rsid w:val="00FC6C8E"/>
    <w:rsid w:val="00FC6CCF"/>
    <w:rsid w:val="00FC720C"/>
    <w:rsid w:val="00FC73EB"/>
    <w:rsid w:val="00FC74F4"/>
    <w:rsid w:val="00FD0BB7"/>
    <w:rsid w:val="00FD0CD2"/>
    <w:rsid w:val="00FD0E43"/>
    <w:rsid w:val="00FD0F39"/>
    <w:rsid w:val="00FD1555"/>
    <w:rsid w:val="00FD15B5"/>
    <w:rsid w:val="00FD1856"/>
    <w:rsid w:val="00FD1BD1"/>
    <w:rsid w:val="00FD1EA3"/>
    <w:rsid w:val="00FD1F28"/>
    <w:rsid w:val="00FD1FBF"/>
    <w:rsid w:val="00FD2054"/>
    <w:rsid w:val="00FD20F4"/>
    <w:rsid w:val="00FD21B0"/>
    <w:rsid w:val="00FD2236"/>
    <w:rsid w:val="00FD22F7"/>
    <w:rsid w:val="00FD24E4"/>
    <w:rsid w:val="00FD2504"/>
    <w:rsid w:val="00FD2617"/>
    <w:rsid w:val="00FD275C"/>
    <w:rsid w:val="00FD2778"/>
    <w:rsid w:val="00FD2B0D"/>
    <w:rsid w:val="00FD2ED7"/>
    <w:rsid w:val="00FD3303"/>
    <w:rsid w:val="00FD34F9"/>
    <w:rsid w:val="00FD35E7"/>
    <w:rsid w:val="00FD3605"/>
    <w:rsid w:val="00FD38DE"/>
    <w:rsid w:val="00FD39E2"/>
    <w:rsid w:val="00FD3A4C"/>
    <w:rsid w:val="00FD3B83"/>
    <w:rsid w:val="00FD3D49"/>
    <w:rsid w:val="00FD3ECC"/>
    <w:rsid w:val="00FD4063"/>
    <w:rsid w:val="00FD4291"/>
    <w:rsid w:val="00FD4954"/>
    <w:rsid w:val="00FD4E68"/>
    <w:rsid w:val="00FD4EB0"/>
    <w:rsid w:val="00FD4F58"/>
    <w:rsid w:val="00FD4FAA"/>
    <w:rsid w:val="00FD5054"/>
    <w:rsid w:val="00FD5093"/>
    <w:rsid w:val="00FD55BE"/>
    <w:rsid w:val="00FD5709"/>
    <w:rsid w:val="00FD5732"/>
    <w:rsid w:val="00FD591D"/>
    <w:rsid w:val="00FD5A79"/>
    <w:rsid w:val="00FD5E6B"/>
    <w:rsid w:val="00FD5FB0"/>
    <w:rsid w:val="00FD604E"/>
    <w:rsid w:val="00FD60B3"/>
    <w:rsid w:val="00FD61DA"/>
    <w:rsid w:val="00FD6381"/>
    <w:rsid w:val="00FD6503"/>
    <w:rsid w:val="00FD6584"/>
    <w:rsid w:val="00FD65A8"/>
    <w:rsid w:val="00FD6833"/>
    <w:rsid w:val="00FD6CE6"/>
    <w:rsid w:val="00FD6EEB"/>
    <w:rsid w:val="00FD6F5F"/>
    <w:rsid w:val="00FD6F78"/>
    <w:rsid w:val="00FD71B9"/>
    <w:rsid w:val="00FD7445"/>
    <w:rsid w:val="00FD7AF4"/>
    <w:rsid w:val="00FD7B19"/>
    <w:rsid w:val="00FD7FD1"/>
    <w:rsid w:val="00FE00A5"/>
    <w:rsid w:val="00FE00B6"/>
    <w:rsid w:val="00FE00BC"/>
    <w:rsid w:val="00FE04AE"/>
    <w:rsid w:val="00FE04B8"/>
    <w:rsid w:val="00FE0523"/>
    <w:rsid w:val="00FE07C3"/>
    <w:rsid w:val="00FE1077"/>
    <w:rsid w:val="00FE1136"/>
    <w:rsid w:val="00FE12BF"/>
    <w:rsid w:val="00FE1773"/>
    <w:rsid w:val="00FE1813"/>
    <w:rsid w:val="00FE1AEA"/>
    <w:rsid w:val="00FE1F1C"/>
    <w:rsid w:val="00FE21BD"/>
    <w:rsid w:val="00FE2839"/>
    <w:rsid w:val="00FE2AD3"/>
    <w:rsid w:val="00FE2BDA"/>
    <w:rsid w:val="00FE313D"/>
    <w:rsid w:val="00FE315A"/>
    <w:rsid w:val="00FE32E0"/>
    <w:rsid w:val="00FE35A4"/>
    <w:rsid w:val="00FE39B7"/>
    <w:rsid w:val="00FE3A18"/>
    <w:rsid w:val="00FE3E10"/>
    <w:rsid w:val="00FE4123"/>
    <w:rsid w:val="00FE413C"/>
    <w:rsid w:val="00FE4734"/>
    <w:rsid w:val="00FE486D"/>
    <w:rsid w:val="00FE4A75"/>
    <w:rsid w:val="00FE4BBF"/>
    <w:rsid w:val="00FE4DE0"/>
    <w:rsid w:val="00FE4DF5"/>
    <w:rsid w:val="00FE4E3A"/>
    <w:rsid w:val="00FE5281"/>
    <w:rsid w:val="00FE52E1"/>
    <w:rsid w:val="00FE549E"/>
    <w:rsid w:val="00FE5668"/>
    <w:rsid w:val="00FE5A05"/>
    <w:rsid w:val="00FE5B78"/>
    <w:rsid w:val="00FE5D14"/>
    <w:rsid w:val="00FE5F4A"/>
    <w:rsid w:val="00FE6003"/>
    <w:rsid w:val="00FE6183"/>
    <w:rsid w:val="00FE619E"/>
    <w:rsid w:val="00FE6462"/>
    <w:rsid w:val="00FE688D"/>
    <w:rsid w:val="00FE6A92"/>
    <w:rsid w:val="00FE6B9A"/>
    <w:rsid w:val="00FE6FB2"/>
    <w:rsid w:val="00FE7026"/>
    <w:rsid w:val="00FE738E"/>
    <w:rsid w:val="00FE7614"/>
    <w:rsid w:val="00FE76B0"/>
    <w:rsid w:val="00FE7B92"/>
    <w:rsid w:val="00FF0004"/>
    <w:rsid w:val="00FF0264"/>
    <w:rsid w:val="00FF037E"/>
    <w:rsid w:val="00FF0476"/>
    <w:rsid w:val="00FF04A0"/>
    <w:rsid w:val="00FF082C"/>
    <w:rsid w:val="00FF0A08"/>
    <w:rsid w:val="00FF0BD3"/>
    <w:rsid w:val="00FF0E33"/>
    <w:rsid w:val="00FF0FD8"/>
    <w:rsid w:val="00FF100D"/>
    <w:rsid w:val="00FF1015"/>
    <w:rsid w:val="00FF1171"/>
    <w:rsid w:val="00FF1807"/>
    <w:rsid w:val="00FF184D"/>
    <w:rsid w:val="00FF1E82"/>
    <w:rsid w:val="00FF1ECE"/>
    <w:rsid w:val="00FF1F20"/>
    <w:rsid w:val="00FF20A2"/>
    <w:rsid w:val="00FF20BC"/>
    <w:rsid w:val="00FF2247"/>
    <w:rsid w:val="00FF2284"/>
    <w:rsid w:val="00FF231A"/>
    <w:rsid w:val="00FF24A7"/>
    <w:rsid w:val="00FF26E3"/>
    <w:rsid w:val="00FF28C7"/>
    <w:rsid w:val="00FF2942"/>
    <w:rsid w:val="00FF2953"/>
    <w:rsid w:val="00FF30F1"/>
    <w:rsid w:val="00FF3130"/>
    <w:rsid w:val="00FF313B"/>
    <w:rsid w:val="00FF3150"/>
    <w:rsid w:val="00FF31F7"/>
    <w:rsid w:val="00FF359D"/>
    <w:rsid w:val="00FF3C3C"/>
    <w:rsid w:val="00FF3DF5"/>
    <w:rsid w:val="00FF3F55"/>
    <w:rsid w:val="00FF4044"/>
    <w:rsid w:val="00FF43F0"/>
    <w:rsid w:val="00FF4B3F"/>
    <w:rsid w:val="00FF4D84"/>
    <w:rsid w:val="00FF501C"/>
    <w:rsid w:val="00FF524E"/>
    <w:rsid w:val="00FF52B6"/>
    <w:rsid w:val="00FF562A"/>
    <w:rsid w:val="00FF56EE"/>
    <w:rsid w:val="00FF56F6"/>
    <w:rsid w:val="00FF57D9"/>
    <w:rsid w:val="00FF585E"/>
    <w:rsid w:val="00FF5975"/>
    <w:rsid w:val="00FF5B6B"/>
    <w:rsid w:val="00FF5C2A"/>
    <w:rsid w:val="00FF5EEB"/>
    <w:rsid w:val="00FF6037"/>
    <w:rsid w:val="00FF615B"/>
    <w:rsid w:val="00FF6664"/>
    <w:rsid w:val="00FF6832"/>
    <w:rsid w:val="00FF6A9D"/>
    <w:rsid w:val="00FF6BB9"/>
    <w:rsid w:val="00FF6F78"/>
    <w:rsid w:val="00FF6FBA"/>
    <w:rsid w:val="00FF7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qFormat="1"/>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457"/>
    <w:pPr>
      <w:spacing w:after="240"/>
      <w:jc w:val="both"/>
    </w:pPr>
    <w:rPr>
      <w:rFonts w:ascii="Courier New" w:hAnsi="Courier New"/>
      <w:sz w:val="24"/>
      <w:lang w:val="fr-FR"/>
    </w:rPr>
  </w:style>
  <w:style w:type="paragraph" w:styleId="Heading1">
    <w:name w:val="heading 1"/>
    <w:aliases w:val="Heading 1 Char Char Char Char Char Char Char Char Char Char Char Char Char Char"/>
    <w:basedOn w:val="Normal"/>
    <w:next w:val="Text1"/>
    <w:link w:val="Heading1Char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ZnakZnak"/>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rPr>
      <w:rFonts w:ascii="Times New Roman" w:hAnsi="Times New Roman"/>
    </w:rPr>
  </w:style>
  <w:style w:type="paragraph" w:styleId="EnvelopeReturn">
    <w:name w:val="envelope return"/>
    <w:basedOn w:val="Normal"/>
    <w:pPr>
      <w:spacing w:after="0"/>
    </w:pPr>
    <w:rPr>
      <w:rFonts w:ascii="Times New Roman" w:hAnsi="Times New Roman"/>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link w:val="ListBulletChar1"/>
    <w:uiPriority w:val="99"/>
    <w:pPr>
      <w:numPr>
        <w:numId w:val="2"/>
      </w:numPr>
    </w:pPr>
  </w:style>
  <w:style w:type="paragraph" w:styleId="ListBullet2">
    <w:name w:val="List Bullet 2"/>
    <w:basedOn w:val="Text2"/>
    <w:uiPriority w:val="99"/>
    <w:pPr>
      <w:numPr>
        <w:numId w:val="4"/>
      </w:numPr>
      <w:tabs>
        <w:tab w:val="clear" w:pos="2160"/>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pPr>
  </w:style>
  <w:style w:type="paragraph" w:styleId="ListBullet5">
    <w:name w:val="List Bullet 5"/>
    <w:basedOn w:val="Normal"/>
    <w:autoRedefine/>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0A64E1"/>
    <w:pPr>
      <w:numPr>
        <w:numId w:val="11"/>
      </w:numPr>
    </w:pPr>
    <w:rPr>
      <w:rFonts w:ascii="Times New Roman" w:hAnsi="Times New Roman"/>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link w:val="NumPar1Char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link w:val="ListDashChar"/>
    <w:pPr>
      <w:numPr>
        <w:numId w:val="18"/>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numPr>
        <w:ilvl w:val="3"/>
        <w:numId w:val="11"/>
      </w:numPr>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numPr>
        <w:ilvl w:val="2"/>
        <w:numId w:val="13"/>
      </w:numPr>
      <w:tabs>
        <w:tab w:val="clear" w:pos="2160"/>
      </w:tabs>
    </w:pPr>
  </w:style>
  <w:style w:type="paragraph" w:customStyle="1" w:styleId="ListNumber2Level4">
    <w:name w:val="List Number 2 (Level 4)"/>
    <w:basedOn w:val="Text2"/>
    <w:pPr>
      <w:numPr>
        <w:ilvl w:val="3"/>
        <w:numId w:val="13"/>
      </w:numPr>
      <w:tabs>
        <w:tab w:val="clear" w:pos="2160"/>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numPr>
        <w:ilvl w:val="3"/>
        <w:numId w:val="14"/>
      </w:numPr>
      <w:tabs>
        <w:tab w:val="clear" w:pos="2302"/>
      </w:tabs>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numPr>
        <w:ilvl w:val="2"/>
        <w:numId w:val="15"/>
      </w:numPr>
    </w:pPr>
  </w:style>
  <w:style w:type="paragraph" w:customStyle="1" w:styleId="ListNumber4Level4">
    <w:name w:val="List Number 4 (Level 4)"/>
    <w:basedOn w:val="Text4"/>
    <w:pPr>
      <w:numPr>
        <w:ilvl w:val="3"/>
        <w:numId w:val="15"/>
      </w:numPr>
    </w:pPr>
  </w:style>
  <w:style w:type="paragraph" w:styleId="TOCHeading">
    <w:name w:val="TOC Heading"/>
    <w:basedOn w:val="Normal"/>
    <w:next w:val="Normal"/>
    <w:qFormat/>
    <w:pPr>
      <w:keepNext/>
      <w:spacing w:before="240"/>
      <w:jc w:val="center"/>
    </w:pPr>
    <w:rPr>
      <w:b/>
    </w:rPr>
  </w:style>
  <w:style w:type="paragraph" w:customStyle="1" w:styleId="ATHeading1">
    <w:name w:val="AT Heading 1"/>
    <w:basedOn w:val="Normal"/>
    <w:next w:val="Normal"/>
    <w:pPr>
      <w:keepNext/>
      <w:keepLines/>
      <w:numPr>
        <w:numId w:val="16"/>
      </w:numPr>
      <w:spacing w:after="140"/>
      <w:jc w:val="left"/>
      <w:outlineLvl w:val="0"/>
    </w:pPr>
    <w:rPr>
      <w:rFonts w:ascii="Times New Roman" w:hAnsi="Times New Roman"/>
      <w:b/>
      <w:noProof/>
      <w:sz w:val="28"/>
    </w:rPr>
  </w:style>
  <w:style w:type="paragraph" w:customStyle="1" w:styleId="ZCom">
    <w:name w:val="Z_Com"/>
    <w:basedOn w:val="Normal"/>
    <w:next w:val="ZDGName"/>
    <w:uiPriority w:val="99"/>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customStyle="1" w:styleId="H4">
    <w:name w:val="H4"/>
    <w:basedOn w:val="Normal"/>
    <w:next w:val="Normal"/>
    <w:pPr>
      <w:keepNext/>
      <w:widowControl w:val="0"/>
      <w:spacing w:before="100" w:after="100"/>
      <w:jc w:val="left"/>
      <w:outlineLvl w:val="4"/>
    </w:pPr>
    <w:rPr>
      <w:rFonts w:ascii="Times New Roman" w:hAnsi="Times New Roman"/>
      <w:b/>
      <w:snapToGrid w:val="0"/>
      <w:lang w:val="en-US" w:eastAsia="en-US"/>
    </w:rPr>
  </w:style>
  <w:style w:type="character" w:customStyle="1" w:styleId="HideTWBExt">
    <w:name w:val="HideTWBExt"/>
    <w:rPr>
      <w:noProof/>
      <w:vanish/>
      <w:color w:val="808080"/>
    </w:rPr>
  </w:style>
  <w:style w:type="paragraph" w:customStyle="1" w:styleId="Action">
    <w:name w:val="Action"/>
    <w:basedOn w:val="Normal"/>
    <w:pPr>
      <w:widowControl w:val="0"/>
      <w:tabs>
        <w:tab w:val="left" w:pos="357"/>
      </w:tabs>
      <w:ind w:left="357" w:hanging="357"/>
      <w:jc w:val="left"/>
    </w:pPr>
    <w:rPr>
      <w:rFonts w:ascii="Times New Roman" w:hAnsi="Times New Roman"/>
    </w:rPr>
  </w:style>
  <w:style w:type="paragraph" w:customStyle="1" w:styleId="ATHeading3">
    <w:name w:val="AT Heading 3"/>
    <w:basedOn w:val="Normal"/>
    <w:next w:val="Normal"/>
    <w:pPr>
      <w:keepNext/>
      <w:keepLines/>
      <w:spacing w:before="120" w:after="120"/>
      <w:jc w:val="left"/>
      <w:outlineLvl w:val="2"/>
    </w:pPr>
    <w:rPr>
      <w:rFonts w:ascii="Times New Roman" w:hAnsi="Times New Roman"/>
      <w:b/>
      <w:noProof/>
    </w:rPr>
  </w:style>
  <w:style w:type="character" w:customStyle="1" w:styleId="DefaultMargins">
    <w:name w:val="DefaultMargins"/>
    <w:rPr>
      <w:rFonts w:ascii="Courier New" w:hAnsi="Courier New"/>
      <w:noProof w:val="0"/>
      <w:sz w:val="20"/>
      <w:lang w:val="en-US"/>
    </w:rPr>
  </w:style>
  <w:style w:type="paragraph" w:customStyle="1" w:styleId="Initial">
    <w:name w:val="Initial"/>
    <w:link w:val="InitialChar"/>
    <w:pPr>
      <w:tabs>
        <w:tab w:val="left" w:pos="-720"/>
      </w:tabs>
      <w:suppressAutoHyphens/>
      <w:jc w:val="both"/>
    </w:pPr>
    <w:rPr>
      <w:spacing w:val="-3"/>
      <w:sz w:val="24"/>
      <w:lang w:val="en-US"/>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qFormat/>
    <w:rPr>
      <w:vertAlign w:val="superscript"/>
    </w:rPr>
  </w:style>
  <w:style w:type="paragraph" w:customStyle="1" w:styleId="H3">
    <w:name w:val="H3"/>
    <w:basedOn w:val="Normal"/>
    <w:next w:val="Normal"/>
    <w:pPr>
      <w:keepNext/>
      <w:spacing w:before="100" w:after="100"/>
      <w:jc w:val="left"/>
      <w:outlineLvl w:val="3"/>
    </w:pPr>
    <w:rPr>
      <w:rFonts w:ascii="Times New Roman" w:hAnsi="Times New Roman"/>
      <w:b/>
      <w:snapToGrid w:val="0"/>
      <w:sz w:val="28"/>
      <w:lang w:val="fr-BE" w:eastAsia="en-US"/>
    </w:rPr>
  </w:style>
  <w:style w:type="paragraph" w:customStyle="1" w:styleId="Rfrencesproposition">
    <w:name w:val="Références proposition"/>
    <w:basedOn w:val="Titreobjet"/>
    <w:next w:val="Normal"/>
    <w:pPr>
      <w:spacing w:after="480"/>
    </w:pPr>
  </w:style>
  <w:style w:type="paragraph" w:customStyle="1" w:styleId="Titreobjet">
    <w:name w:val="Titre objet"/>
    <w:basedOn w:val="Normal"/>
    <w:next w:val="Normal"/>
    <w:pPr>
      <w:widowControl w:val="0"/>
      <w:spacing w:after="0"/>
      <w:ind w:left="1418"/>
      <w:jc w:val="left"/>
    </w:pPr>
    <w:rPr>
      <w:rFonts w:ascii="Times New Roman" w:hAnsi="Times New Roman"/>
      <w:snapToGrid w:val="0"/>
      <w:lang w:eastAsia="en-US"/>
    </w:rPr>
  </w:style>
  <w:style w:type="character" w:styleId="Hyperlink">
    <w:name w:val="Hyperlink"/>
    <w:aliases w:val="Char1"/>
    <w:rPr>
      <w:color w:val="0000FF"/>
      <w:u w:val="single"/>
    </w:rPr>
  </w:style>
  <w:style w:type="character" w:styleId="Emphasis">
    <w:name w:val="Emphasis"/>
    <w:uiPriority w:val="20"/>
    <w:qFormat/>
    <w:rPr>
      <w:i/>
    </w:rPr>
  </w:style>
  <w:style w:type="character" w:customStyle="1" w:styleId="Added">
    <w:name w:val="Added"/>
    <w:rPr>
      <w:b/>
      <w:i/>
    </w:rPr>
  </w:style>
  <w:style w:type="paragraph" w:customStyle="1" w:styleId="Normal12">
    <w:name w:val="Normal 12"/>
    <w:basedOn w:val="Normal"/>
    <w:link w:val="Normal12Char"/>
    <w:rsid w:val="0027701F"/>
    <w:pPr>
      <w:tabs>
        <w:tab w:val="left" w:pos="-720"/>
      </w:tabs>
    </w:pPr>
    <w:rPr>
      <w:rFonts w:ascii="Times New Roman" w:hAnsi="Times New Roman"/>
      <w:noProof/>
    </w:rPr>
  </w:style>
  <w:style w:type="paragraph" w:customStyle="1" w:styleId="5Normal">
    <w:name w:val="5 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rPr>
  </w:style>
  <w:style w:type="paragraph" w:customStyle="1" w:styleId="Dput">
    <w:name w:val="Député"/>
    <w:basedOn w:val="Titreobjet"/>
    <w:pPr>
      <w:spacing w:after="240"/>
    </w:pPr>
  </w:style>
  <w:style w:type="paragraph" w:customStyle="1" w:styleId="Commissionparlementaire">
    <w:name w:val="Commission parlementaire"/>
    <w:basedOn w:val="Titreobjet"/>
    <w:next w:val="Normal"/>
    <w:pPr>
      <w:spacing w:after="480"/>
    </w:pPr>
  </w:style>
  <w:style w:type="character" w:styleId="FollowedHyperlink">
    <w:name w:val="FollowedHyperlink"/>
    <w:rPr>
      <w:color w:val="800080"/>
      <w:u w:val="single"/>
    </w:rPr>
  </w:style>
  <w:style w:type="paragraph" w:customStyle="1" w:styleId="DefinitionList">
    <w:name w:val="Definition List"/>
    <w:basedOn w:val="Normal"/>
    <w:next w:val="Normal"/>
    <w:pPr>
      <w:spacing w:after="0"/>
      <w:ind w:left="360"/>
      <w:jc w:val="left"/>
    </w:pPr>
    <w:rPr>
      <w:rFonts w:ascii="Times New Roman" w:hAnsi="Times New Roman"/>
      <w:snapToGrid w:val="0"/>
      <w:lang w:val="fr-BE" w:eastAsia="en-US"/>
    </w:rPr>
  </w:style>
  <w:style w:type="paragraph" w:customStyle="1" w:styleId="Visa">
    <w:name w:val="Visa"/>
    <w:basedOn w:val="Normal"/>
    <w:pPr>
      <w:widowControl w:val="0"/>
      <w:tabs>
        <w:tab w:val="left" w:pos="357"/>
      </w:tabs>
      <w:ind w:left="357" w:hanging="357"/>
      <w:jc w:val="left"/>
    </w:pPr>
    <w:rPr>
      <w:rFonts w:ascii="Times New Roman" w:hAnsi="Times New Roman"/>
      <w:snapToGrid w:val="0"/>
    </w:rPr>
  </w:style>
  <w:style w:type="paragraph" w:customStyle="1" w:styleId="PagereglementairetextePR">
    <w:name w:val="Page reglementaire texte PR"/>
    <w:basedOn w:val="Normal"/>
    <w:pPr>
      <w:widowControl w:val="0"/>
      <w:jc w:val="left"/>
    </w:pPr>
    <w:rPr>
      <w:rFonts w:ascii="Times New Roman" w:hAnsi="Times New Roman"/>
      <w:snapToGrid w:val="0"/>
      <w:lang w:eastAsia="en-US"/>
    </w:rPr>
  </w:style>
  <w:style w:type="paragraph" w:customStyle="1" w:styleId="H2">
    <w:name w:val="H2"/>
    <w:basedOn w:val="Normal"/>
    <w:next w:val="Normal"/>
    <w:pPr>
      <w:keepNext/>
      <w:spacing w:before="100" w:after="100"/>
      <w:jc w:val="left"/>
      <w:outlineLvl w:val="2"/>
    </w:pPr>
    <w:rPr>
      <w:rFonts w:ascii="Times New Roman" w:hAnsi="Times New Roman"/>
      <w:b/>
      <w:snapToGrid w:val="0"/>
      <w:sz w:val="36"/>
      <w:lang w:val="fr-BE" w:eastAsia="en-US"/>
    </w:rPr>
  </w:style>
  <w:style w:type="paragraph" w:customStyle="1" w:styleId="Rfrenceinstitutionelle">
    <w:name w:val="Référence institutionelle"/>
    <w:basedOn w:val="Normal"/>
    <w:next w:val="Normal"/>
    <w:pPr>
      <w:ind w:left="5103"/>
      <w:jc w:val="left"/>
    </w:pPr>
    <w:rPr>
      <w:rFonts w:ascii="Times New Roman" w:hAnsi="Times New Roman"/>
    </w:rPr>
  </w:style>
  <w:style w:type="character" w:styleId="CommentReference">
    <w:name w:val="annotation reference"/>
    <w:semiHidden/>
    <w:rPr>
      <w:sz w:val="16"/>
    </w:rPr>
  </w:style>
  <w:style w:type="paragraph" w:customStyle="1" w:styleId="Tiret1">
    <w:name w:val="Tiret 1"/>
    <w:basedOn w:val="Normal"/>
    <w:pPr>
      <w:spacing w:before="120" w:after="120"/>
      <w:ind w:left="1418" w:hanging="567"/>
    </w:pPr>
    <w:rPr>
      <w:rFonts w:ascii="Times New Roman" w:hAnsi="Times New Roman"/>
    </w:rPr>
  </w:style>
  <w:style w:type="character" w:styleId="Strong">
    <w:name w:val="Strong"/>
    <w:uiPriority w:val="22"/>
    <w:qFormat/>
    <w:rPr>
      <w:b/>
    </w:rPr>
  </w:style>
  <w:style w:type="character" w:customStyle="1" w:styleId="Deleted">
    <w:name w:val="Deleted"/>
    <w:rPr>
      <w:b/>
      <w:i/>
    </w:rPr>
  </w:style>
  <w:style w:type="character" w:customStyle="1" w:styleId="HideTWBInt">
    <w:name w:val="HideTWBInt"/>
    <w:rsid w:val="00671028"/>
    <w:rPr>
      <w:vanish/>
      <w:color w:val="808080"/>
    </w:rPr>
  </w:style>
  <w:style w:type="paragraph" w:styleId="NormalWeb">
    <w:name w:val="Normal (Web)"/>
    <w:aliases w:val=" webb,webb"/>
    <w:basedOn w:val="Normal"/>
    <w:link w:val="NormalWebChar1"/>
    <w:uiPriority w:val="99"/>
    <w:rsid w:val="00863DF7"/>
    <w:pPr>
      <w:spacing w:before="100" w:beforeAutospacing="1" w:after="100" w:afterAutospacing="1"/>
      <w:jc w:val="left"/>
    </w:pPr>
    <w:rPr>
      <w:rFonts w:ascii="Times New Roman" w:hAnsi="Times New Roman"/>
      <w:szCs w:val="24"/>
    </w:rPr>
  </w:style>
  <w:style w:type="character" w:customStyle="1" w:styleId="ListDashChar">
    <w:name w:val="List Dash Char"/>
    <w:link w:val="ListDash"/>
    <w:rsid w:val="0008216A"/>
    <w:rPr>
      <w:rFonts w:ascii="Courier New" w:hAnsi="Courier New"/>
      <w:sz w:val="24"/>
    </w:rPr>
  </w:style>
  <w:style w:type="character" w:customStyle="1" w:styleId="exergue">
    <w:name w:val="exergue"/>
    <w:basedOn w:val="DefaultParagraphFont"/>
    <w:rsid w:val="005E526A"/>
  </w:style>
  <w:style w:type="paragraph" w:customStyle="1" w:styleId="textmain">
    <w:name w:val="textmain"/>
    <w:basedOn w:val="Normal"/>
    <w:rsid w:val="005E2CA4"/>
    <w:pPr>
      <w:spacing w:before="100" w:beforeAutospacing="1" w:after="100" w:afterAutospacing="1"/>
      <w:jc w:val="left"/>
    </w:pPr>
    <w:rPr>
      <w:rFonts w:ascii="Times New Roman" w:hAnsi="Times New Roman"/>
      <w:szCs w:val="24"/>
      <w:lang w:eastAsia="ko-KR"/>
    </w:rPr>
  </w:style>
  <w:style w:type="paragraph" w:customStyle="1" w:styleId="Normal12Tab">
    <w:name w:val="Normal12Tab"/>
    <w:basedOn w:val="Normal"/>
    <w:rsid w:val="00AA6DD4"/>
    <w:pPr>
      <w:widowControl w:val="0"/>
      <w:tabs>
        <w:tab w:val="left" w:pos="357"/>
      </w:tabs>
      <w:jc w:val="left"/>
    </w:pPr>
    <w:rPr>
      <w:rFonts w:ascii="Times New Roman" w:hAnsi="Times New Roman"/>
      <w:lang w:eastAsia="en-US"/>
    </w:rPr>
  </w:style>
  <w:style w:type="paragraph" w:customStyle="1" w:styleId="PageHeading">
    <w:name w:val="PageHeading"/>
    <w:basedOn w:val="Normal"/>
    <w:rsid w:val="00A52A26"/>
    <w:pPr>
      <w:keepNext/>
      <w:widowControl w:val="0"/>
      <w:spacing w:before="240"/>
      <w:jc w:val="center"/>
    </w:pPr>
    <w:rPr>
      <w:rFonts w:ascii="Arial" w:hAnsi="Arial"/>
      <w:b/>
    </w:rPr>
  </w:style>
  <w:style w:type="paragraph" w:customStyle="1" w:styleId="Normal12Bold">
    <w:name w:val="Normal12Bold"/>
    <w:basedOn w:val="Normal"/>
    <w:rsid w:val="00A52A26"/>
    <w:pPr>
      <w:widowControl w:val="0"/>
      <w:jc w:val="left"/>
    </w:pPr>
    <w:rPr>
      <w:rFonts w:ascii="Times New Roman" w:hAnsi="Times New Roman"/>
      <w:b/>
    </w:rPr>
  </w:style>
  <w:style w:type="paragraph" w:customStyle="1" w:styleId="Normal1">
    <w:name w:val="Normal1"/>
    <w:link w:val="NORMALChar"/>
    <w:rsid w:val="00A52A26"/>
    <w:rPr>
      <w:lang w:val="en-US" w:eastAsia="en-US"/>
    </w:rPr>
  </w:style>
  <w:style w:type="character" w:customStyle="1" w:styleId="titretable">
    <w:name w:val="titretable"/>
    <w:basedOn w:val="DefaultParagraphFont"/>
    <w:rsid w:val="00776DA5"/>
  </w:style>
  <w:style w:type="paragraph" w:customStyle="1" w:styleId="Normal12Hanging">
    <w:name w:val="Normal12Hanging"/>
    <w:basedOn w:val="Normal"/>
    <w:link w:val="Normal12HangingChar"/>
    <w:uiPriority w:val="99"/>
    <w:rsid w:val="00776DA5"/>
    <w:pPr>
      <w:widowControl w:val="0"/>
      <w:ind w:left="357" w:hanging="357"/>
      <w:jc w:val="left"/>
    </w:pPr>
    <w:rPr>
      <w:rFonts w:ascii="Times New Roman" w:hAnsi="Times New Roman"/>
    </w:rPr>
  </w:style>
  <w:style w:type="paragraph" w:customStyle="1" w:styleId="Normal120">
    <w:name w:val="Normal12"/>
    <w:basedOn w:val="Normal"/>
    <w:link w:val="Normal12Char0"/>
    <w:rsid w:val="0087007B"/>
    <w:pPr>
      <w:widowControl w:val="0"/>
      <w:jc w:val="left"/>
    </w:pPr>
    <w:rPr>
      <w:rFonts w:ascii="Times New Roman" w:hAnsi="Times New Roman"/>
      <w:szCs w:val="24"/>
    </w:rPr>
  </w:style>
  <w:style w:type="table" w:styleId="TableGrid">
    <w:name w:val="Table Grid"/>
    <w:basedOn w:val="TableNormal"/>
    <w:rsid w:val="008700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B39D1"/>
  </w:style>
  <w:style w:type="paragraph" w:customStyle="1" w:styleId="Typedudocument">
    <w:name w:val="Type du document"/>
    <w:basedOn w:val="Normal"/>
    <w:next w:val="Normal"/>
    <w:rsid w:val="00ED3B96"/>
    <w:pPr>
      <w:spacing w:before="360" w:after="0"/>
      <w:jc w:val="center"/>
    </w:pPr>
    <w:rPr>
      <w:rFonts w:ascii="Times New Roman" w:hAnsi="Times New Roman"/>
      <w:b/>
      <w:snapToGrid w:val="0"/>
      <w:lang w:eastAsia="en-US"/>
    </w:rPr>
  </w:style>
  <w:style w:type="character" w:customStyle="1" w:styleId="Normal12Char">
    <w:name w:val="Normal 12 Char"/>
    <w:link w:val="Normal12"/>
    <w:rsid w:val="0027701F"/>
    <w:rPr>
      <w:noProof/>
      <w:sz w:val="24"/>
      <w:lang w:val="en-GB" w:eastAsia="en-GB" w:bidi="ar-SA"/>
    </w:rPr>
  </w:style>
  <w:style w:type="character" w:customStyle="1" w:styleId="msoins0">
    <w:name w:val="msoins"/>
    <w:rsid w:val="005513E0"/>
    <w:rPr>
      <w:color w:val="008080"/>
      <w:u w:val="single"/>
    </w:rPr>
  </w:style>
  <w:style w:type="paragraph" w:customStyle="1" w:styleId="NumPar1Char">
    <w:name w:val="NumPar 1 Char"/>
    <w:basedOn w:val="Normal"/>
    <w:next w:val="Normal"/>
    <w:link w:val="NumPar1CharChar"/>
    <w:rsid w:val="003F62ED"/>
    <w:pPr>
      <w:numPr>
        <w:numId w:val="17"/>
      </w:numPr>
      <w:tabs>
        <w:tab w:val="num" w:pos="1134"/>
      </w:tabs>
      <w:spacing w:before="120" w:after="120"/>
      <w:ind w:left="1134"/>
    </w:pPr>
    <w:rPr>
      <w:szCs w:val="24"/>
    </w:rPr>
  </w:style>
  <w:style w:type="character" w:customStyle="1" w:styleId="NumPar1CharChar">
    <w:name w:val="NumPar 1 Char Char"/>
    <w:link w:val="NumPar1Char"/>
    <w:rsid w:val="003F62ED"/>
    <w:rPr>
      <w:rFonts w:ascii="Courier New" w:hAnsi="Courier New"/>
      <w:sz w:val="24"/>
      <w:szCs w:val="24"/>
    </w:rPr>
  </w:style>
  <w:style w:type="paragraph" w:customStyle="1" w:styleId="Contact">
    <w:name w:val="Contact"/>
    <w:basedOn w:val="Normal"/>
    <w:next w:val="Enclosures"/>
    <w:rsid w:val="00FA6446"/>
    <w:pPr>
      <w:spacing w:before="480" w:after="0"/>
      <w:ind w:left="567" w:hanging="567"/>
      <w:jc w:val="left"/>
    </w:pPr>
    <w:rPr>
      <w:rFonts w:ascii="Times New Roman" w:hAnsi="Times New Roman"/>
      <w:lang w:eastAsia="en-US"/>
    </w:rPr>
  </w:style>
  <w:style w:type="paragraph" w:customStyle="1" w:styleId="NormalBold">
    <w:name w:val="NormalBold"/>
    <w:basedOn w:val="Normal"/>
    <w:link w:val="NormalBoldChar"/>
    <w:rsid w:val="00960559"/>
    <w:pPr>
      <w:widowControl w:val="0"/>
      <w:spacing w:after="0"/>
      <w:jc w:val="left"/>
    </w:pPr>
    <w:rPr>
      <w:rFonts w:ascii="Times New Roman" w:hAnsi="Times New Roman"/>
      <w:b/>
    </w:rPr>
  </w:style>
  <w:style w:type="character" w:customStyle="1" w:styleId="NormalBoldChar">
    <w:name w:val="NormalBold Char"/>
    <w:link w:val="NormalBold"/>
    <w:rsid w:val="001D670F"/>
    <w:rPr>
      <w:b/>
      <w:sz w:val="24"/>
      <w:lang w:val="en-GB" w:eastAsia="en-GB" w:bidi="ar-SA"/>
    </w:rPr>
  </w:style>
  <w:style w:type="character" w:customStyle="1" w:styleId="subtitletable">
    <w:name w:val="subtitletable"/>
    <w:basedOn w:val="DefaultParagraphFont"/>
    <w:rsid w:val="00A66005"/>
  </w:style>
  <w:style w:type="character" w:customStyle="1" w:styleId="midtitletable">
    <w:name w:val="midtitletable"/>
    <w:basedOn w:val="DefaultParagraphFont"/>
    <w:rsid w:val="00031CA2"/>
  </w:style>
  <w:style w:type="paragraph" w:styleId="BalloonText">
    <w:name w:val="Balloon Text"/>
    <w:basedOn w:val="Normal"/>
    <w:semiHidden/>
    <w:rsid w:val="004D3FDF"/>
    <w:rPr>
      <w:rFonts w:ascii="Tahoma" w:hAnsi="Tahoma" w:cs="Tahoma"/>
      <w:sz w:val="16"/>
      <w:szCs w:val="16"/>
    </w:rPr>
  </w:style>
  <w:style w:type="character" w:customStyle="1" w:styleId="NORMALChar">
    <w:name w:val="NORMAL Char"/>
    <w:link w:val="Normal1"/>
    <w:rsid w:val="001F57FF"/>
    <w:rPr>
      <w:lang w:val="en-US" w:eastAsia="en-US" w:bidi="ar-SA"/>
    </w:rPr>
  </w:style>
  <w:style w:type="paragraph" w:customStyle="1" w:styleId="Olang">
    <w:name w:val="Olang"/>
    <w:basedOn w:val="Normal"/>
    <w:rsid w:val="00CD3544"/>
    <w:pPr>
      <w:widowControl w:val="0"/>
      <w:spacing w:before="240"/>
      <w:jc w:val="right"/>
    </w:pPr>
    <w:rPr>
      <w:rFonts w:ascii="Times New Roman" w:hAnsi="Times New Roman"/>
    </w:rPr>
  </w:style>
  <w:style w:type="character" w:customStyle="1" w:styleId="NormalWebChar1">
    <w:name w:val="Normal (Web) Char1"/>
    <w:aliases w:val=" webb Char,webb Char1"/>
    <w:link w:val="NormalWeb"/>
    <w:rsid w:val="00CD3544"/>
    <w:rPr>
      <w:sz w:val="24"/>
      <w:szCs w:val="24"/>
      <w:lang w:val="en-GB" w:eastAsia="en-GB" w:bidi="ar-SA"/>
    </w:rPr>
  </w:style>
  <w:style w:type="character" w:customStyle="1" w:styleId="italic">
    <w:name w:val="italic"/>
    <w:basedOn w:val="DefaultParagraphFont"/>
    <w:rsid w:val="006334FA"/>
  </w:style>
  <w:style w:type="character" w:customStyle="1" w:styleId="italic1">
    <w:name w:val="italic1"/>
    <w:rsid w:val="006334FA"/>
    <w:rPr>
      <w:i/>
      <w:iCs/>
    </w:rPr>
  </w:style>
  <w:style w:type="paragraph" w:customStyle="1" w:styleId="text">
    <w:name w:val="text"/>
    <w:basedOn w:val="Normal"/>
    <w:rsid w:val="006334FA"/>
    <w:pPr>
      <w:spacing w:before="100" w:beforeAutospacing="1" w:after="100" w:afterAutospacing="1"/>
      <w:jc w:val="left"/>
    </w:pPr>
    <w:rPr>
      <w:rFonts w:ascii="Arial" w:hAnsi="Arial" w:cs="Arial"/>
      <w:color w:val="000080"/>
      <w:szCs w:val="24"/>
    </w:rPr>
  </w:style>
  <w:style w:type="paragraph" w:customStyle="1" w:styleId="ManualNumPar1">
    <w:name w:val="Manual NumPar 1"/>
    <w:basedOn w:val="Normal"/>
    <w:next w:val="Normal"/>
    <w:rsid w:val="00C629C6"/>
    <w:pPr>
      <w:spacing w:before="120" w:after="120"/>
      <w:ind w:left="850" w:hanging="850"/>
    </w:pPr>
    <w:rPr>
      <w:rFonts w:ascii="Times New Roman" w:hAnsi="Times New Roman"/>
    </w:rPr>
  </w:style>
  <w:style w:type="character" w:customStyle="1" w:styleId="contents">
    <w:name w:val="contents"/>
    <w:basedOn w:val="DefaultParagraphFont"/>
    <w:rsid w:val="004F3B17"/>
  </w:style>
  <w:style w:type="paragraph" w:customStyle="1" w:styleId="CharChar2CharCharCharCharCharCharCharCharCharChar">
    <w:name w:val="Char Char2 Char Char Char Char Char Char Char Char Char Char"/>
    <w:basedOn w:val="Normal"/>
    <w:rsid w:val="00887CAB"/>
    <w:pPr>
      <w:spacing w:after="160" w:line="240" w:lineRule="exact"/>
      <w:jc w:val="left"/>
    </w:pPr>
    <w:rPr>
      <w:rFonts w:ascii="Tahoma" w:hAnsi="Tahoma"/>
      <w:sz w:val="20"/>
      <w:lang w:val="en-US" w:eastAsia="en-US"/>
    </w:rPr>
  </w:style>
  <w:style w:type="character" w:customStyle="1" w:styleId="defaultmargins0">
    <w:name w:val="defaultmargins"/>
    <w:rsid w:val="00ED1686"/>
    <w:rPr>
      <w:rFonts w:ascii="Courier New" w:hAnsi="Courier New" w:cs="Courier New" w:hint="default"/>
    </w:rPr>
  </w:style>
  <w:style w:type="paragraph" w:customStyle="1" w:styleId="Cover12">
    <w:name w:val="Cover12"/>
    <w:basedOn w:val="Normal"/>
    <w:rsid w:val="00B72965"/>
    <w:pPr>
      <w:widowControl w:val="0"/>
      <w:ind w:left="1418"/>
      <w:jc w:val="left"/>
    </w:pPr>
    <w:rPr>
      <w:rFonts w:ascii="Times New Roman" w:hAnsi="Times New Roman"/>
    </w:rPr>
  </w:style>
  <w:style w:type="paragraph" w:customStyle="1" w:styleId="CharChar1">
    <w:name w:val="Char Char1"/>
    <w:basedOn w:val="Normal"/>
    <w:rsid w:val="009E2FF2"/>
    <w:pPr>
      <w:spacing w:after="160" w:line="240" w:lineRule="exact"/>
      <w:jc w:val="left"/>
    </w:pPr>
    <w:rPr>
      <w:rFonts w:ascii="Tahoma" w:hAnsi="Tahoma"/>
      <w:sz w:val="20"/>
      <w:lang w:val="en-US" w:eastAsia="en-US"/>
    </w:rPr>
  </w:style>
  <w:style w:type="paragraph" w:customStyle="1" w:styleId="normal12hanging0">
    <w:name w:val="normal12hanging"/>
    <w:basedOn w:val="Normal"/>
    <w:rsid w:val="00E709A0"/>
    <w:pPr>
      <w:ind w:left="357" w:hanging="357"/>
      <w:jc w:val="left"/>
    </w:pPr>
    <w:rPr>
      <w:rFonts w:ascii="Times New Roman" w:hAnsi="Times New Roman"/>
      <w:szCs w:val="24"/>
      <w:lang w:val="en-US" w:eastAsia="en-US"/>
    </w:rPr>
  </w:style>
  <w:style w:type="paragraph" w:customStyle="1" w:styleId="CharCharChar">
    <w:name w:val="Char Char Char"/>
    <w:basedOn w:val="Normal"/>
    <w:next w:val="Normal"/>
    <w:rsid w:val="00E709A0"/>
    <w:pPr>
      <w:spacing w:after="160" w:line="240" w:lineRule="exact"/>
      <w:jc w:val="left"/>
    </w:pPr>
    <w:rPr>
      <w:rFonts w:ascii="Tahoma" w:hAnsi="Tahoma"/>
      <w:lang w:val="en-US" w:eastAsia="en-US"/>
    </w:rPr>
  </w:style>
  <w:style w:type="paragraph" w:customStyle="1" w:styleId="CharCharChar0">
    <w:name w:val="Char Char Char"/>
    <w:basedOn w:val="Normal"/>
    <w:uiPriority w:val="99"/>
    <w:rsid w:val="0092510C"/>
    <w:pPr>
      <w:spacing w:after="160" w:line="240" w:lineRule="exact"/>
      <w:jc w:val="left"/>
    </w:pPr>
    <w:rPr>
      <w:rFonts w:ascii="Tahoma" w:hAnsi="Tahoma"/>
      <w:sz w:val="20"/>
      <w:lang w:val="en-US" w:eastAsia="en-US"/>
    </w:rPr>
  </w:style>
  <w:style w:type="character" w:customStyle="1" w:styleId="Normal12Char0">
    <w:name w:val="Normal12 Char"/>
    <w:link w:val="Normal120"/>
    <w:rsid w:val="008D0782"/>
    <w:rPr>
      <w:sz w:val="24"/>
      <w:szCs w:val="24"/>
      <w:lang w:val="en-GB" w:eastAsia="en-GB" w:bidi="ar-SA"/>
    </w:rPr>
  </w:style>
  <w:style w:type="paragraph" w:customStyle="1" w:styleId="CoverNormalRC">
    <w:name w:val="CoverNormalRC"/>
    <w:basedOn w:val="Normal"/>
    <w:rsid w:val="00502387"/>
    <w:pPr>
      <w:widowControl w:val="0"/>
      <w:tabs>
        <w:tab w:val="left" w:pos="1701"/>
      </w:tabs>
      <w:spacing w:after="0"/>
      <w:ind w:left="1418"/>
      <w:jc w:val="left"/>
    </w:pPr>
    <w:rPr>
      <w:rFonts w:ascii="Times New Roman" w:hAnsi="Times New Roman"/>
    </w:rPr>
  </w:style>
  <w:style w:type="paragraph" w:customStyle="1" w:styleId="CharCarCarChar">
    <w:name w:val="Char Car Car Char"/>
    <w:basedOn w:val="Normal"/>
    <w:next w:val="Normal"/>
    <w:rsid w:val="0028727C"/>
    <w:pPr>
      <w:spacing w:after="160" w:line="240" w:lineRule="exact"/>
      <w:jc w:val="left"/>
    </w:pPr>
    <w:rPr>
      <w:rFonts w:ascii="Tahoma" w:hAnsi="Tahoma" w:cs="Tahoma"/>
      <w:szCs w:val="24"/>
      <w:lang w:val="en-US" w:eastAsia="en-US"/>
    </w:rPr>
  </w:style>
  <w:style w:type="paragraph" w:customStyle="1" w:styleId="Char1">
    <w:name w:val="Char1"/>
    <w:basedOn w:val="Normal"/>
    <w:rsid w:val="00F47B73"/>
    <w:pPr>
      <w:spacing w:after="160" w:line="240" w:lineRule="exact"/>
      <w:jc w:val="left"/>
    </w:pPr>
    <w:rPr>
      <w:rFonts w:ascii="Tahoma" w:hAnsi="Tahoma"/>
      <w:sz w:val="20"/>
      <w:lang w:val="en-US" w:eastAsia="en-US"/>
    </w:rPr>
  </w:style>
  <w:style w:type="paragraph" w:customStyle="1" w:styleId="Char">
    <w:name w:val="Char"/>
    <w:basedOn w:val="Normal"/>
    <w:rsid w:val="00124A7A"/>
    <w:pPr>
      <w:spacing w:after="160" w:line="240" w:lineRule="exact"/>
      <w:jc w:val="left"/>
    </w:pPr>
    <w:rPr>
      <w:rFonts w:ascii="Tahoma" w:hAnsi="Tahoma"/>
      <w:sz w:val="20"/>
      <w:lang w:val="en-US" w:eastAsia="en-US"/>
    </w:rPr>
  </w:style>
  <w:style w:type="character" w:customStyle="1" w:styleId="bold">
    <w:name w:val="bold"/>
    <w:basedOn w:val="DefaultParagraphFont"/>
    <w:rsid w:val="005B5CB2"/>
  </w:style>
  <w:style w:type="paragraph" w:customStyle="1" w:styleId="CoverNormal">
    <w:name w:val="CoverNormal"/>
    <w:basedOn w:val="Normal"/>
    <w:rsid w:val="00EA16CF"/>
    <w:pPr>
      <w:widowControl w:val="0"/>
      <w:spacing w:after="0"/>
      <w:ind w:left="1418"/>
      <w:jc w:val="left"/>
    </w:pPr>
    <w:rPr>
      <w:rFonts w:ascii="Times New Roman" w:hAnsi="Times New Roman"/>
    </w:rPr>
  </w:style>
  <w:style w:type="paragraph" w:styleId="CommentSubject">
    <w:name w:val="annotation subject"/>
    <w:aliases w:val=" Char Char Char Char Char"/>
    <w:basedOn w:val="CommentText"/>
    <w:next w:val="CommentText"/>
    <w:semiHidden/>
    <w:rsid w:val="00EA16CF"/>
    <w:pPr>
      <w:spacing w:before="120" w:after="120"/>
    </w:pPr>
    <w:rPr>
      <w:rFonts w:ascii="Times New Roman" w:hAnsi="Times New Roman"/>
      <w:b/>
      <w:bCs/>
      <w:snapToGrid w:val="0"/>
    </w:rPr>
  </w:style>
  <w:style w:type="character" w:customStyle="1" w:styleId="ListBulletChar1">
    <w:name w:val="List Bullet Char1"/>
    <w:link w:val="ListBullet"/>
    <w:uiPriority w:val="99"/>
    <w:rsid w:val="00EA16CF"/>
    <w:rPr>
      <w:rFonts w:ascii="Courier New" w:hAnsi="Courier New"/>
      <w:sz w:val="24"/>
    </w:rPr>
  </w:style>
  <w:style w:type="character" w:customStyle="1" w:styleId="contents1">
    <w:name w:val="contents1"/>
    <w:rsid w:val="00EA16CF"/>
    <w:rPr>
      <w:rFonts w:ascii="Arial" w:hAnsi="Arial" w:cs="Arial" w:hint="default"/>
      <w:b w:val="0"/>
      <w:bCs w:val="0"/>
      <w:color w:val="666666"/>
      <w:sz w:val="18"/>
      <w:szCs w:val="18"/>
    </w:rPr>
  </w:style>
  <w:style w:type="paragraph" w:customStyle="1" w:styleId="CharChar1Char">
    <w:name w:val="Char Char1 Char"/>
    <w:basedOn w:val="Normal"/>
    <w:rsid w:val="00476BB5"/>
    <w:pPr>
      <w:spacing w:after="160" w:line="240" w:lineRule="exact"/>
      <w:jc w:val="left"/>
    </w:pPr>
    <w:rPr>
      <w:rFonts w:ascii="Tahoma" w:hAnsi="Tahoma"/>
      <w:sz w:val="20"/>
      <w:lang w:val="en-US" w:eastAsia="en-U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uiPriority w:val="99"/>
    <w:rsid w:val="00103DE9"/>
    <w:rPr>
      <w:rFonts w:ascii="Courier New" w:hAnsi="Courier New"/>
      <w:lang w:val="en-GB" w:eastAsia="en-GB" w:bidi="ar-SA"/>
    </w:rPr>
  </w:style>
  <w:style w:type="paragraph" w:customStyle="1" w:styleId="CharChar2CharCharCharCharCharCharChar">
    <w:name w:val="Char Char2 Char Char Char Char Char Char Char"/>
    <w:basedOn w:val="Normal"/>
    <w:rsid w:val="00FE32E0"/>
    <w:pPr>
      <w:spacing w:after="160" w:line="240" w:lineRule="exact"/>
      <w:jc w:val="left"/>
    </w:pPr>
    <w:rPr>
      <w:rFonts w:ascii="Tahoma" w:hAnsi="Tahoma"/>
      <w:sz w:val="20"/>
      <w:lang w:val="en-US" w:eastAsia="en-US"/>
    </w:rPr>
  </w:style>
  <w:style w:type="character" w:customStyle="1" w:styleId="Text1Char">
    <w:name w:val="Text 1 Char"/>
    <w:link w:val="Text1"/>
    <w:rsid w:val="001B76B5"/>
    <w:rPr>
      <w:rFonts w:ascii="Courier New" w:hAnsi="Courier New"/>
      <w:sz w:val="24"/>
      <w:lang w:val="en-GB" w:eastAsia="en-GB" w:bidi="ar-SA"/>
    </w:rPr>
  </w:style>
  <w:style w:type="character" w:customStyle="1" w:styleId="bold1">
    <w:name w:val="bold1"/>
    <w:rsid w:val="00236008"/>
    <w:rPr>
      <w:b/>
      <w:bCs/>
    </w:rPr>
  </w:style>
  <w:style w:type="character" w:customStyle="1" w:styleId="ListChar">
    <w:name w:val="List Char"/>
    <w:link w:val="List"/>
    <w:rsid w:val="009E216E"/>
    <w:rPr>
      <w:rFonts w:ascii="Courier New" w:hAnsi="Courier New"/>
      <w:sz w:val="24"/>
      <w:lang w:val="en-GB" w:eastAsia="en-GB" w:bidi="ar-SA"/>
    </w:rPr>
  </w:style>
  <w:style w:type="character" w:customStyle="1" w:styleId="sup1">
    <w:name w:val="sup1"/>
    <w:rsid w:val="009E216E"/>
    <w:rPr>
      <w:sz w:val="19"/>
      <w:szCs w:val="19"/>
      <w:vertAlign w:val="superscript"/>
    </w:rPr>
  </w:style>
  <w:style w:type="character" w:customStyle="1" w:styleId="Heading1Char1">
    <w:name w:val="Heading 1 Char1"/>
    <w:aliases w:val="Heading 1 Char Char Char Char Char Char Char Char Char Char Char Char Char Char Char"/>
    <w:link w:val="Heading1"/>
    <w:rsid w:val="009E216E"/>
    <w:rPr>
      <w:rFonts w:ascii="Courier New" w:hAnsi="Courier New"/>
      <w:b/>
      <w:smallCaps/>
      <w:sz w:val="24"/>
    </w:rPr>
  </w:style>
  <w:style w:type="paragraph" w:customStyle="1" w:styleId="Statut">
    <w:name w:val="Statut"/>
    <w:basedOn w:val="Normal"/>
    <w:next w:val="Normal"/>
    <w:rsid w:val="00FE35A4"/>
    <w:pPr>
      <w:spacing w:before="360" w:after="0"/>
      <w:jc w:val="center"/>
    </w:pPr>
    <w:rPr>
      <w:rFonts w:ascii="Times New Roman" w:hAnsi="Times New Roman"/>
      <w:lang w:eastAsia="en-US"/>
    </w:rPr>
  </w:style>
  <w:style w:type="paragraph" w:customStyle="1" w:styleId="CharCharCharCharCharCharCharCharChar">
    <w:name w:val="Char Char Char Char Char Char Char Char Char"/>
    <w:aliases w:val=" Char Char Char Char Char Char Char Char Char Char Char Char"/>
    <w:basedOn w:val="Normal"/>
    <w:next w:val="Normal"/>
    <w:rsid w:val="00FE35A4"/>
    <w:pPr>
      <w:spacing w:after="160" w:line="240" w:lineRule="exact"/>
      <w:jc w:val="left"/>
    </w:pPr>
    <w:rPr>
      <w:rFonts w:ascii="Tahoma" w:hAnsi="Tahoma"/>
      <w:lang w:val="en-US" w:eastAsia="en-US"/>
    </w:rPr>
  </w:style>
  <w:style w:type="character" w:customStyle="1" w:styleId="Marker">
    <w:name w:val="Marker"/>
    <w:rsid w:val="00FE35A4"/>
    <w:rPr>
      <w:color w:val="0000FF"/>
      <w:lang w:val="en-GB"/>
    </w:rPr>
  </w:style>
  <w:style w:type="paragraph" w:customStyle="1" w:styleId="CarChar">
    <w:name w:val="Car Char"/>
    <w:basedOn w:val="Normal"/>
    <w:rsid w:val="00573DC5"/>
    <w:pPr>
      <w:spacing w:after="160" w:line="240" w:lineRule="exact"/>
      <w:jc w:val="left"/>
    </w:pPr>
    <w:rPr>
      <w:rFonts w:ascii="Tahoma" w:hAnsi="Tahoma"/>
      <w:sz w:val="20"/>
      <w:lang w:val="en-US" w:eastAsia="en-US"/>
    </w:rPr>
  </w:style>
  <w:style w:type="paragraph" w:customStyle="1" w:styleId="Car">
    <w:name w:val="Car"/>
    <w:basedOn w:val="Normal"/>
    <w:rsid w:val="00F02465"/>
    <w:pPr>
      <w:spacing w:after="160" w:line="240" w:lineRule="exact"/>
      <w:jc w:val="left"/>
    </w:pPr>
    <w:rPr>
      <w:rFonts w:ascii="Arial" w:hAnsi="Arial" w:cs="Arial"/>
      <w:sz w:val="28"/>
      <w:szCs w:val="28"/>
      <w:lang w:val="en-US" w:eastAsia="en-US"/>
    </w:rPr>
  </w:style>
  <w:style w:type="character" w:customStyle="1" w:styleId="ringrefselectedheader">
    <w:name w:val="ring_ref_selected_header"/>
    <w:basedOn w:val="DefaultParagraphFont"/>
    <w:rsid w:val="006D74E0"/>
  </w:style>
  <w:style w:type="character" w:customStyle="1" w:styleId="Normal12HangingChar">
    <w:name w:val="Normal12Hanging Char"/>
    <w:link w:val="Normal12Hanging"/>
    <w:rsid w:val="00990461"/>
    <w:rPr>
      <w:sz w:val="24"/>
      <w:lang w:val="en-GB" w:eastAsia="en-GB" w:bidi="ar-SA"/>
    </w:rPr>
  </w:style>
  <w:style w:type="character" w:customStyle="1" w:styleId="fnChar">
    <w:name w:val="fn Char"/>
    <w:aliases w:val="Footnote Char,Voetnoottekst Char Char,Voetnoottekst Char1 Char,Voetnoottekst Char2 Char Char Char,Voetnoottekst Char Char1 Char Char Char,Podrozdział Char,Podrozdzia3 Char,Footnote text Char,Schriftart: 9 pt Char,Schriftart: 10 pt Char,Char Char"/>
    <w:uiPriority w:val="99"/>
    <w:rsid w:val="00990461"/>
    <w:rPr>
      <w:lang w:val="fr-FR" w:eastAsia="fr-FR" w:bidi="ar-SA"/>
    </w:rPr>
  </w:style>
  <w:style w:type="paragraph" w:customStyle="1" w:styleId="Default">
    <w:name w:val="Default"/>
    <w:rsid w:val="00990461"/>
    <w:pPr>
      <w:autoSpaceDE w:val="0"/>
      <w:autoSpaceDN w:val="0"/>
      <w:adjustRightInd w:val="0"/>
    </w:pPr>
    <w:rPr>
      <w:color w:val="000000"/>
      <w:sz w:val="24"/>
      <w:szCs w:val="24"/>
      <w:lang w:val="fr-FR" w:eastAsia="fr-FR"/>
    </w:rPr>
  </w:style>
  <w:style w:type="paragraph" w:customStyle="1" w:styleId="Hanging12">
    <w:name w:val="Hanging12"/>
    <w:basedOn w:val="Normal"/>
    <w:link w:val="Hanging12Char"/>
    <w:rsid w:val="00253F7D"/>
    <w:pPr>
      <w:widowControl w:val="0"/>
      <w:tabs>
        <w:tab w:val="left" w:pos="357"/>
      </w:tabs>
      <w:ind w:left="357" w:hanging="357"/>
      <w:jc w:val="left"/>
    </w:pPr>
    <w:rPr>
      <w:rFonts w:ascii="Times New Roman" w:hAnsi="Times New Roman"/>
    </w:rPr>
  </w:style>
  <w:style w:type="paragraph" w:customStyle="1" w:styleId="ringsteptitle">
    <w:name w:val="ring_step_title"/>
    <w:basedOn w:val="Normal"/>
    <w:rsid w:val="00FF43F0"/>
    <w:pPr>
      <w:spacing w:after="0"/>
      <w:jc w:val="left"/>
    </w:pPr>
    <w:rPr>
      <w:rFonts w:ascii="Arial" w:hAnsi="Arial" w:cs="Arial"/>
      <w:b/>
      <w:bCs/>
      <w:color w:val="666666"/>
      <w:sz w:val="17"/>
      <w:szCs w:val="17"/>
    </w:rPr>
  </w:style>
  <w:style w:type="character" w:customStyle="1" w:styleId="Normal12HangingCarattere">
    <w:name w:val="Normal12Hanging Carattere"/>
    <w:rsid w:val="00577812"/>
    <w:rPr>
      <w:sz w:val="24"/>
      <w:lang w:val="en-GB" w:eastAsia="en-GB" w:bidi="ar-SA"/>
    </w:rPr>
  </w:style>
  <w:style w:type="character" w:customStyle="1" w:styleId="underline">
    <w:name w:val="underline"/>
    <w:basedOn w:val="DefaultParagraphFont"/>
    <w:rsid w:val="00DA48EF"/>
  </w:style>
  <w:style w:type="character" w:customStyle="1" w:styleId="ctteelong1">
    <w:name w:val="cttee_long1"/>
    <w:rsid w:val="00DA48EF"/>
    <w:rPr>
      <w:b/>
      <w:bCs/>
      <w:color w:val="000000"/>
      <w:sz w:val="25"/>
      <w:szCs w:val="25"/>
    </w:rPr>
  </w:style>
  <w:style w:type="paragraph" w:customStyle="1" w:styleId="CharChar2CharCharCharChar">
    <w:name w:val="Char Char2 Char Char Char Char"/>
    <w:basedOn w:val="Normal"/>
    <w:rsid w:val="00D35B03"/>
    <w:pPr>
      <w:spacing w:after="160" w:line="240" w:lineRule="exact"/>
      <w:jc w:val="left"/>
    </w:pPr>
    <w:rPr>
      <w:rFonts w:ascii="Tahoma" w:hAnsi="Tahoma"/>
      <w:sz w:val="20"/>
      <w:lang w:val="en-US" w:eastAsia="en-US"/>
    </w:rPr>
  </w:style>
  <w:style w:type="paragraph" w:customStyle="1" w:styleId="CharChar7CharCharCharCharCharCharChar">
    <w:name w:val="Char Char7 Char Char Char Char Char Char Char"/>
    <w:basedOn w:val="Normal"/>
    <w:rsid w:val="00CD730B"/>
    <w:pPr>
      <w:spacing w:after="160" w:line="240" w:lineRule="exact"/>
      <w:jc w:val="left"/>
    </w:pPr>
    <w:rPr>
      <w:rFonts w:ascii="Tahoma" w:hAnsi="Tahoma"/>
      <w:sz w:val="20"/>
      <w:lang w:val="en-US" w:eastAsia="en-US"/>
    </w:rPr>
  </w:style>
  <w:style w:type="paragraph" w:customStyle="1" w:styleId="Znak">
    <w:name w:val="Znak"/>
    <w:basedOn w:val="Normal"/>
    <w:rsid w:val="00A76EE9"/>
    <w:pPr>
      <w:spacing w:after="160" w:line="240" w:lineRule="exact"/>
      <w:jc w:val="left"/>
    </w:pPr>
    <w:rPr>
      <w:rFonts w:ascii="Tahoma" w:hAnsi="Tahoma"/>
      <w:sz w:val="20"/>
      <w:lang w:val="en-US" w:eastAsia="en-US"/>
    </w:rPr>
  </w:style>
  <w:style w:type="character" w:customStyle="1" w:styleId="Forte1">
    <w:name w:val="Forte1"/>
    <w:rsid w:val="00386FED"/>
    <w:rPr>
      <w:b/>
      <w:bCs/>
      <w:color w:val="000066"/>
      <w:sz w:val="20"/>
      <w:szCs w:val="20"/>
    </w:rPr>
  </w:style>
  <w:style w:type="character" w:customStyle="1" w:styleId="Hiperligao6">
    <w:name w:val="Hiperligação6"/>
    <w:rsid w:val="00386FED"/>
    <w:rPr>
      <w:color w:val="000066"/>
      <w:sz w:val="20"/>
      <w:szCs w:val="20"/>
      <w:u w:val="single"/>
    </w:rPr>
  </w:style>
  <w:style w:type="character" w:customStyle="1" w:styleId="Text1Car">
    <w:name w:val="Text 1 Car"/>
    <w:rsid w:val="00BD1BAB"/>
    <w:rPr>
      <w:smallCaps/>
      <w:sz w:val="24"/>
      <w:szCs w:val="24"/>
      <w:lang w:val="en-GB" w:eastAsia="en-GB" w:bidi="ar-SA"/>
    </w:rPr>
  </w:style>
  <w:style w:type="character" w:customStyle="1" w:styleId="bodytext1">
    <w:name w:val="bodytext1"/>
    <w:rsid w:val="00B35BF4"/>
    <w:rPr>
      <w:rFonts w:ascii="Verdana" w:hAnsi="Verdana" w:hint="default"/>
      <w:b w:val="0"/>
      <w:bCs w:val="0"/>
      <w:i w:val="0"/>
      <w:iCs w:val="0"/>
      <w:sz w:val="17"/>
      <w:szCs w:val="17"/>
    </w:rPr>
  </w:style>
  <w:style w:type="paragraph" w:customStyle="1" w:styleId="listdash10">
    <w:name w:val="listdash1"/>
    <w:basedOn w:val="Normal"/>
    <w:rsid w:val="00FD3ECC"/>
    <w:pPr>
      <w:tabs>
        <w:tab w:val="num" w:pos="283"/>
      </w:tabs>
      <w:ind w:left="765" w:hanging="283"/>
    </w:pPr>
    <w:rPr>
      <w:rFonts w:ascii="Times New Roman" w:hAnsi="Times New Roman"/>
      <w:szCs w:val="24"/>
    </w:rPr>
  </w:style>
  <w:style w:type="character" w:customStyle="1" w:styleId="FooterChar">
    <w:name w:val="Footer Char"/>
    <w:link w:val="Footer"/>
    <w:uiPriority w:val="99"/>
    <w:rsid w:val="00634CB5"/>
    <w:rPr>
      <w:rFonts w:ascii="Arial" w:hAnsi="Arial"/>
      <w:sz w:val="16"/>
      <w:lang w:val="en-GB" w:eastAsia="en-GB" w:bidi="ar-SA"/>
    </w:rPr>
  </w:style>
  <w:style w:type="paragraph" w:customStyle="1" w:styleId="Cover60">
    <w:name w:val="Cover60"/>
    <w:basedOn w:val="Normal"/>
    <w:rsid w:val="009A6382"/>
    <w:pPr>
      <w:widowControl w:val="0"/>
      <w:spacing w:after="1200"/>
      <w:ind w:left="1418"/>
      <w:jc w:val="left"/>
    </w:pPr>
    <w:rPr>
      <w:rFonts w:ascii="Times New Roman" w:hAnsi="Times New Roman"/>
    </w:rPr>
  </w:style>
  <w:style w:type="paragraph" w:customStyle="1" w:styleId="copy">
    <w:name w:val="copy"/>
    <w:basedOn w:val="Normal"/>
    <w:rsid w:val="009A6382"/>
    <w:pPr>
      <w:spacing w:before="100" w:beforeAutospacing="1" w:after="100" w:afterAutospacing="1" w:line="178" w:lineRule="atLeast"/>
      <w:jc w:val="left"/>
    </w:pPr>
    <w:rPr>
      <w:rFonts w:ascii="Verdana" w:hAnsi="Verdana"/>
      <w:color w:val="000000"/>
      <w:sz w:val="14"/>
      <w:szCs w:val="14"/>
      <w:lang w:val="en-US" w:eastAsia="en-US"/>
    </w:rPr>
  </w:style>
  <w:style w:type="character" w:customStyle="1" w:styleId="ListBulletChar">
    <w:name w:val="List Bullet Char"/>
    <w:rsid w:val="00B36749"/>
    <w:rPr>
      <w:sz w:val="24"/>
      <w:lang w:val="en-GB" w:eastAsia="en-US" w:bidi="ar-SA"/>
    </w:rPr>
  </w:style>
  <w:style w:type="character" w:customStyle="1" w:styleId="Normal12HangingZnak">
    <w:name w:val="Normal12Hanging Znak"/>
    <w:rsid w:val="006474F2"/>
    <w:rPr>
      <w:sz w:val="24"/>
      <w:lang w:val="en-GB" w:eastAsia="en-GB" w:bidi="ar-SA"/>
    </w:rPr>
  </w:style>
  <w:style w:type="character" w:customStyle="1" w:styleId="Text2Char1">
    <w:name w:val="Text 2 Char1"/>
    <w:link w:val="Text2"/>
    <w:rsid w:val="006474F2"/>
    <w:rPr>
      <w:rFonts w:ascii="Courier New" w:hAnsi="Courier New"/>
      <w:sz w:val="24"/>
      <w:lang w:val="en-GB" w:eastAsia="en-GB" w:bidi="ar-SA"/>
    </w:rPr>
  </w:style>
  <w:style w:type="paragraph" w:customStyle="1" w:styleId="Cover24">
    <w:name w:val="Cover24"/>
    <w:basedOn w:val="Normal"/>
    <w:rsid w:val="00CF7345"/>
    <w:pPr>
      <w:widowControl w:val="0"/>
      <w:spacing w:after="480"/>
      <w:ind w:left="1418"/>
      <w:jc w:val="left"/>
    </w:pPr>
    <w:rPr>
      <w:rFonts w:ascii="Times New Roman" w:hAnsi="Times New Roman"/>
    </w:rPr>
  </w:style>
  <w:style w:type="character" w:customStyle="1" w:styleId="verdanaelflight">
    <w:name w:val="verdanaelflight"/>
    <w:basedOn w:val="DefaultParagraphFont"/>
    <w:rsid w:val="0059734D"/>
  </w:style>
  <w:style w:type="character" w:customStyle="1" w:styleId="titlemep">
    <w:name w:val="titlemep"/>
    <w:basedOn w:val="DefaultParagraphFont"/>
    <w:rsid w:val="000975A5"/>
  </w:style>
  <w:style w:type="character" w:customStyle="1" w:styleId="titlemep2">
    <w:name w:val="titlemep2"/>
    <w:basedOn w:val="DefaultParagraphFont"/>
    <w:rsid w:val="000975A5"/>
  </w:style>
  <w:style w:type="paragraph" w:customStyle="1" w:styleId="Normal6">
    <w:name w:val="Normal6"/>
    <w:basedOn w:val="Normal"/>
    <w:link w:val="Normal6Char"/>
    <w:rsid w:val="00A62579"/>
    <w:pPr>
      <w:widowControl w:val="0"/>
      <w:spacing w:after="120"/>
      <w:jc w:val="left"/>
    </w:pPr>
    <w:rPr>
      <w:rFonts w:ascii="Times New Roman" w:hAnsi="Times New Roman"/>
      <w:noProof/>
    </w:rPr>
  </w:style>
  <w:style w:type="character" w:customStyle="1" w:styleId="Normal6Char">
    <w:name w:val="Normal6 Char"/>
    <w:link w:val="Normal6"/>
    <w:rsid w:val="00A62579"/>
    <w:rPr>
      <w:noProof/>
      <w:sz w:val="24"/>
      <w:lang w:val="en-GB" w:eastAsia="en-GB" w:bidi="ar-SA"/>
    </w:rPr>
  </w:style>
  <w:style w:type="character" w:customStyle="1" w:styleId="ListBulletCharCharChar">
    <w:name w:val="List Bullet Char Char Char"/>
    <w:rsid w:val="00536069"/>
    <w:rPr>
      <w:sz w:val="24"/>
      <w:lang w:val="fr-FR" w:eastAsia="en-US" w:bidi="ar-SA"/>
    </w:rPr>
  </w:style>
  <w:style w:type="paragraph" w:customStyle="1" w:styleId="texte-compact">
    <w:name w:val="texte-compact"/>
    <w:basedOn w:val="Normal"/>
    <w:rsid w:val="00F47793"/>
    <w:pPr>
      <w:spacing w:before="30"/>
      <w:jc w:val="left"/>
    </w:pPr>
    <w:rPr>
      <w:rFonts w:ascii="Times New Roman" w:hAnsi="Times New Roman"/>
      <w:szCs w:val="24"/>
    </w:rPr>
  </w:style>
  <w:style w:type="character" w:customStyle="1" w:styleId="NumPar1Char1">
    <w:name w:val="NumPar 1 Char1"/>
    <w:link w:val="NumPar1"/>
    <w:rsid w:val="00822F9D"/>
    <w:rPr>
      <w:rFonts w:ascii="Courier New" w:hAnsi="Courier New"/>
      <w:sz w:val="24"/>
    </w:rPr>
  </w:style>
  <w:style w:type="paragraph" w:customStyle="1" w:styleId="initial0">
    <w:name w:val="initial"/>
    <w:basedOn w:val="Normal"/>
    <w:rsid w:val="00E01174"/>
    <w:pPr>
      <w:spacing w:after="0"/>
    </w:pPr>
    <w:rPr>
      <w:rFonts w:ascii="Times New Roman" w:hAnsi="Times New Roman"/>
      <w:spacing w:val="-3"/>
      <w:szCs w:val="24"/>
    </w:rPr>
  </w:style>
  <w:style w:type="character" w:customStyle="1" w:styleId="Heading1Char">
    <w:name w:val="Heading 1 Char"/>
    <w:rsid w:val="000A1BDC"/>
    <w:rPr>
      <w:bCs/>
      <w:smallCaps/>
      <w:sz w:val="24"/>
      <w:lang w:val="fr-FR" w:eastAsia="ko-KR" w:bidi="ar-SA"/>
    </w:rPr>
  </w:style>
  <w:style w:type="paragraph" w:customStyle="1" w:styleId="Prliminairetype">
    <w:name w:val="Préliminaire type"/>
    <w:basedOn w:val="Normal"/>
    <w:next w:val="Normal"/>
    <w:rsid w:val="00495658"/>
    <w:pPr>
      <w:spacing w:before="360" w:after="0"/>
      <w:jc w:val="center"/>
    </w:pPr>
    <w:rPr>
      <w:rFonts w:ascii="Times New Roman" w:hAnsi="Times New Roman"/>
      <w:b/>
      <w:szCs w:val="24"/>
      <w:lang w:eastAsia="de-DE"/>
    </w:rPr>
  </w:style>
  <w:style w:type="character" w:customStyle="1" w:styleId="introtext">
    <w:name w:val="introtext"/>
    <w:basedOn w:val="DefaultParagraphFont"/>
    <w:rsid w:val="00FF30F1"/>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Issue Action POC"/>
    <w:basedOn w:val="Normal"/>
    <w:link w:val="ListParagraphChar"/>
    <w:uiPriority w:val="34"/>
    <w:qFormat/>
    <w:rsid w:val="001C680C"/>
    <w:pPr>
      <w:spacing w:after="200" w:line="276" w:lineRule="auto"/>
      <w:ind w:left="720"/>
      <w:contextualSpacing/>
      <w:jc w:val="left"/>
    </w:pPr>
    <w:rPr>
      <w:rFonts w:ascii="Calibri" w:eastAsia="Calibri" w:hAnsi="Calibri"/>
      <w:sz w:val="22"/>
      <w:szCs w:val="22"/>
      <w:lang w:val="en-US" w:eastAsia="en-US"/>
    </w:rPr>
  </w:style>
  <w:style w:type="paragraph" w:customStyle="1" w:styleId="ZDate">
    <w:name w:val="ZDate"/>
    <w:basedOn w:val="Normal"/>
    <w:rsid w:val="00A03CB8"/>
    <w:pPr>
      <w:widowControl w:val="0"/>
      <w:spacing w:after="1200"/>
      <w:jc w:val="left"/>
    </w:pPr>
    <w:rPr>
      <w:rFonts w:ascii="Times New Roman" w:hAnsi="Times New Roman"/>
    </w:rPr>
  </w:style>
  <w:style w:type="character" w:customStyle="1" w:styleId="Heading3Char">
    <w:name w:val="Heading 3 Char"/>
    <w:link w:val="Heading3"/>
    <w:rsid w:val="0067029D"/>
    <w:rPr>
      <w:rFonts w:ascii="Courier New" w:hAnsi="Courier New"/>
      <w:i/>
      <w:sz w:val="24"/>
    </w:rPr>
  </w:style>
  <w:style w:type="character" w:customStyle="1" w:styleId="5NormalChar">
    <w:name w:val="5 Normal Char"/>
    <w:link w:val="5Normal"/>
    <w:rsid w:val="00AB63A6"/>
    <w:rPr>
      <w:rFonts w:ascii="Arial" w:hAnsi="Arial"/>
      <w:spacing w:val="-2"/>
      <w:sz w:val="22"/>
      <w:lang w:val="en-GB" w:eastAsia="en-GB" w:bidi="ar-SA"/>
    </w:rPr>
  </w:style>
  <w:style w:type="paragraph" w:customStyle="1" w:styleId="Prliminairetitre">
    <w:name w:val="Préliminaire titre"/>
    <w:basedOn w:val="Normal"/>
    <w:next w:val="Normal"/>
    <w:rsid w:val="00E85A91"/>
    <w:pPr>
      <w:spacing w:before="360" w:after="360"/>
      <w:jc w:val="center"/>
    </w:pPr>
    <w:rPr>
      <w:rFonts w:ascii="Times New Roman" w:hAnsi="Times New Roman"/>
      <w:b/>
      <w:szCs w:val="24"/>
      <w:lang w:eastAsia="de-DE"/>
    </w:rPr>
  </w:style>
  <w:style w:type="character" w:customStyle="1" w:styleId="docsubtitlelevel1bis">
    <w:name w:val="doc_subtitle_level1_bis"/>
    <w:basedOn w:val="DefaultParagraphFont"/>
    <w:rsid w:val="00871A9E"/>
  </w:style>
  <w:style w:type="paragraph" w:customStyle="1" w:styleId="a3520normalp5">
    <w:name w:val="a__35__20_normal_p5"/>
    <w:basedOn w:val="Normal"/>
    <w:rsid w:val="00BB7227"/>
    <w:pPr>
      <w:spacing w:after="120"/>
    </w:pPr>
    <w:rPr>
      <w:rFonts w:ascii="Times New Roman" w:hAnsi="Times New Roman"/>
      <w:szCs w:val="24"/>
      <w:lang w:val="en-US" w:eastAsia="en-US"/>
    </w:rPr>
  </w:style>
  <w:style w:type="paragraph" w:customStyle="1" w:styleId="Considrant">
    <w:name w:val="Considérant"/>
    <w:basedOn w:val="Normal"/>
    <w:rsid w:val="009D3B39"/>
    <w:pPr>
      <w:numPr>
        <w:numId w:val="19"/>
      </w:numPr>
      <w:spacing w:before="120" w:after="120"/>
    </w:pPr>
    <w:rPr>
      <w:rFonts w:ascii="Times New Roman" w:hAnsi="Times New Roman"/>
      <w:lang w:eastAsia="zh-CN"/>
    </w:rPr>
  </w:style>
  <w:style w:type="table" w:styleId="TableGrid1">
    <w:name w:val="Table Grid 1"/>
    <w:basedOn w:val="TableNormal"/>
    <w:rsid w:val="009D1A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THeading2">
    <w:name w:val="AT Heading 2"/>
    <w:basedOn w:val="Normal"/>
    <w:next w:val="Normal"/>
    <w:link w:val="ATHeading2Char"/>
    <w:rsid w:val="004649AB"/>
    <w:pPr>
      <w:spacing w:before="120" w:after="120"/>
      <w:jc w:val="left"/>
      <w:outlineLvl w:val="1"/>
    </w:pPr>
    <w:rPr>
      <w:rFonts w:ascii="Times New Roman" w:hAnsi="Times New Roman"/>
      <w:b/>
      <w:noProof/>
      <w:sz w:val="28"/>
    </w:rPr>
  </w:style>
  <w:style w:type="character" w:customStyle="1" w:styleId="ATHeading2Char">
    <w:name w:val="AT Heading 2 Char"/>
    <w:link w:val="ATHeading2"/>
    <w:rsid w:val="004649AB"/>
    <w:rPr>
      <w:b/>
      <w:noProof/>
      <w:sz w:val="28"/>
      <w:lang w:val="en-GB"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rsid w:val="004649AB"/>
    <w:pPr>
      <w:spacing w:after="160" w:line="240" w:lineRule="exact"/>
      <w:jc w:val="left"/>
    </w:pPr>
    <w:rPr>
      <w:rFonts w:ascii="Times New Roman" w:hAnsi="Times New Roman"/>
      <w:sz w:val="20"/>
      <w:vertAlign w:val="superscript"/>
    </w:rPr>
  </w:style>
  <w:style w:type="character" w:customStyle="1" w:styleId="singlespaceChar">
    <w:name w:val="single space Char"/>
    <w:aliases w:val="footnote text Char1,Fußnote Char,FOOTNOTES Char, Char Char Char Char,Note de bas de page2 Char,Footnotes Char Char,footnote text Char Char,Footnotes Char1,Char Char Char Char"/>
    <w:locked/>
    <w:rsid w:val="004649AB"/>
    <w:rPr>
      <w:lang w:val="fr-FR" w:eastAsia="en-US" w:bidi="ar-SA"/>
    </w:rPr>
  </w:style>
  <w:style w:type="paragraph" w:customStyle="1" w:styleId="Listenabsatz">
    <w:name w:val="Listenabsatz"/>
    <w:basedOn w:val="Normal"/>
    <w:qFormat/>
    <w:rsid w:val="00316C69"/>
    <w:pPr>
      <w:spacing w:after="200" w:line="276" w:lineRule="auto"/>
      <w:ind w:left="720"/>
      <w:contextualSpacing/>
      <w:jc w:val="left"/>
    </w:pPr>
    <w:rPr>
      <w:rFonts w:ascii="Calibri" w:eastAsia="Calibri" w:hAnsi="Calibri"/>
      <w:sz w:val="22"/>
      <w:szCs w:val="22"/>
      <w:lang w:val="de-DE" w:eastAsia="en-US"/>
    </w:rPr>
  </w:style>
  <w:style w:type="paragraph" w:customStyle="1" w:styleId="Point0">
    <w:name w:val="Point 0"/>
    <w:basedOn w:val="Normal"/>
    <w:rsid w:val="001912E2"/>
    <w:pPr>
      <w:spacing w:before="120" w:after="120"/>
      <w:ind w:left="850" w:hanging="850"/>
    </w:pPr>
    <w:rPr>
      <w:rFonts w:ascii="Times New Roman" w:hAnsi="Times New Roman"/>
      <w:szCs w:val="24"/>
      <w:lang w:eastAsia="de-DE"/>
    </w:rPr>
  </w:style>
  <w:style w:type="character" w:customStyle="1" w:styleId="5NormalCar">
    <w:name w:val="5 Normal Car"/>
    <w:rsid w:val="005951D7"/>
    <w:rPr>
      <w:rFonts w:ascii="Arial" w:hAnsi="Arial"/>
      <w:spacing w:val="-2"/>
      <w:sz w:val="22"/>
      <w:lang w:val="en-GB" w:eastAsia="en-GB" w:bidi="ar-SA"/>
    </w:rPr>
  </w:style>
  <w:style w:type="paragraph" w:customStyle="1" w:styleId="Briefingspeakdef">
    <w:name w:val="Briefing speak/def"/>
    <w:basedOn w:val="Normal"/>
    <w:rsid w:val="005951D7"/>
    <w:pPr>
      <w:numPr>
        <w:numId w:val="20"/>
      </w:numPr>
      <w:tabs>
        <w:tab w:val="clear" w:pos="765"/>
        <w:tab w:val="num" w:pos="284"/>
      </w:tabs>
      <w:ind w:left="284" w:hanging="284"/>
    </w:pPr>
    <w:rPr>
      <w:rFonts w:ascii="Tahoma" w:hAnsi="Tahoma" w:cs="Tahoma"/>
      <w:sz w:val="40"/>
      <w:szCs w:val="22"/>
      <w:lang w:eastAsia="en-US"/>
    </w:rPr>
  </w:style>
  <w:style w:type="character" w:customStyle="1" w:styleId="NormalWebChar">
    <w:name w:val="Normal (Web) Char"/>
    <w:aliases w:val="webb Char"/>
    <w:rsid w:val="00AB650D"/>
    <w:rPr>
      <w:sz w:val="24"/>
      <w:szCs w:val="24"/>
      <w:lang w:val="en-GB" w:eastAsia="en-GB" w:bidi="ar-SA"/>
    </w:rPr>
  </w:style>
  <w:style w:type="paragraph" w:customStyle="1" w:styleId="Briefinglist1">
    <w:name w:val="Briefing list 1"/>
    <w:basedOn w:val="Normal"/>
    <w:link w:val="Briefinglist1Char"/>
    <w:rsid w:val="007E4EE6"/>
    <w:pPr>
      <w:spacing w:after="0"/>
      <w:jc w:val="left"/>
    </w:pPr>
    <w:rPr>
      <w:rFonts w:ascii="Times New Roman" w:hAnsi="Times New Roman"/>
      <w:szCs w:val="24"/>
    </w:rPr>
  </w:style>
  <w:style w:type="paragraph" w:customStyle="1" w:styleId="Briefingtext">
    <w:name w:val="Briefing text"/>
    <w:basedOn w:val="Normal"/>
    <w:link w:val="BriefingtextChar"/>
    <w:rsid w:val="00217E48"/>
    <w:rPr>
      <w:rFonts w:ascii="Arial" w:hAnsi="Arial" w:cs="Arial"/>
      <w:sz w:val="22"/>
      <w:szCs w:val="24"/>
      <w:lang w:eastAsia="en-US"/>
    </w:rPr>
  </w:style>
  <w:style w:type="character" w:customStyle="1" w:styleId="BriefingtextChar">
    <w:name w:val="Briefing text Char"/>
    <w:link w:val="Briefingtext"/>
    <w:rsid w:val="00217E48"/>
    <w:rPr>
      <w:rFonts w:ascii="Arial" w:hAnsi="Arial" w:cs="Arial"/>
      <w:sz w:val="22"/>
      <w:szCs w:val="24"/>
      <w:lang w:val="en-GB" w:eastAsia="en-US" w:bidi="ar-SA"/>
    </w:rPr>
  </w:style>
  <w:style w:type="numbering" w:styleId="111111">
    <w:name w:val="Outline List 2"/>
    <w:basedOn w:val="NoList"/>
    <w:rsid w:val="00BC35A6"/>
    <w:pPr>
      <w:numPr>
        <w:numId w:val="21"/>
      </w:numPr>
    </w:pPr>
  </w:style>
  <w:style w:type="character" w:customStyle="1" w:styleId="at11">
    <w:name w:val="a__t11"/>
    <w:rsid w:val="008B3A18"/>
    <w:rPr>
      <w:b/>
      <w:bCs/>
    </w:rPr>
  </w:style>
  <w:style w:type="paragraph" w:customStyle="1" w:styleId="a3520normal">
    <w:name w:val="a___35__20_normal"/>
    <w:basedOn w:val="Normal"/>
    <w:rsid w:val="0069026C"/>
    <w:pPr>
      <w:spacing w:before="30"/>
      <w:jc w:val="left"/>
    </w:pPr>
    <w:rPr>
      <w:rFonts w:ascii="Times New Roman" w:hAnsi="Times New Roman"/>
      <w:sz w:val="20"/>
    </w:rPr>
  </w:style>
  <w:style w:type="character" w:customStyle="1" w:styleId="at1">
    <w:name w:val="a__t1"/>
    <w:basedOn w:val="DefaultParagraphFont"/>
    <w:rsid w:val="00AE7C82"/>
  </w:style>
  <w:style w:type="character" w:customStyle="1" w:styleId="at51">
    <w:name w:val="a__t51"/>
    <w:rsid w:val="00AE7C82"/>
    <w:rPr>
      <w:i/>
      <w:iCs/>
    </w:rPr>
  </w:style>
  <w:style w:type="character" w:customStyle="1" w:styleId="at61">
    <w:name w:val="a__t61"/>
    <w:rsid w:val="00AE7C82"/>
    <w:rPr>
      <w:u w:val="single"/>
    </w:rPr>
  </w:style>
  <w:style w:type="character" w:customStyle="1" w:styleId="at111">
    <w:name w:val="a__t111"/>
    <w:rsid w:val="00AE7C82"/>
    <w:rPr>
      <w:color w:val="000000"/>
    </w:rPr>
  </w:style>
  <w:style w:type="paragraph" w:customStyle="1" w:styleId="Rapporteur">
    <w:name w:val="Rapporteur"/>
    <w:basedOn w:val="Normal"/>
    <w:rsid w:val="00E72F7C"/>
    <w:pPr>
      <w:tabs>
        <w:tab w:val="num" w:pos="540"/>
        <w:tab w:val="left" w:pos="2160"/>
      </w:tabs>
      <w:spacing w:after="120"/>
      <w:ind w:left="540"/>
    </w:pPr>
    <w:rPr>
      <w:rFonts w:ascii="Times New Roman" w:hAnsi="Times New Roman"/>
      <w:szCs w:val="24"/>
      <w:u w:val="single"/>
      <w:lang w:eastAsia="en-US"/>
    </w:rPr>
  </w:style>
  <w:style w:type="paragraph" w:customStyle="1" w:styleId="5normal0">
    <w:name w:val="5normal"/>
    <w:basedOn w:val="Normal"/>
    <w:rsid w:val="00C124C9"/>
    <w:pPr>
      <w:spacing w:before="100" w:beforeAutospacing="1" w:after="100" w:afterAutospacing="1"/>
      <w:jc w:val="left"/>
    </w:pPr>
    <w:rPr>
      <w:rFonts w:ascii="Arial" w:hAnsi="Arial" w:cs="Arial"/>
      <w:sz w:val="20"/>
    </w:rPr>
  </w:style>
  <w:style w:type="character" w:customStyle="1" w:styleId="hps">
    <w:name w:val="hps"/>
    <w:basedOn w:val="DefaultParagraphFont"/>
    <w:rsid w:val="002C30C5"/>
  </w:style>
  <w:style w:type="character" w:customStyle="1" w:styleId="FootnoteTextCharCharCharCharChar1">
    <w:name w:val="Footnote Text Char Char Char Char Char1"/>
    <w:aliases w:val="Footnote Text Char Char Char1,Footnote Text Char Char Char Char Char Char,Footnote Text Char Char Char Char Char Char Char Char Char,Footnote Text Char Char Char Char1,Schriftart: 9 pt Char1"/>
    <w:semiHidden/>
    <w:locked/>
    <w:rsid w:val="00EA0D59"/>
    <w:rPr>
      <w:lang w:val="es-ES_tradnl" w:eastAsia="en-GB" w:bidi="ar-SA"/>
    </w:rPr>
  </w:style>
  <w:style w:type="character" w:customStyle="1" w:styleId="InitialChar">
    <w:name w:val="Initial Char"/>
    <w:link w:val="Initial"/>
    <w:rsid w:val="00FD22F7"/>
    <w:rPr>
      <w:spacing w:val="-3"/>
      <w:sz w:val="24"/>
      <w:lang w:val="en-US" w:eastAsia="en-GB" w:bidi="ar-SA"/>
    </w:rPr>
  </w:style>
  <w:style w:type="paragraph" w:customStyle="1" w:styleId="Briefingspdef">
    <w:name w:val="Briefing sp/def"/>
    <w:basedOn w:val="Normal"/>
    <w:rsid w:val="00FD22F7"/>
    <w:pPr>
      <w:keepLines/>
      <w:numPr>
        <w:numId w:val="22"/>
      </w:numPr>
      <w:spacing w:after="480"/>
    </w:pPr>
    <w:rPr>
      <w:rFonts w:ascii="Arial" w:hAnsi="Arial" w:cs="Arial"/>
      <w:sz w:val="48"/>
      <w:szCs w:val="48"/>
    </w:rPr>
  </w:style>
  <w:style w:type="character" w:customStyle="1" w:styleId="titlemep1">
    <w:name w:val="titlemep1"/>
    <w:rsid w:val="00DC0AA5"/>
    <w:rPr>
      <w:rFonts w:ascii="Verdana" w:hAnsi="Verdana" w:hint="default"/>
      <w:b/>
      <w:bCs/>
      <w:color w:val="48452D"/>
      <w:sz w:val="16"/>
      <w:szCs w:val="16"/>
    </w:rPr>
  </w:style>
  <w:style w:type="character" w:customStyle="1" w:styleId="referencenotice">
    <w:name w:val="reference_notice"/>
    <w:basedOn w:val="DefaultParagraphFont"/>
    <w:rsid w:val="007D628A"/>
  </w:style>
  <w:style w:type="character" w:customStyle="1" w:styleId="ephidden1">
    <w:name w:val="ep_hidden1"/>
    <w:rsid w:val="00ED4495"/>
    <w:rPr>
      <w:vanish w:val="0"/>
      <w:webHidden w:val="0"/>
      <w:color w:val="000000"/>
      <w:shd w:val="clear" w:color="auto" w:fill="FFFFFF"/>
      <w:specVanish w:val="0"/>
    </w:rPr>
  </w:style>
  <w:style w:type="character" w:customStyle="1" w:styleId="playersrapportertext1">
    <w:name w:val="players_rapporter_text1"/>
    <w:basedOn w:val="DefaultParagraphFont"/>
    <w:rsid w:val="00151572"/>
  </w:style>
  <w:style w:type="character" w:customStyle="1" w:styleId="apple-converted-space">
    <w:name w:val="apple-converted-space"/>
    <w:basedOn w:val="DefaultParagraphFont"/>
    <w:rsid w:val="00151572"/>
  </w:style>
  <w:style w:type="character" w:customStyle="1" w:styleId="ringrefselectedheader1">
    <w:name w:val="ring_ref_selected_header1"/>
    <w:rsid w:val="00A12CB4"/>
    <w:rPr>
      <w:rFonts w:ascii="Arial" w:hAnsi="Arial" w:cs="Arial" w:hint="default"/>
      <w:b w:val="0"/>
      <w:bCs w:val="0"/>
      <w:strike w:val="0"/>
      <w:dstrike w:val="0"/>
      <w:color w:val="666666"/>
      <w:sz w:val="22"/>
      <w:szCs w:val="22"/>
      <w:u w:val="none"/>
      <w:effect w:val="none"/>
      <w:bdr w:val="single" w:sz="4" w:space="0" w:color="0077BE" w:frame="1"/>
      <w:shd w:val="clear" w:color="auto" w:fill="FFFFFF"/>
    </w:rPr>
  </w:style>
  <w:style w:type="paragraph" w:customStyle="1" w:styleId="briefingspdef0">
    <w:name w:val="briefingspdef"/>
    <w:basedOn w:val="Normal"/>
    <w:rsid w:val="00A12CB4"/>
    <w:pPr>
      <w:spacing w:before="100" w:beforeAutospacing="1" w:after="100" w:afterAutospacing="1"/>
      <w:jc w:val="left"/>
    </w:pPr>
    <w:rPr>
      <w:rFonts w:ascii="Times New Roman" w:hAnsi="Times New Roman"/>
      <w:szCs w:val="24"/>
    </w:rPr>
  </w:style>
  <w:style w:type="character" w:customStyle="1" w:styleId="contentssmallbis1">
    <w:name w:val="contents_small_bis1"/>
    <w:rsid w:val="00801E69"/>
    <w:rPr>
      <w:rFonts w:ascii="Arial" w:hAnsi="Arial" w:cs="Arial" w:hint="default"/>
      <w:b w:val="0"/>
      <w:bCs w:val="0"/>
      <w:color w:val="999999"/>
      <w:sz w:val="24"/>
      <w:szCs w:val="24"/>
    </w:rPr>
  </w:style>
  <w:style w:type="character" w:customStyle="1" w:styleId="auteur">
    <w:name w:val="auteur"/>
    <w:basedOn w:val="DefaultParagraphFont"/>
    <w:rsid w:val="00801E69"/>
  </w:style>
  <w:style w:type="character" w:customStyle="1" w:styleId="reference2">
    <w:name w:val="reference2"/>
    <w:rsid w:val="00402C69"/>
    <w:rPr>
      <w:b/>
      <w:bCs/>
    </w:rPr>
  </w:style>
  <w:style w:type="paragraph" w:customStyle="1" w:styleId="CoverBold">
    <w:name w:val="CoverBold"/>
    <w:basedOn w:val="Normal"/>
    <w:rsid w:val="00023C78"/>
    <w:pPr>
      <w:widowControl w:val="0"/>
      <w:spacing w:after="0"/>
      <w:ind w:left="1418"/>
      <w:jc w:val="left"/>
    </w:pPr>
    <w:rPr>
      <w:rFonts w:ascii="Times New Roman" w:hAnsi="Times New Roman"/>
      <w:b/>
    </w:rPr>
  </w:style>
  <w:style w:type="paragraph" w:customStyle="1" w:styleId="s16">
    <w:name w:val="s16"/>
    <w:basedOn w:val="Normal"/>
    <w:rsid w:val="0093481E"/>
    <w:pPr>
      <w:spacing w:before="100" w:beforeAutospacing="1" w:after="100" w:afterAutospacing="1"/>
      <w:jc w:val="left"/>
    </w:pPr>
    <w:rPr>
      <w:rFonts w:ascii="Times New Roman" w:hAnsi="Times New Roman"/>
      <w:szCs w:val="24"/>
    </w:rPr>
  </w:style>
  <w:style w:type="character" w:customStyle="1" w:styleId="bumpedfont15">
    <w:name w:val="bumpedfont15"/>
    <w:basedOn w:val="DefaultParagraphFont"/>
    <w:rsid w:val="0093481E"/>
  </w:style>
  <w:style w:type="paragraph" w:styleId="NoSpacing">
    <w:name w:val="No Spacing"/>
    <w:link w:val="NoSpacingChar"/>
    <w:uiPriority w:val="1"/>
    <w:qFormat/>
    <w:rsid w:val="005855E7"/>
    <w:rPr>
      <w:rFonts w:ascii="Arial" w:hAnsi="Arial"/>
      <w:sz w:val="22"/>
      <w:szCs w:val="22"/>
      <w:lang w:eastAsia="en-US"/>
    </w:rPr>
  </w:style>
  <w:style w:type="character" w:styleId="HTMLCite">
    <w:name w:val="HTML Cite"/>
    <w:rsid w:val="0050397D"/>
    <w:rPr>
      <w:i w:val="0"/>
      <w:iCs w:val="0"/>
      <w:color w:val="0E774A"/>
    </w:rPr>
  </w:style>
  <w:style w:type="character" w:customStyle="1" w:styleId="Hanging12Char">
    <w:name w:val="Hanging12 Char"/>
    <w:link w:val="Hanging12"/>
    <w:locked/>
    <w:rsid w:val="00E61FC7"/>
    <w:rPr>
      <w:sz w:val="24"/>
      <w:lang w:val="en-GB" w:eastAsia="en-GB" w:bidi="ar-SA"/>
    </w:rPr>
  </w:style>
  <w:style w:type="paragraph" w:customStyle="1" w:styleId="ZnakZnak">
    <w:name w:val="Znak Znak"/>
    <w:basedOn w:val="Normal"/>
    <w:link w:val="NoList"/>
    <w:uiPriority w:val="99"/>
    <w:rsid w:val="00E61FC7"/>
    <w:pPr>
      <w:spacing w:after="0" w:line="360" w:lineRule="auto"/>
    </w:pPr>
    <w:rPr>
      <w:rFonts w:ascii="Verdana" w:hAnsi="Verdana"/>
      <w:sz w:val="20"/>
      <w:lang w:val="pl-PL" w:eastAsia="pl-PL"/>
    </w:rPr>
  </w:style>
  <w:style w:type="character" w:customStyle="1" w:styleId="st">
    <w:name w:val="st"/>
    <w:rsid w:val="00EC3A6B"/>
  </w:style>
  <w:style w:type="character" w:customStyle="1" w:styleId="CommentTextChar">
    <w:name w:val="Comment Text Char"/>
    <w:link w:val="CommentText"/>
    <w:rsid w:val="007726A9"/>
    <w:rPr>
      <w:rFonts w:ascii="Courier New" w:hAnsi="Courier New"/>
      <w:lang w:val="en-GB" w:eastAsia="en-GB" w:bidi="ar-SA"/>
    </w:rPr>
  </w:style>
  <w:style w:type="character" w:customStyle="1" w:styleId="highlightedsearchterm">
    <w:name w:val="highlightedsearchterm"/>
    <w:rsid w:val="007726A9"/>
  </w:style>
  <w:style w:type="character" w:customStyle="1" w:styleId="iceouttxtcommissiondossiercontenttablecol3-title">
    <w:name w:val="iceouttxt commissiondossiercontenttablecol3-title"/>
    <w:rsid w:val="007726A9"/>
    <w:rPr>
      <w:sz w:val="24"/>
      <w:szCs w:val="24"/>
      <w:bdr w:val="none" w:sz="0" w:space="0" w:color="auto" w:frame="1"/>
      <w:vertAlign w:val="baseline"/>
    </w:rPr>
  </w:style>
  <w:style w:type="character" w:customStyle="1" w:styleId="FootnoteTextCharCarChar">
    <w:name w:val="Footnote Text Char Car Char"/>
    <w:aliases w:val="Fußnotentextf Char,Note de bas de page 1 Char,footnote Char,Voetnoottekst Char Char Char Char Char,Voetnoottekst1 Char,Sprotna opomba - besedilo Znak Znak Znak Char,Sprotna opomba - besedilo Znak Znak Char"/>
    <w:rsid w:val="00721020"/>
    <w:rPr>
      <w:lang w:val="en-GB" w:eastAsia="en-GB" w:bidi="ar-SA"/>
    </w:rPr>
  </w:style>
  <w:style w:type="paragraph" w:customStyle="1" w:styleId="intropara">
    <w:name w:val="intropara"/>
    <w:basedOn w:val="Normal"/>
    <w:rsid w:val="009B7E72"/>
    <w:pPr>
      <w:spacing w:before="100" w:beforeAutospacing="1" w:after="100" w:afterAutospacing="1"/>
      <w:ind w:right="612"/>
      <w:jc w:val="left"/>
    </w:pPr>
    <w:rPr>
      <w:rFonts w:ascii="Times New Roman" w:hAnsi="Times New Roman"/>
      <w:b/>
      <w:bCs/>
      <w:szCs w:val="24"/>
    </w:rPr>
  </w:style>
  <w:style w:type="paragraph" w:customStyle="1" w:styleId="ZnakZnak0">
    <w:name w:val="Znak Znak"/>
    <w:basedOn w:val="Normal"/>
    <w:uiPriority w:val="99"/>
    <w:rsid w:val="002D2D7A"/>
    <w:pPr>
      <w:spacing w:after="0" w:line="360" w:lineRule="auto"/>
    </w:pPr>
    <w:rPr>
      <w:rFonts w:ascii="Verdana" w:hAnsi="Verdana"/>
      <w:sz w:val="20"/>
      <w:lang w:val="pl-PL" w:eastAsia="pl-PL"/>
    </w:rPr>
  </w:style>
  <w:style w:type="character" w:customStyle="1" w:styleId="NoSpacingChar">
    <w:name w:val="No Spacing Char"/>
    <w:link w:val="NoSpacing"/>
    <w:uiPriority w:val="1"/>
    <w:locked/>
    <w:rsid w:val="00513CF8"/>
    <w:rPr>
      <w:rFonts w:ascii="Arial" w:hAnsi="Arial"/>
      <w:sz w:val="22"/>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CF192F"/>
    <w:pPr>
      <w:spacing w:after="160" w:line="240" w:lineRule="exact"/>
    </w:pPr>
    <w:rPr>
      <w:rFonts w:ascii="Times New Roman" w:hAnsi="Times New Roman"/>
      <w:sz w:val="20"/>
      <w:vertAlign w:val="superscript"/>
    </w:rPr>
  </w:style>
  <w:style w:type="character" w:customStyle="1" w:styleId="at7">
    <w:name w:val="a__t7"/>
    <w:rsid w:val="00B76067"/>
  </w:style>
  <w:style w:type="paragraph" w:customStyle="1" w:styleId="BVIfnrCarCar">
    <w:name w:val="BVI fnr Car Car"/>
    <w:aliases w:val="BVI fnr Car,BVI fnr Car Car Car Car,BVI fnr Char Char Char Char Char Char Char"/>
    <w:basedOn w:val="Normal"/>
    <w:uiPriority w:val="99"/>
    <w:rsid w:val="003C6D10"/>
    <w:pPr>
      <w:spacing w:before="120" w:after="160" w:line="240" w:lineRule="exact"/>
      <w:jc w:val="left"/>
    </w:pPr>
    <w:rPr>
      <w:rFonts w:ascii="Calibri" w:eastAsia="Calibri" w:hAnsi="Calibri"/>
      <w:sz w:val="22"/>
      <w:szCs w:val="22"/>
      <w:vertAlign w:val="superscript"/>
      <w:lang w:eastAsia="en-US"/>
    </w:rPr>
  </w:style>
  <w:style w:type="paragraph" w:customStyle="1" w:styleId="En-ttedetabledesmatires">
    <w:name w:val="En-tête de table des matières"/>
    <w:basedOn w:val="Normal"/>
    <w:next w:val="Normal"/>
    <w:qFormat/>
    <w:rsid w:val="007C5D8A"/>
    <w:pPr>
      <w:keepNext/>
      <w:spacing w:before="240"/>
      <w:jc w:val="center"/>
    </w:pPr>
    <w:rPr>
      <w:b/>
    </w:rPr>
  </w:style>
  <w:style w:type="paragraph" w:customStyle="1" w:styleId="ColorfulList-Accent11">
    <w:name w:val="Colorful List - Accent 11"/>
    <w:basedOn w:val="Normal"/>
    <w:qFormat/>
    <w:rsid w:val="007C5D8A"/>
    <w:pPr>
      <w:spacing w:after="200" w:line="276" w:lineRule="auto"/>
      <w:ind w:left="720"/>
      <w:contextualSpacing/>
      <w:jc w:val="left"/>
    </w:pPr>
    <w:rPr>
      <w:rFonts w:ascii="Calibri" w:eastAsia="Calibri" w:hAnsi="Calibri"/>
      <w:sz w:val="22"/>
      <w:szCs w:val="22"/>
      <w:lang w:val="en-US" w:eastAsia="en-US"/>
    </w:rPr>
  </w:style>
  <w:style w:type="paragraph" w:customStyle="1" w:styleId="MediumGrid21">
    <w:name w:val="Medium Grid 21"/>
    <w:link w:val="MediumGrid2Char"/>
    <w:uiPriority w:val="1"/>
    <w:qFormat/>
    <w:rsid w:val="007C5D8A"/>
    <w:rPr>
      <w:rFonts w:ascii="Arial" w:hAnsi="Arial"/>
      <w:sz w:val="22"/>
      <w:szCs w:val="22"/>
      <w:lang w:eastAsia="en-US"/>
    </w:rPr>
  </w:style>
  <w:style w:type="character" w:customStyle="1" w:styleId="MediumGrid2Char">
    <w:name w:val="Medium Grid 2 Char"/>
    <w:link w:val="MediumGrid21"/>
    <w:uiPriority w:val="1"/>
    <w:locked/>
    <w:rsid w:val="007C5D8A"/>
    <w:rPr>
      <w:rFonts w:ascii="Arial" w:hAnsi="Arial"/>
      <w:sz w:val="22"/>
      <w:szCs w:val="22"/>
      <w:lang w:eastAsia="en-US"/>
    </w:rPr>
  </w:style>
  <w:style w:type="character" w:customStyle="1" w:styleId="subcontenttext2">
    <w:name w:val="subcontenttext2"/>
    <w:rsid w:val="007C5D8A"/>
    <w:rPr>
      <w:color w:val="000000"/>
    </w:rPr>
  </w:style>
  <w:style w:type="paragraph" w:customStyle="1" w:styleId="astandard">
    <w:name w:val="a__standard"/>
    <w:basedOn w:val="Normal"/>
    <w:rsid w:val="007C5D8A"/>
    <w:pPr>
      <w:spacing w:after="120"/>
      <w:ind w:right="57"/>
    </w:pPr>
    <w:rPr>
      <w:rFonts w:ascii="Times New Roman" w:hAnsi="Times New Roman"/>
      <w:szCs w:val="24"/>
    </w:rPr>
  </w:style>
  <w:style w:type="paragraph" w:customStyle="1" w:styleId="astandard3520normal">
    <w:name w:val="a_standard__35__20_normal"/>
    <w:basedOn w:val="Normal"/>
    <w:rsid w:val="007C5D8A"/>
    <w:pPr>
      <w:spacing w:after="120"/>
      <w:ind w:right="57"/>
    </w:pPr>
    <w:rPr>
      <w:rFonts w:ascii="Times New Roman" w:hAnsi="Times New Roman"/>
      <w:szCs w:val="24"/>
    </w:rPr>
  </w:style>
  <w:style w:type="paragraph" w:customStyle="1" w:styleId="astandardp1">
    <w:name w:val="a_standard_p1"/>
    <w:basedOn w:val="Normal"/>
    <w:rsid w:val="007C5D8A"/>
    <w:pPr>
      <w:spacing w:after="120"/>
      <w:ind w:right="57"/>
    </w:pPr>
    <w:rPr>
      <w:rFonts w:ascii="Times New Roman" w:hAnsi="Times New Roman"/>
      <w:szCs w:val="24"/>
    </w:rPr>
  </w:style>
  <w:style w:type="paragraph" w:customStyle="1" w:styleId="a3520normalp10">
    <w:name w:val="a__35__20_normal_p10"/>
    <w:basedOn w:val="Normal"/>
    <w:rsid w:val="007C5D8A"/>
    <w:pPr>
      <w:spacing w:after="120"/>
      <w:ind w:right="57"/>
    </w:pPr>
    <w:rPr>
      <w:rFonts w:ascii="Times New Roman" w:hAnsi="Times New Roman"/>
      <w:szCs w:val="24"/>
    </w:rPr>
  </w:style>
  <w:style w:type="paragraph" w:customStyle="1" w:styleId="asous-titre201p11">
    <w:name w:val="a_sous-titre_20_1_p11"/>
    <w:basedOn w:val="Normal"/>
    <w:rsid w:val="007C5D8A"/>
    <w:pPr>
      <w:spacing w:after="120"/>
      <w:ind w:right="57"/>
    </w:pPr>
    <w:rPr>
      <w:rFonts w:ascii="Times New Roman" w:hAnsi="Times New Roman"/>
      <w:b/>
      <w:bCs/>
      <w:szCs w:val="24"/>
    </w:rPr>
  </w:style>
  <w:style w:type="character" w:customStyle="1" w:styleId="at3">
    <w:name w:val="a__t3"/>
    <w:rsid w:val="007C5D8A"/>
  </w:style>
  <w:style w:type="character" w:customStyle="1" w:styleId="at5">
    <w:name w:val="a__t5"/>
    <w:rsid w:val="007C5D8A"/>
  </w:style>
  <w:style w:type="paragraph" w:customStyle="1" w:styleId="CM1">
    <w:name w:val="CM1"/>
    <w:basedOn w:val="Default"/>
    <w:next w:val="Default"/>
    <w:uiPriority w:val="99"/>
    <w:rsid w:val="007C5D8A"/>
    <w:rPr>
      <w:rFonts w:ascii="EUAlbertina" w:hAnsi="EUAlbertina"/>
      <w:color w:val="auto"/>
      <w:lang w:val="en-GB" w:eastAsia="en-GB"/>
    </w:rPr>
  </w:style>
  <w:style w:type="paragraph" w:customStyle="1" w:styleId="CM3">
    <w:name w:val="CM3"/>
    <w:basedOn w:val="Default"/>
    <w:next w:val="Default"/>
    <w:uiPriority w:val="99"/>
    <w:rsid w:val="007C5D8A"/>
    <w:rPr>
      <w:rFonts w:ascii="EUAlbertina" w:hAnsi="EUAlbertina"/>
      <w:color w:val="auto"/>
      <w:lang w:val="en-GB" w:eastAsia="en-GB"/>
    </w:rPr>
  </w:style>
  <w:style w:type="paragraph" w:customStyle="1" w:styleId="CM4">
    <w:name w:val="CM4"/>
    <w:basedOn w:val="Default"/>
    <w:next w:val="Default"/>
    <w:uiPriority w:val="99"/>
    <w:rsid w:val="007C5D8A"/>
    <w:rPr>
      <w:rFonts w:ascii="EUAlbertina" w:hAnsi="EUAlbertina"/>
      <w:color w:val="auto"/>
      <w:lang w:val="en-GB" w:eastAsia="en-GB"/>
    </w:rPr>
  </w:style>
  <w:style w:type="character" w:customStyle="1" w:styleId="st1">
    <w:name w:val="st1"/>
    <w:rsid w:val="007C5D8A"/>
  </w:style>
  <w:style w:type="character" w:customStyle="1" w:styleId="CharacterStyle1">
    <w:name w:val="Character Style 1"/>
    <w:uiPriority w:val="99"/>
    <w:rsid w:val="007C5D8A"/>
    <w:rPr>
      <w:rFonts w:ascii="Arial" w:hAnsi="Arial" w:cs="Arial" w:hint="default"/>
      <w:sz w:val="6"/>
    </w:rPr>
  </w:style>
  <w:style w:type="character" w:customStyle="1" w:styleId="subcontenttextbold2">
    <w:name w:val="subcontenttextbold2"/>
    <w:rsid w:val="007C5D8A"/>
    <w:rPr>
      <w:b/>
      <w:bCs/>
      <w:color w:val="000000"/>
    </w:rPr>
  </w:style>
  <w:style w:type="paragraph" w:styleId="Revision">
    <w:name w:val="Revision"/>
    <w:hidden/>
    <w:uiPriority w:val="99"/>
    <w:semiHidden/>
    <w:rsid w:val="007C5D8A"/>
    <w:rPr>
      <w:rFonts w:ascii="Courier New" w:hAnsi="Courier New"/>
      <w:sz w:val="24"/>
    </w:rPr>
  </w:style>
  <w:style w:type="paragraph" w:customStyle="1" w:styleId="normal2">
    <w:name w:val="normal2"/>
    <w:basedOn w:val="Normal"/>
    <w:rsid w:val="007C5D8A"/>
    <w:pPr>
      <w:spacing w:before="195" w:after="0"/>
    </w:pPr>
    <w:rPr>
      <w:rFonts w:ascii="Times New Roman" w:hAnsi="Times New Roman"/>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rsid w:val="00E95D68"/>
    <w:pPr>
      <w:spacing w:before="240" w:after="160" w:line="240" w:lineRule="exact"/>
      <w:jc w:val="left"/>
    </w:pPr>
    <w:rPr>
      <w:rFonts w:ascii="Times New Roman" w:hAnsi="Times New Roman"/>
      <w:sz w:val="20"/>
      <w:vertAlign w:val="superscript"/>
    </w:rPr>
  </w:style>
  <w:style w:type="character" w:customStyle="1" w:styleId="PlainTextChar">
    <w:name w:val="Plain Text Char"/>
    <w:link w:val="PlainText"/>
    <w:uiPriority w:val="99"/>
    <w:rsid w:val="00866EEF"/>
    <w:rPr>
      <w:rFonts w:ascii="Courier New" w:hAnsi="Courier New"/>
    </w:rPr>
  </w:style>
  <w:style w:type="character" w:customStyle="1" w:styleId="A5">
    <w:name w:val="A5"/>
    <w:uiPriority w:val="99"/>
    <w:rsid w:val="007F48ED"/>
    <w:rPr>
      <w:rFonts w:cs="EC Square Sans Cond Pro"/>
      <w:color w:val="000000"/>
      <w:sz w:val="22"/>
      <w:szCs w:val="22"/>
    </w:rPr>
  </w:style>
  <w:style w:type="paragraph" w:customStyle="1" w:styleId="Appelnotedebasdep">
    <w:name w:val="Appel note de bas de p"/>
    <w:aliases w:val="Nota,Ref, Char1,(NECG) Footnote Reference,fr,Style 6,Signature Ch"/>
    <w:basedOn w:val="Normal"/>
    <w:next w:val="Normal"/>
    <w:uiPriority w:val="99"/>
    <w:rsid w:val="008C79B9"/>
    <w:pPr>
      <w:spacing w:after="160" w:line="240" w:lineRule="exact"/>
      <w:jc w:val="left"/>
    </w:pPr>
    <w:rPr>
      <w:rFonts w:ascii="Times New Roman" w:hAnsi="Times New Roman"/>
      <w:sz w:val="20"/>
      <w:vertAlign w:val="superscript"/>
    </w:rPr>
  </w:style>
  <w:style w:type="character" w:customStyle="1" w:styleId="Corpsdutexte5">
    <w:name w:val="Corps du texte (5)_"/>
    <w:link w:val="Corpsdutexte50"/>
    <w:rsid w:val="00096700"/>
    <w:rPr>
      <w:sz w:val="22"/>
      <w:szCs w:val="22"/>
      <w:shd w:val="clear" w:color="auto" w:fill="FFFFFF"/>
    </w:rPr>
  </w:style>
  <w:style w:type="paragraph" w:customStyle="1" w:styleId="Corpsdutexte50">
    <w:name w:val="Corps du texte (5)"/>
    <w:basedOn w:val="Normal"/>
    <w:link w:val="Corpsdutexte5"/>
    <w:rsid w:val="00096700"/>
    <w:pPr>
      <w:widowControl w:val="0"/>
      <w:shd w:val="clear" w:color="auto" w:fill="FFFFFF"/>
      <w:spacing w:before="300" w:after="60" w:line="0" w:lineRule="atLeast"/>
      <w:ind w:hanging="360"/>
      <w:jc w:val="left"/>
    </w:pPr>
    <w:rPr>
      <w:rFonts w:ascii="Times New Roman" w:hAnsi="Times New Roman"/>
      <w:sz w:val="22"/>
      <w:szCs w:val="22"/>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uiPriority w:val="99"/>
    <w:rsid w:val="00D8297C"/>
    <w:pPr>
      <w:spacing w:after="160" w:line="240" w:lineRule="exact"/>
      <w:jc w:val="left"/>
    </w:pPr>
    <w:rPr>
      <w:rFonts w:ascii="Times New Roman" w:hAnsi="Times New Roman"/>
      <w:sz w:val="20"/>
      <w:vertAlign w:val="superscript"/>
    </w:rPr>
  </w:style>
  <w:style w:type="character" w:styleId="EndnoteReference">
    <w:name w:val="endnote reference"/>
    <w:rsid w:val="000B70BC"/>
    <w:rPr>
      <w:vertAlign w:val="superscript"/>
    </w:rPr>
  </w:style>
  <w:style w:type="character" w:customStyle="1" w:styleId="Bodytext29pt">
    <w:name w:val="Body text (2) + 9 pt"/>
    <w:rsid w:val="000B70BC"/>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en-US" w:eastAsia="en-US" w:bidi="en-US"/>
    </w:rPr>
  </w:style>
  <w:style w:type="character" w:customStyle="1" w:styleId="EndnoteTextChar">
    <w:name w:val="Endnote Text Char"/>
    <w:link w:val="EndnoteText"/>
    <w:uiPriority w:val="99"/>
    <w:semiHidden/>
    <w:rsid w:val="000B70BC"/>
    <w:rPr>
      <w:rFonts w:ascii="Courier New" w:hAnsi="Courier New"/>
    </w:rPr>
  </w:style>
  <w:style w:type="paragraph" w:customStyle="1" w:styleId="briefingtext0">
    <w:name w:val="briefingtext"/>
    <w:basedOn w:val="Normal"/>
    <w:rsid w:val="00441AFE"/>
    <w:rPr>
      <w:rFonts w:ascii="Arial" w:eastAsia="Calibri" w:hAnsi="Arial" w:cs="Arial"/>
      <w:sz w:val="22"/>
      <w:szCs w:val="22"/>
    </w:rPr>
  </w:style>
  <w:style w:type="character" w:customStyle="1" w:styleId="tgc">
    <w:name w:val="_tgc"/>
    <w:rsid w:val="003B7B24"/>
  </w:style>
  <w:style w:type="character" w:customStyle="1" w:styleId="reference">
    <w:name w:val="reference"/>
    <w:rsid w:val="00E46D65"/>
  </w:style>
  <w:style w:type="character" w:customStyle="1" w:styleId="playerscommitteetext">
    <w:name w:val="players_committee_text"/>
    <w:rsid w:val="00BA139E"/>
  </w:style>
  <w:style w:type="numbering" w:customStyle="1" w:styleId="ImportedStyle1">
    <w:name w:val="Imported Style 1"/>
    <w:rsid w:val="003E3B62"/>
    <w:pPr>
      <w:numPr>
        <w:numId w:val="23"/>
      </w:numPr>
    </w:p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
    <w:link w:val="ListParagraph"/>
    <w:uiPriority w:val="34"/>
    <w:qFormat/>
    <w:locked/>
    <w:rsid w:val="00F93B02"/>
    <w:rPr>
      <w:rFonts w:ascii="Calibri" w:eastAsia="Calibri" w:hAnsi="Calibri"/>
      <w:sz w:val="22"/>
      <w:szCs w:val="22"/>
      <w:lang w:val="en-US" w:eastAsia="en-US"/>
    </w:rPr>
  </w:style>
  <w:style w:type="paragraph" w:customStyle="1" w:styleId="Body">
    <w:name w:val="Body"/>
    <w:rsid w:val="004461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numbering" w:customStyle="1" w:styleId="ImportedStyle2">
    <w:name w:val="Imported Style 2"/>
    <w:rsid w:val="004461F6"/>
    <w:pPr>
      <w:numPr>
        <w:numId w:val="24"/>
      </w:numPr>
    </w:pPr>
  </w:style>
  <w:style w:type="character" w:customStyle="1" w:styleId="Hyperlink0">
    <w:name w:val="Hyperlink.0"/>
    <w:rsid w:val="004461F6"/>
    <w:rPr>
      <w:color w:val="0000FF"/>
      <w:u w:val="single" w:color="0000FF"/>
      <w:lang w:val="en-US"/>
    </w:rPr>
  </w:style>
  <w:style w:type="paragraph" w:customStyle="1" w:styleId="Standard">
    <w:name w:val="Standard"/>
    <w:rsid w:val="003A657A"/>
    <w:pPr>
      <w:suppressAutoHyphens/>
      <w:autoSpaceDN w:val="0"/>
      <w:spacing w:after="200" w:line="276" w:lineRule="auto"/>
      <w:textAlignment w:val="baseline"/>
    </w:pPr>
    <w:rPr>
      <w:rFonts w:ascii="Calibri" w:eastAsia="SimSun" w:hAnsi="Calibri" w:cs="Calibri"/>
      <w:kern w:val="3"/>
      <w:sz w:val="22"/>
      <w:szCs w:val="22"/>
      <w:lang w:eastAsia="en-US"/>
    </w:rPr>
  </w:style>
  <w:style w:type="numbering" w:customStyle="1" w:styleId="WWNum1">
    <w:name w:val="WWNum1"/>
    <w:basedOn w:val="NoList"/>
    <w:rsid w:val="003A657A"/>
    <w:pPr>
      <w:numPr>
        <w:numId w:val="25"/>
      </w:numPr>
    </w:pPr>
  </w:style>
  <w:style w:type="paragraph" w:customStyle="1" w:styleId="Emission">
    <w:name w:val="Emission"/>
    <w:basedOn w:val="Normal"/>
    <w:next w:val="Rfrenceinstitutionelle"/>
    <w:rsid w:val="00283069"/>
    <w:pPr>
      <w:spacing w:after="0"/>
      <w:ind w:left="5103"/>
      <w:jc w:val="left"/>
    </w:pPr>
    <w:rPr>
      <w:rFonts w:ascii="Times New Roman" w:hAnsi="Times New Roman"/>
    </w:rPr>
  </w:style>
  <w:style w:type="paragraph" w:customStyle="1" w:styleId="AppelnotedebasdepageCharCharCharCharCharCharChar">
    <w:name w:val="Appel note de bas de page Char Char Char Char Char Char Char"/>
    <w:basedOn w:val="Normal"/>
    <w:uiPriority w:val="99"/>
    <w:rsid w:val="00AF33FE"/>
    <w:pPr>
      <w:spacing w:after="0"/>
    </w:pPr>
    <w:rPr>
      <w:rFonts w:ascii="Times New Roman" w:hAnsi="Times New Roman"/>
      <w:sz w:val="20"/>
      <w:vertAlign w:val="superscript"/>
    </w:rPr>
  </w:style>
  <w:style w:type="character" w:customStyle="1" w:styleId="Briefinglist1Char">
    <w:name w:val="Briefing list 1 Char"/>
    <w:link w:val="Briefinglist1"/>
    <w:locked/>
    <w:rsid w:val="0078771B"/>
    <w:rPr>
      <w:sz w:val="24"/>
      <w:szCs w:val="24"/>
    </w:rPr>
  </w:style>
  <w:style w:type="character" w:customStyle="1" w:styleId="lblnewsfulltext">
    <w:name w:val="lblnewsfulltext"/>
    <w:rsid w:val="00B571A4"/>
  </w:style>
  <w:style w:type="table" w:styleId="TableClassic1">
    <w:name w:val="Table Classic 1"/>
    <w:basedOn w:val="TableNormal"/>
    <w:rsid w:val="00AF10C6"/>
    <w:pPr>
      <w:spacing w:after="240"/>
      <w:jc w:val="both"/>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xt1">
    <w:name w:val="111111"/>
    <w:pPr>
      <w:numPr>
        <w:numId w:val="21"/>
      </w:numPr>
    </w:pPr>
  </w:style>
  <w:style w:type="numbering" w:customStyle="1" w:styleId="Text2">
    <w:name w:val="ImportedStyle1"/>
    <w:pPr>
      <w:numPr>
        <w:numId w:val="23"/>
      </w:numPr>
    </w:pPr>
  </w:style>
  <w:style w:type="numbering" w:customStyle="1" w:styleId="Text3">
    <w:name w:val="WWNum1"/>
    <w:pPr>
      <w:numPr>
        <w:numId w:val="25"/>
      </w:numPr>
    </w:pPr>
  </w:style>
  <w:style w:type="numbering" w:customStyle="1" w:styleId="Text4">
    <w:name w:val="ImportedStyle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992">
      <w:bodyDiv w:val="1"/>
      <w:marLeft w:val="0"/>
      <w:marRight w:val="0"/>
      <w:marTop w:val="0"/>
      <w:marBottom w:val="0"/>
      <w:divBdr>
        <w:top w:val="none" w:sz="0" w:space="0" w:color="auto"/>
        <w:left w:val="none" w:sz="0" w:space="0" w:color="auto"/>
        <w:bottom w:val="none" w:sz="0" w:space="0" w:color="auto"/>
        <w:right w:val="none" w:sz="0" w:space="0" w:color="auto"/>
      </w:divBdr>
    </w:div>
    <w:div w:id="203292797">
      <w:bodyDiv w:val="1"/>
      <w:marLeft w:val="0"/>
      <w:marRight w:val="0"/>
      <w:marTop w:val="0"/>
      <w:marBottom w:val="0"/>
      <w:divBdr>
        <w:top w:val="none" w:sz="0" w:space="0" w:color="auto"/>
        <w:left w:val="none" w:sz="0" w:space="0" w:color="auto"/>
        <w:bottom w:val="none" w:sz="0" w:space="0" w:color="auto"/>
        <w:right w:val="none" w:sz="0" w:space="0" w:color="auto"/>
      </w:divBdr>
    </w:div>
    <w:div w:id="227765913">
      <w:bodyDiv w:val="1"/>
      <w:marLeft w:val="0"/>
      <w:marRight w:val="0"/>
      <w:marTop w:val="0"/>
      <w:marBottom w:val="0"/>
      <w:divBdr>
        <w:top w:val="none" w:sz="0" w:space="0" w:color="auto"/>
        <w:left w:val="none" w:sz="0" w:space="0" w:color="auto"/>
        <w:bottom w:val="none" w:sz="0" w:space="0" w:color="auto"/>
        <w:right w:val="none" w:sz="0" w:space="0" w:color="auto"/>
      </w:divBdr>
    </w:div>
    <w:div w:id="700864888">
      <w:bodyDiv w:val="1"/>
      <w:marLeft w:val="0"/>
      <w:marRight w:val="0"/>
      <w:marTop w:val="0"/>
      <w:marBottom w:val="0"/>
      <w:divBdr>
        <w:top w:val="none" w:sz="0" w:space="0" w:color="auto"/>
        <w:left w:val="none" w:sz="0" w:space="0" w:color="auto"/>
        <w:bottom w:val="none" w:sz="0" w:space="0" w:color="auto"/>
        <w:right w:val="none" w:sz="0" w:space="0" w:color="auto"/>
      </w:divBdr>
    </w:div>
    <w:div w:id="783037046">
      <w:bodyDiv w:val="1"/>
      <w:marLeft w:val="0"/>
      <w:marRight w:val="0"/>
      <w:marTop w:val="0"/>
      <w:marBottom w:val="0"/>
      <w:divBdr>
        <w:top w:val="none" w:sz="0" w:space="0" w:color="auto"/>
        <w:left w:val="none" w:sz="0" w:space="0" w:color="auto"/>
        <w:bottom w:val="none" w:sz="0" w:space="0" w:color="auto"/>
        <w:right w:val="none" w:sz="0" w:space="0" w:color="auto"/>
      </w:divBdr>
    </w:div>
    <w:div w:id="819807736">
      <w:bodyDiv w:val="1"/>
      <w:marLeft w:val="0"/>
      <w:marRight w:val="0"/>
      <w:marTop w:val="0"/>
      <w:marBottom w:val="0"/>
      <w:divBdr>
        <w:top w:val="none" w:sz="0" w:space="0" w:color="auto"/>
        <w:left w:val="none" w:sz="0" w:space="0" w:color="auto"/>
        <w:bottom w:val="none" w:sz="0" w:space="0" w:color="auto"/>
        <w:right w:val="none" w:sz="0" w:space="0" w:color="auto"/>
      </w:divBdr>
    </w:div>
    <w:div w:id="842936704">
      <w:bodyDiv w:val="1"/>
      <w:marLeft w:val="0"/>
      <w:marRight w:val="0"/>
      <w:marTop w:val="0"/>
      <w:marBottom w:val="0"/>
      <w:divBdr>
        <w:top w:val="none" w:sz="0" w:space="0" w:color="auto"/>
        <w:left w:val="none" w:sz="0" w:space="0" w:color="auto"/>
        <w:bottom w:val="none" w:sz="0" w:space="0" w:color="auto"/>
        <w:right w:val="none" w:sz="0" w:space="0" w:color="auto"/>
      </w:divBdr>
    </w:div>
    <w:div w:id="959847831">
      <w:bodyDiv w:val="1"/>
      <w:marLeft w:val="0"/>
      <w:marRight w:val="0"/>
      <w:marTop w:val="0"/>
      <w:marBottom w:val="0"/>
      <w:divBdr>
        <w:top w:val="none" w:sz="0" w:space="0" w:color="auto"/>
        <w:left w:val="none" w:sz="0" w:space="0" w:color="auto"/>
        <w:bottom w:val="none" w:sz="0" w:space="0" w:color="auto"/>
        <w:right w:val="none" w:sz="0" w:space="0" w:color="auto"/>
      </w:divBdr>
    </w:div>
    <w:div w:id="961494136">
      <w:bodyDiv w:val="1"/>
      <w:marLeft w:val="0"/>
      <w:marRight w:val="0"/>
      <w:marTop w:val="0"/>
      <w:marBottom w:val="0"/>
      <w:divBdr>
        <w:top w:val="none" w:sz="0" w:space="0" w:color="auto"/>
        <w:left w:val="none" w:sz="0" w:space="0" w:color="auto"/>
        <w:bottom w:val="none" w:sz="0" w:space="0" w:color="auto"/>
        <w:right w:val="none" w:sz="0" w:space="0" w:color="auto"/>
      </w:divBdr>
    </w:div>
    <w:div w:id="1312716630">
      <w:bodyDiv w:val="1"/>
      <w:marLeft w:val="0"/>
      <w:marRight w:val="0"/>
      <w:marTop w:val="0"/>
      <w:marBottom w:val="0"/>
      <w:divBdr>
        <w:top w:val="none" w:sz="0" w:space="0" w:color="auto"/>
        <w:left w:val="none" w:sz="0" w:space="0" w:color="auto"/>
        <w:bottom w:val="none" w:sz="0" w:space="0" w:color="auto"/>
        <w:right w:val="none" w:sz="0" w:space="0" w:color="auto"/>
      </w:divBdr>
    </w:div>
    <w:div w:id="1502038296">
      <w:bodyDiv w:val="1"/>
      <w:marLeft w:val="0"/>
      <w:marRight w:val="0"/>
      <w:marTop w:val="0"/>
      <w:marBottom w:val="0"/>
      <w:divBdr>
        <w:top w:val="none" w:sz="0" w:space="0" w:color="auto"/>
        <w:left w:val="none" w:sz="0" w:space="0" w:color="auto"/>
        <w:bottom w:val="none" w:sz="0" w:space="0" w:color="auto"/>
        <w:right w:val="none" w:sz="0" w:space="0" w:color="auto"/>
      </w:divBdr>
    </w:div>
    <w:div w:id="1627081346">
      <w:bodyDiv w:val="1"/>
      <w:marLeft w:val="0"/>
      <w:marRight w:val="0"/>
      <w:marTop w:val="0"/>
      <w:marBottom w:val="0"/>
      <w:divBdr>
        <w:top w:val="none" w:sz="0" w:space="0" w:color="auto"/>
        <w:left w:val="none" w:sz="0" w:space="0" w:color="auto"/>
        <w:bottom w:val="none" w:sz="0" w:space="0" w:color="auto"/>
        <w:right w:val="none" w:sz="0" w:space="0" w:color="auto"/>
      </w:divBdr>
    </w:div>
    <w:div w:id="1801920465">
      <w:bodyDiv w:val="1"/>
      <w:marLeft w:val="0"/>
      <w:marRight w:val="0"/>
      <w:marTop w:val="0"/>
      <w:marBottom w:val="0"/>
      <w:divBdr>
        <w:top w:val="none" w:sz="0" w:space="0" w:color="auto"/>
        <w:left w:val="none" w:sz="0" w:space="0" w:color="auto"/>
        <w:bottom w:val="none" w:sz="0" w:space="0" w:color="auto"/>
        <w:right w:val="none" w:sz="0" w:space="0" w:color="auto"/>
      </w:divBdr>
    </w:div>
    <w:div w:id="1943343120">
      <w:bodyDiv w:val="1"/>
      <w:marLeft w:val="0"/>
      <w:marRight w:val="0"/>
      <w:marTop w:val="0"/>
      <w:marBottom w:val="0"/>
      <w:divBdr>
        <w:top w:val="none" w:sz="0" w:space="0" w:color="auto"/>
        <w:left w:val="none" w:sz="0" w:space="0" w:color="auto"/>
        <w:bottom w:val="none" w:sz="0" w:space="0" w:color="auto"/>
        <w:right w:val="none" w:sz="0" w:space="0" w:color="auto"/>
      </w:divBdr>
    </w:div>
    <w:div w:id="2086100855">
      <w:bodyDiv w:val="1"/>
      <w:marLeft w:val="0"/>
      <w:marRight w:val="0"/>
      <w:marTop w:val="0"/>
      <w:marBottom w:val="0"/>
      <w:divBdr>
        <w:top w:val="none" w:sz="0" w:space="0" w:color="auto"/>
        <w:left w:val="none" w:sz="0" w:space="0" w:color="auto"/>
        <w:bottom w:val="none" w:sz="0" w:space="0" w:color="auto"/>
        <w:right w:val="none" w:sz="0" w:space="0" w:color="auto"/>
      </w:divBdr>
    </w:div>
    <w:div w:id="213991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BADDC-C270-4AA1-ABCD-66811C92C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TEL.DOTM</Template>
  <TotalTime>0</TotalTime>
  <Pages>11</Pages>
  <Words>6336</Words>
  <Characters>36119</Characters>
  <Application>Microsoft Office Word</Application>
  <DocSecurity>0</DocSecurity>
  <PresentationFormat>Microsoft Word 8.0b</PresentationFormat>
  <Lines>300</Lines>
  <Paragraphs>84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42371</CharactersWithSpaces>
  <SharedDoc>false</SharedDoc>
  <HLinks>
    <vt:vector size="54" baseType="variant">
      <vt:variant>
        <vt:i4>1376266</vt:i4>
      </vt:variant>
      <vt:variant>
        <vt:i4>21</vt:i4>
      </vt:variant>
      <vt:variant>
        <vt:i4>0</vt:i4>
      </vt:variant>
      <vt:variant>
        <vt:i4>5</vt:i4>
      </vt:variant>
      <vt:variant>
        <vt:lpwstr>http://www.europarl.europa.eu/sides/getDoc.do?type=REPORT&amp;reference=A8-2017-0389&amp;language=EN</vt:lpwstr>
      </vt:variant>
      <vt:variant>
        <vt:lpwstr/>
      </vt:variant>
      <vt:variant>
        <vt:i4>6684726</vt:i4>
      </vt:variant>
      <vt:variant>
        <vt:i4>18</vt:i4>
      </vt:variant>
      <vt:variant>
        <vt:i4>0</vt:i4>
      </vt:variant>
      <vt:variant>
        <vt:i4>5</vt:i4>
      </vt:variant>
      <vt:variant>
        <vt:lpwstr>https://cohesiondata.ec.europa.eu/</vt:lpwstr>
      </vt:variant>
      <vt:variant>
        <vt:lpwstr/>
      </vt:variant>
      <vt:variant>
        <vt:i4>7667755</vt:i4>
      </vt:variant>
      <vt:variant>
        <vt:i4>15</vt:i4>
      </vt:variant>
      <vt:variant>
        <vt:i4>0</vt:i4>
      </vt:variant>
      <vt:variant>
        <vt:i4>5</vt:i4>
      </vt:variant>
      <vt:variant>
        <vt:lpwstr>http://ec.europa.eu/social/main.jsp?catId=738&amp;langId=en&amp;pubId=7931</vt:lpwstr>
      </vt:variant>
      <vt:variant>
        <vt:lpwstr/>
      </vt:variant>
      <vt:variant>
        <vt:i4>2097235</vt:i4>
      </vt:variant>
      <vt:variant>
        <vt:i4>12</vt:i4>
      </vt:variant>
      <vt:variant>
        <vt:i4>0</vt:i4>
      </vt:variant>
      <vt:variant>
        <vt:i4>5</vt:i4>
      </vt:variant>
      <vt:variant>
        <vt:lpwstr>http://ec.europa.eu/regional_policy/en/policy/how/stages-step-by-step/strategic-report/</vt:lpwstr>
      </vt:variant>
      <vt:variant>
        <vt:lpwstr/>
      </vt:variant>
      <vt:variant>
        <vt:i4>5505100</vt:i4>
      </vt:variant>
      <vt:variant>
        <vt:i4>9</vt:i4>
      </vt:variant>
      <vt:variant>
        <vt:i4>0</vt:i4>
      </vt:variant>
      <vt:variant>
        <vt:i4>5</vt:i4>
      </vt:variant>
      <vt:variant>
        <vt:lpwstr>http://ec.europa.eu/social/main.jsp?catId=1327&amp;langId=en</vt:lpwstr>
      </vt:variant>
      <vt:variant>
        <vt:lpwstr/>
      </vt:variant>
      <vt:variant>
        <vt:i4>2097235</vt:i4>
      </vt:variant>
      <vt:variant>
        <vt:i4>6</vt:i4>
      </vt:variant>
      <vt:variant>
        <vt:i4>0</vt:i4>
      </vt:variant>
      <vt:variant>
        <vt:i4>5</vt:i4>
      </vt:variant>
      <vt:variant>
        <vt:lpwstr>http://ec.europa.eu/regional_policy/en/policy/how/stages-step-by-step/strategic-report/</vt:lpwstr>
      </vt:variant>
      <vt:variant>
        <vt:lpwstr/>
      </vt:variant>
      <vt:variant>
        <vt:i4>3997748</vt:i4>
      </vt:variant>
      <vt:variant>
        <vt:i4>3</vt:i4>
      </vt:variant>
      <vt:variant>
        <vt:i4>0</vt:i4>
      </vt:variant>
      <vt:variant>
        <vt:i4>5</vt:i4>
      </vt:variant>
      <vt:variant>
        <vt:lpwstr>https://cohesiondata.ec.europa.eu/funds/yei</vt:lpwstr>
      </vt:variant>
      <vt:variant>
        <vt:lpwstr/>
      </vt:variant>
      <vt:variant>
        <vt:i4>5308492</vt:i4>
      </vt:variant>
      <vt:variant>
        <vt:i4>0</vt:i4>
      </vt:variant>
      <vt:variant>
        <vt:i4>0</vt:i4>
      </vt:variant>
      <vt:variant>
        <vt:i4>5</vt:i4>
      </vt:variant>
      <vt:variant>
        <vt:lpwstr>http://ec.europa.eu/social/main.jsp?catId=1223&amp;langId=en</vt:lpwstr>
      </vt:variant>
      <vt:variant>
        <vt:lpwstr/>
      </vt:variant>
      <vt:variant>
        <vt:i4>7143437</vt:i4>
      </vt:variant>
      <vt:variant>
        <vt:i4>0</vt:i4>
      </vt:variant>
      <vt:variant>
        <vt:i4>0</vt:i4>
      </vt:variant>
      <vt:variant>
        <vt:i4>5</vt:i4>
      </vt:variant>
      <vt:variant>
        <vt:lpwstr>https://www.eurofound.europa.eu/sites/default/files/ef_publication/field_ef_document/ef1602en.pdf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WERKER</dc:creator>
  <cp:keywords>EL4</cp:keywords>
  <cp:lastModifiedBy>STEPIEN Beata (SG)</cp:lastModifiedBy>
  <cp:revision>2</cp:revision>
  <cp:lastPrinted>2018-09-04T13:45:00Z</cp:lastPrinted>
  <dcterms:created xsi:type="dcterms:W3CDTF">2018-11-13T07:46:00Z</dcterms:created>
  <dcterms:modified xsi:type="dcterms:W3CDTF">2018-11-13T07:46:00Z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4.1.3.4</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[20010706]</vt:lpwstr>
  </property>
  <property fmtid="{D5CDD505-2E9C-101B-9397-08002B2CF9AE}" pid="6" name="Last edited using">
    <vt:lpwstr>EL 4.6 Build 50000</vt:lpwstr>
  </property>
  <property fmtid="{D5CDD505-2E9C-101B-9397-08002B2CF9AE}" pid="7" name="EL_Author">
    <vt:lpwstr>M. WERKER</vt:lpwstr>
  </property>
  <property fmtid="{D5CDD505-2E9C-101B-9397-08002B2CF9AE}" pid="8" name="Type">
    <vt:lpwstr>Eurolook Telex</vt:lpwstr>
  </property>
  <property fmtid="{D5CDD505-2E9C-101B-9397-08002B2CF9AE}" pid="9" name="Language">
    <vt:lpwstr>FR</vt:lpwstr>
  </property>
  <property fmtid="{D5CDD505-2E9C-101B-9397-08002B2CF9AE}" pid="10" name="EL_Language">
    <vt:lpwstr>FR</vt:lpwstr>
  </property>
  <property fmtid="{D5CDD505-2E9C-101B-9397-08002B2CF9AE}" pid="11" name="Formatting">
    <vt:lpwstr>4.1</vt:lpwstr>
  </property>
  <property fmtid="{D5CDD505-2E9C-101B-9397-08002B2CF9AE}" pid="12" name="ELDocType">
    <vt:lpwstr>tel.dot</vt:lpwstr>
  </property>
</Properties>
</file>