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34" w:rsidRPr="00D276FB" w:rsidRDefault="00D60A34" w:rsidP="006F7F53">
      <w:pPr>
        <w:spacing w:after="600"/>
        <w:jc w:val="center"/>
        <w:rPr>
          <w:rFonts w:ascii="Times New Roman" w:hAnsi="Times New Roman"/>
          <w:b/>
          <w:bCs/>
          <w:szCs w:val="24"/>
        </w:rPr>
      </w:pPr>
      <w:r w:rsidRPr="00D276FB">
        <w:rPr>
          <w:rFonts w:ascii="Times New Roman" w:hAnsi="Times New Roman"/>
          <w:b/>
        </w:rPr>
        <w:t>Suite donnée à la résolution non législative du Parlement européen du 30 mai 2018</w:t>
      </w:r>
      <w:r w:rsidRPr="00D276FB">
        <w:rPr>
          <w:rFonts w:ascii="Times New Roman" w:hAnsi="Times New Roman"/>
          <w:b/>
          <w:szCs w:val="24"/>
        </w:rPr>
        <w:br/>
      </w:r>
      <w:r w:rsidRPr="00D276FB">
        <w:rPr>
          <w:rFonts w:ascii="Times New Roman" w:hAnsi="Times New Roman"/>
          <w:b/>
        </w:rPr>
        <w:t>sur l'interprétation et la mise en œuvre de l’accord interinstitutionnel</w:t>
      </w:r>
      <w:r w:rsidRPr="00D276FB">
        <w:rPr>
          <w:rFonts w:ascii="Times New Roman" w:hAnsi="Times New Roman"/>
          <w:b/>
          <w:szCs w:val="24"/>
        </w:rPr>
        <w:br/>
      </w:r>
      <w:r w:rsidRPr="00D276FB">
        <w:rPr>
          <w:rFonts w:ascii="Times New Roman" w:hAnsi="Times New Roman"/>
          <w:b/>
        </w:rPr>
        <w:t>«Mieux légiférer»</w:t>
      </w:r>
    </w:p>
    <w:p w:rsidR="00D60A34" w:rsidRPr="00D276FB" w:rsidRDefault="00D60A34" w:rsidP="00D60A34">
      <w:pPr>
        <w:spacing w:after="600"/>
        <w:ind w:left="360" w:right="-28"/>
        <w:jc w:val="center"/>
        <w:rPr>
          <w:rFonts w:ascii="Times New Roman" w:hAnsi="Times New Roman"/>
          <w:b/>
          <w:szCs w:val="24"/>
        </w:rPr>
      </w:pPr>
      <w:r w:rsidRPr="00D276FB">
        <w:rPr>
          <w:rFonts w:ascii="Times New Roman" w:hAnsi="Times New Roman"/>
          <w:b/>
          <w:color w:val="000000"/>
        </w:rPr>
        <w:t>2016/2018</w:t>
      </w:r>
      <w:r w:rsidRPr="00D276FB">
        <w:rPr>
          <w:rFonts w:ascii="Times New Roman" w:hAnsi="Times New Roman"/>
          <w:b/>
        </w:rPr>
        <w:t> (INI)</w:t>
      </w:r>
    </w:p>
    <w:p w:rsidR="00D60A34" w:rsidRPr="00D276FB" w:rsidRDefault="00D60A34" w:rsidP="00D60A34">
      <w:pPr>
        <w:ind w:left="567" w:right="-28" w:hanging="567"/>
        <w:rPr>
          <w:rFonts w:ascii="Times New Roman" w:hAnsi="Times New Roman"/>
          <w:i/>
          <w:szCs w:val="24"/>
        </w:rPr>
      </w:pPr>
      <w:r w:rsidRPr="00D276FB">
        <w:rPr>
          <w:rFonts w:ascii="Times New Roman" w:hAnsi="Times New Roman"/>
          <w:b/>
        </w:rPr>
        <w:t>1.</w:t>
      </w:r>
      <w:r w:rsidRPr="00D276FB">
        <w:tab/>
      </w:r>
      <w:r w:rsidRPr="00D276FB">
        <w:rPr>
          <w:rFonts w:ascii="Times New Roman" w:hAnsi="Times New Roman"/>
          <w:b/>
        </w:rPr>
        <w:t>Rapporteurs:</w:t>
      </w:r>
      <w:r w:rsidRPr="00D276FB">
        <w:rPr>
          <w:rFonts w:ascii="Times New Roman" w:hAnsi="Times New Roman"/>
        </w:rPr>
        <w:t xml:space="preserve"> Pavel SVOBODA (PPE/CZ), Richard CORBETT (S&amp;D/UK)</w:t>
      </w:r>
    </w:p>
    <w:p w:rsidR="00D60A34" w:rsidRPr="00D276FB" w:rsidRDefault="00D60A34" w:rsidP="00D60A34">
      <w:pPr>
        <w:pStyle w:val="Default"/>
        <w:spacing w:after="240"/>
        <w:ind w:left="567" w:right="-28" w:hanging="567"/>
        <w:rPr>
          <w:color w:val="auto"/>
        </w:rPr>
      </w:pPr>
      <w:r w:rsidRPr="00D276FB">
        <w:rPr>
          <w:b/>
          <w:color w:val="auto"/>
        </w:rPr>
        <w:t>2.</w:t>
      </w:r>
      <w:r w:rsidRPr="00D276FB">
        <w:tab/>
      </w:r>
      <w:r w:rsidRPr="00D276FB">
        <w:rPr>
          <w:b/>
          <w:color w:val="auto"/>
        </w:rPr>
        <w:t xml:space="preserve">Numéro de référence du PE: </w:t>
      </w:r>
      <w:r w:rsidRPr="00D276FB">
        <w:t>A8-0170/2018 / P8_TA-PROV(2018)0225</w:t>
      </w:r>
    </w:p>
    <w:p w:rsidR="00D60A34" w:rsidRPr="00D276FB" w:rsidRDefault="00D60A34" w:rsidP="00D60A34">
      <w:pPr>
        <w:ind w:left="567" w:right="-28" w:hanging="567"/>
        <w:rPr>
          <w:rFonts w:ascii="Times New Roman" w:hAnsi="Times New Roman"/>
          <w:szCs w:val="24"/>
        </w:rPr>
      </w:pPr>
      <w:r w:rsidRPr="00D276FB">
        <w:rPr>
          <w:rFonts w:ascii="Times New Roman" w:hAnsi="Times New Roman"/>
          <w:b/>
        </w:rPr>
        <w:t>3.</w:t>
      </w:r>
      <w:r w:rsidRPr="00D276FB">
        <w:tab/>
      </w:r>
      <w:r w:rsidRPr="00D276FB">
        <w:rPr>
          <w:rFonts w:ascii="Times New Roman" w:hAnsi="Times New Roman"/>
          <w:b/>
        </w:rPr>
        <w:t>Date d'adoption de la résolution:</w:t>
      </w:r>
      <w:r w:rsidRPr="00D276FB">
        <w:rPr>
          <w:rFonts w:ascii="Times New Roman" w:hAnsi="Times New Roman"/>
        </w:rPr>
        <w:t xml:space="preserve"> 30 mai 2018</w:t>
      </w:r>
    </w:p>
    <w:p w:rsidR="00D60A34" w:rsidRPr="00D276FB" w:rsidRDefault="00D60A34" w:rsidP="00D60A34">
      <w:pPr>
        <w:ind w:left="567" w:right="-28" w:hanging="567"/>
        <w:rPr>
          <w:rFonts w:ascii="Times New Roman" w:hAnsi="Times New Roman"/>
          <w:szCs w:val="24"/>
          <w:u w:val="single"/>
        </w:rPr>
      </w:pPr>
      <w:r w:rsidRPr="00D276FB">
        <w:rPr>
          <w:rFonts w:ascii="Times New Roman" w:hAnsi="Times New Roman"/>
          <w:b/>
        </w:rPr>
        <w:t>4.</w:t>
      </w:r>
      <w:r w:rsidRPr="00D276FB">
        <w:tab/>
      </w:r>
      <w:r w:rsidRPr="00D276FB">
        <w:rPr>
          <w:rFonts w:ascii="Times New Roman" w:hAnsi="Times New Roman"/>
          <w:b/>
        </w:rPr>
        <w:t>Objet:</w:t>
      </w:r>
      <w:r w:rsidRPr="00D276FB">
        <w:rPr>
          <w:rFonts w:ascii="Times New Roman" w:hAnsi="Times New Roman"/>
        </w:rPr>
        <w:t xml:space="preserve"> interprétation et mise en œuvre de l’accord interinstitutionnel «Mieux légiférer»</w:t>
      </w:r>
    </w:p>
    <w:p w:rsidR="00D60A34" w:rsidRPr="00D276FB" w:rsidRDefault="00D60A34" w:rsidP="00D60A34">
      <w:pPr>
        <w:ind w:left="567" w:right="-28" w:hanging="567"/>
        <w:rPr>
          <w:rFonts w:ascii="Times New Roman" w:hAnsi="Times New Roman"/>
          <w:i/>
          <w:szCs w:val="24"/>
        </w:rPr>
      </w:pPr>
      <w:r w:rsidRPr="00D276FB">
        <w:rPr>
          <w:rFonts w:ascii="Times New Roman" w:hAnsi="Times New Roman"/>
          <w:b/>
        </w:rPr>
        <w:t>5.</w:t>
      </w:r>
      <w:r w:rsidRPr="00D276FB">
        <w:tab/>
      </w:r>
      <w:r w:rsidRPr="00D276FB">
        <w:rPr>
          <w:rFonts w:ascii="Times New Roman" w:hAnsi="Times New Roman"/>
          <w:b/>
        </w:rPr>
        <w:t xml:space="preserve">Commissions parlementaires compétentes: </w:t>
      </w:r>
      <w:r w:rsidRPr="00D276FB">
        <w:rPr>
          <w:rFonts w:ascii="Times New Roman" w:hAnsi="Times New Roman"/>
        </w:rPr>
        <w:t>commission des affaires juridiques (JURI), commission des affaires constitutionnelles (AFCO)</w:t>
      </w:r>
    </w:p>
    <w:p w:rsidR="00D60A34" w:rsidRPr="00D276FB" w:rsidRDefault="00D60A34" w:rsidP="00D60A34">
      <w:pPr>
        <w:widowControl w:val="0"/>
        <w:ind w:left="567" w:right="-28" w:hanging="567"/>
        <w:rPr>
          <w:rFonts w:ascii="Times New Roman" w:hAnsi="Times New Roman"/>
          <w:b/>
          <w:szCs w:val="24"/>
        </w:rPr>
      </w:pPr>
      <w:r w:rsidRPr="00D276FB">
        <w:rPr>
          <w:rFonts w:ascii="Times New Roman" w:hAnsi="Times New Roman"/>
          <w:b/>
        </w:rPr>
        <w:t>6.</w:t>
      </w:r>
      <w:r w:rsidRPr="00D276FB">
        <w:tab/>
      </w:r>
      <w:r w:rsidRPr="00D276FB">
        <w:rPr>
          <w:rFonts w:ascii="Times New Roman" w:hAnsi="Times New Roman"/>
          <w:b/>
        </w:rPr>
        <w:t>Analyse/évaluation succincte de la résolution et des demandes qu’elle contient:</w:t>
      </w:r>
    </w:p>
    <w:p w:rsidR="00D60A34" w:rsidRPr="00D276FB" w:rsidRDefault="00D60A34" w:rsidP="00D60A34">
      <w:pPr>
        <w:spacing w:after="120"/>
        <w:rPr>
          <w:rFonts w:ascii="Times New Roman" w:hAnsi="Times New Roman"/>
          <w:szCs w:val="24"/>
        </w:rPr>
      </w:pPr>
      <w:r w:rsidRPr="00D276FB">
        <w:rPr>
          <w:rFonts w:ascii="Times New Roman" w:hAnsi="Times New Roman"/>
        </w:rPr>
        <w:t>Les questions les plus importantes que le Parlement européen soulève dans la résolution concernent le Conseil. Par exemple:</w:t>
      </w:r>
    </w:p>
    <w:p w:rsidR="00D60A34" w:rsidRPr="00D276FB" w:rsidRDefault="00D60A34" w:rsidP="00D60A34">
      <w:pPr>
        <w:numPr>
          <w:ilvl w:val="0"/>
          <w:numId w:val="33"/>
        </w:numPr>
        <w:spacing w:after="120"/>
        <w:ind w:left="567" w:hanging="567"/>
        <w:rPr>
          <w:rFonts w:ascii="Times New Roman" w:hAnsi="Times New Roman"/>
          <w:szCs w:val="24"/>
        </w:rPr>
      </w:pPr>
      <w:r w:rsidRPr="00D276FB">
        <w:rPr>
          <w:rFonts w:ascii="Times New Roman" w:hAnsi="Times New Roman"/>
        </w:rPr>
        <w:t>la réticence du Conseil à accepter des actes délégués dans la proposition «omnibus» visant à actualiser les dispositions en matière de comitologie en fonction des exigences du traité de Lisbonne;</w:t>
      </w:r>
    </w:p>
    <w:p w:rsidR="00D60A34" w:rsidRPr="00D276FB" w:rsidRDefault="00D60A34" w:rsidP="00D60A34">
      <w:pPr>
        <w:numPr>
          <w:ilvl w:val="0"/>
          <w:numId w:val="33"/>
        </w:numPr>
        <w:spacing w:after="120"/>
        <w:ind w:left="567" w:hanging="567"/>
        <w:rPr>
          <w:rFonts w:ascii="Times New Roman" w:hAnsi="Times New Roman"/>
          <w:szCs w:val="24"/>
        </w:rPr>
      </w:pPr>
      <w:r w:rsidRPr="00D276FB">
        <w:rPr>
          <w:rFonts w:ascii="Times New Roman" w:hAnsi="Times New Roman"/>
        </w:rPr>
        <w:t>l'insistance du Conseil à privilégier des actes d'exécution en lieu et place d'actes délégués dans les dossiers législatifs;</w:t>
      </w:r>
    </w:p>
    <w:p w:rsidR="00D60A34" w:rsidRPr="00D276FB" w:rsidRDefault="00D60A34" w:rsidP="00D60A34">
      <w:pPr>
        <w:numPr>
          <w:ilvl w:val="0"/>
          <w:numId w:val="33"/>
        </w:numPr>
        <w:spacing w:after="120"/>
        <w:ind w:left="567" w:hanging="567"/>
        <w:rPr>
          <w:rFonts w:ascii="Times New Roman" w:hAnsi="Times New Roman"/>
          <w:szCs w:val="24"/>
        </w:rPr>
      </w:pPr>
      <w:r w:rsidRPr="00D276FB">
        <w:rPr>
          <w:rFonts w:ascii="Times New Roman" w:hAnsi="Times New Roman"/>
        </w:rPr>
        <w:t>les modalités pratiques concernant la négociation d'accords internationaux (paragraphes 72-84).</w:t>
      </w:r>
    </w:p>
    <w:p w:rsidR="00D60A34" w:rsidRPr="00D276FB" w:rsidRDefault="00D60A34" w:rsidP="00D60A34">
      <w:pPr>
        <w:spacing w:after="120"/>
        <w:rPr>
          <w:rFonts w:ascii="Times New Roman" w:hAnsi="Times New Roman"/>
          <w:szCs w:val="24"/>
        </w:rPr>
      </w:pPr>
      <w:r w:rsidRPr="00D276FB">
        <w:rPr>
          <w:rFonts w:ascii="Times New Roman" w:hAnsi="Times New Roman"/>
        </w:rPr>
        <w:t>Le rapport sur lequel la résolution se fonde a été proposé au départ en 2016 par le négociateur du Parlement, M. Verhofstadt (ALDE/BE), afin de parvenir à un consensus sur l'accord interinstitutionnel final «Mieux légiférer» dans les différents groupes politiques, dont certains souhaitaient une issue plus ambitieuse. Cela se reflète dans le fait que la résolution appelle à un plus grand niveau d'engagement sur certaines questions.</w:t>
      </w:r>
    </w:p>
    <w:p w:rsidR="00D60A34" w:rsidRPr="00D276FB" w:rsidRDefault="00D60A34" w:rsidP="00D60A34">
      <w:pPr>
        <w:spacing w:after="120"/>
        <w:rPr>
          <w:rFonts w:ascii="Times New Roman" w:hAnsi="Times New Roman"/>
          <w:szCs w:val="24"/>
        </w:rPr>
      </w:pPr>
      <w:r w:rsidRPr="00D276FB">
        <w:rPr>
          <w:rFonts w:ascii="Times New Roman" w:hAnsi="Times New Roman"/>
        </w:rPr>
        <w:t xml:space="preserve">Conformément au point 50 de l'accord interinstitutionnel «Mieux légiférer», le Parlement européen, le Conseil et la Commission doivent assurer </w:t>
      </w:r>
      <w:r w:rsidRPr="00D276FB">
        <w:rPr>
          <w:rFonts w:ascii="Times New Roman" w:hAnsi="Times New Roman"/>
          <w:u w:val="single"/>
        </w:rPr>
        <w:t>conjointement</w:t>
      </w:r>
      <w:r w:rsidRPr="00D276FB">
        <w:rPr>
          <w:rFonts w:ascii="Times New Roman" w:hAnsi="Times New Roman"/>
        </w:rPr>
        <w:t xml:space="preserve"> le suivi </w:t>
      </w:r>
      <w:r w:rsidRPr="00D276FB">
        <w:rPr>
          <w:rFonts w:ascii="Times New Roman" w:hAnsi="Times New Roman"/>
          <w:u w:val="single"/>
        </w:rPr>
        <w:t>régulier</w:t>
      </w:r>
      <w:r w:rsidRPr="00D276FB">
        <w:rPr>
          <w:rFonts w:ascii="Times New Roman" w:hAnsi="Times New Roman"/>
        </w:rPr>
        <w:t xml:space="preserve"> de la mise en œuvre de l'accord. La première réunion politique tripartite de suivi a eu lieu le 12 décembre 2017 à Strasbourg. Les discussions relatives à la mise en œuvre de l'accord interinstitutionnel «Mieux légiférer» doivent être limitées à ce forum tripartite et au groupe de coordination interinstitutionnelle présidé par le Parlement européen, comme le prévoit l'accord.</w:t>
      </w:r>
    </w:p>
    <w:p w:rsidR="00D60A34" w:rsidRPr="00D276FB" w:rsidRDefault="00D60A34" w:rsidP="00730278">
      <w:pPr>
        <w:widowControl w:val="0"/>
        <w:spacing w:before="240"/>
        <w:ind w:left="567" w:right="-28" w:hanging="567"/>
        <w:rPr>
          <w:rFonts w:ascii="Times New Roman" w:hAnsi="Times New Roman"/>
          <w:b/>
          <w:szCs w:val="24"/>
        </w:rPr>
      </w:pPr>
      <w:r w:rsidRPr="00D276FB">
        <w:rPr>
          <w:rFonts w:ascii="Times New Roman" w:hAnsi="Times New Roman"/>
          <w:b/>
        </w:rPr>
        <w:t>7.</w:t>
      </w:r>
      <w:r w:rsidRPr="00D276FB">
        <w:tab/>
      </w:r>
      <w:bookmarkStart w:id="0" w:name="_GoBack"/>
      <w:r w:rsidRPr="00D276FB">
        <w:rPr>
          <w:rFonts w:ascii="Times New Roman" w:hAnsi="Times New Roman"/>
          <w:b/>
        </w:rPr>
        <w:t>Réponse à ces demandes et aperçu des mesures que la Commission a prises ou envisage de prendre:</w:t>
      </w:r>
    </w:p>
    <w:p w:rsidR="00D60A34" w:rsidRPr="00D276FB" w:rsidRDefault="00D60A34" w:rsidP="00730278">
      <w:pPr>
        <w:widowControl w:val="0"/>
        <w:rPr>
          <w:rFonts w:ascii="Times New Roman" w:hAnsi="Times New Roman"/>
          <w:szCs w:val="24"/>
        </w:rPr>
      </w:pPr>
      <w:r w:rsidRPr="00D276FB">
        <w:rPr>
          <w:rFonts w:ascii="Times New Roman" w:hAnsi="Times New Roman"/>
        </w:rPr>
        <w:t xml:space="preserve">La Commission a </w:t>
      </w:r>
      <w:bookmarkEnd w:id="0"/>
      <w:r w:rsidRPr="00D276FB">
        <w:rPr>
          <w:rFonts w:ascii="Times New Roman" w:hAnsi="Times New Roman"/>
        </w:rPr>
        <w:t>répondu en séance plénière à l'ensemble des points essentiels soulevés dans la résolution.</w:t>
      </w:r>
    </w:p>
    <w:p w:rsidR="00D60A34" w:rsidRPr="00D276FB" w:rsidRDefault="00D60A34" w:rsidP="00D60A34">
      <w:pPr>
        <w:rPr>
          <w:rFonts w:ascii="Times New Roman" w:hAnsi="Times New Roman"/>
          <w:szCs w:val="24"/>
        </w:rPr>
      </w:pPr>
      <w:r w:rsidRPr="00D276FB">
        <w:rPr>
          <w:rFonts w:ascii="Times New Roman" w:hAnsi="Times New Roman"/>
        </w:rPr>
        <w:t>En outre, conformément au point 50 de l'accord interinstitutionnel «Mieux légiférer», les questions relatives à la mise en œuvre de l'accord sont traitées lors d'un forum ad hoc (la réunion de suivi tripartite à la fin de chaque année).</w:t>
      </w:r>
    </w:p>
    <w:p w:rsidR="00D60A34" w:rsidRPr="00D276FB" w:rsidRDefault="00D60A34" w:rsidP="00D60A34">
      <w:pPr>
        <w:rPr>
          <w:rFonts w:ascii="Times New Roman" w:hAnsi="Times New Roman"/>
          <w:b/>
          <w:szCs w:val="24"/>
        </w:rPr>
      </w:pPr>
      <w:r w:rsidRPr="00D276FB">
        <w:rPr>
          <w:rFonts w:ascii="Times New Roman" w:hAnsi="Times New Roman"/>
        </w:rPr>
        <w:t>La Commission a entamé une évaluation des instruments visant une meilleure réglementation. L'avis du Parlement européen sera demandé et pris en considération dans ce cadre, tout comme le seront les points pertinents soulevés dans la résolution.</w:t>
      </w:r>
    </w:p>
    <w:sectPr w:rsidR="00D60A34" w:rsidRPr="00D276FB" w:rsidSect="005A4609">
      <w:footerReference w:type="default" r:id="rId9"/>
      <w:footerReference w:type="first" r:id="rId10"/>
      <w:footnotePr>
        <w:numRestart w:val="eachSect"/>
      </w:footnotePr>
      <w:pgSz w:w="11906" w:h="16838" w:code="9"/>
      <w:pgMar w:top="1021" w:right="1558"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19" w:rsidRDefault="003C7A19">
      <w:r>
        <w:separator/>
      </w:r>
    </w:p>
  </w:endnote>
  <w:endnote w:type="continuationSeparator" w:id="0">
    <w:p w:rsidR="003C7A19" w:rsidRDefault="003C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panose1 w:val="00000000000000000000"/>
    <w:charset w:val="00"/>
    <w:family w:val="roman"/>
    <w:notTrueType/>
    <w:pitch w:val="default"/>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19" w:rsidRDefault="003C7A19">
    <w:pPr>
      <w:pStyle w:val="Footer"/>
      <w:jc w:val="center"/>
    </w:pPr>
    <w:r>
      <w:fldChar w:fldCharType="begin"/>
    </w:r>
    <w:r>
      <w:instrText xml:space="preserve"> PAGE   \* MERGEFORMAT </w:instrText>
    </w:r>
    <w:r>
      <w:fldChar w:fldCharType="separate"/>
    </w:r>
    <w:r w:rsidR="00730278">
      <w:rPr>
        <w:noProof/>
      </w:rPr>
      <w:t>2</w:t>
    </w:r>
    <w:r>
      <w:rPr>
        <w:noProof/>
      </w:rPr>
      <w:fldChar w:fldCharType="end"/>
    </w:r>
  </w:p>
  <w:p w:rsidR="003C7A19" w:rsidRDefault="003C7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19" w:rsidRDefault="003C7A19">
    <w:pPr>
      <w:pStyle w:val="Footer"/>
      <w:jc w:val="center"/>
    </w:pPr>
    <w:r>
      <w:fldChar w:fldCharType="begin"/>
    </w:r>
    <w:r>
      <w:instrText xml:space="preserve"> PAGE   \* MERGEFORMAT </w:instrText>
    </w:r>
    <w:r>
      <w:fldChar w:fldCharType="separate"/>
    </w:r>
    <w:r w:rsidR="00730278">
      <w:rPr>
        <w:noProof/>
      </w:rPr>
      <w:t>1</w:t>
    </w:r>
    <w:r>
      <w:rPr>
        <w:noProof/>
      </w:rPr>
      <w:fldChar w:fldCharType="end"/>
    </w:r>
  </w:p>
  <w:p w:rsidR="003C7A19" w:rsidRDefault="003C7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19" w:rsidRDefault="003C7A19">
      <w:r>
        <w:separator/>
      </w:r>
    </w:p>
  </w:footnote>
  <w:footnote w:type="continuationSeparator" w:id="0">
    <w:p w:rsidR="003C7A19" w:rsidRDefault="003C7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76"/>
    <w:multiLevelType w:val="hybridMultilevel"/>
    <w:tmpl w:val="994A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3">
    <w:nsid w:val="02FD5E00"/>
    <w:multiLevelType w:val="hybridMultilevel"/>
    <w:tmpl w:val="23CC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681E82"/>
    <w:multiLevelType w:val="hybridMultilevel"/>
    <w:tmpl w:val="0316D07C"/>
    <w:lvl w:ilvl="0" w:tplc="010A33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D4D0411"/>
    <w:multiLevelType w:val="hybridMultilevel"/>
    <w:tmpl w:val="673855CC"/>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B46F45"/>
    <w:multiLevelType w:val="hybridMultilevel"/>
    <w:tmpl w:val="50D21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9">
    <w:nsid w:val="130D0618"/>
    <w:multiLevelType w:val="hybridMultilevel"/>
    <w:tmpl w:val="37A2CF10"/>
    <w:lvl w:ilvl="0" w:tplc="F82EC384">
      <w:start w:val="2016"/>
      <w:numFmt w:val="decimal"/>
      <w:lvlText w:val="%1"/>
      <w:lvlJc w:val="left"/>
      <w:pPr>
        <w:ind w:left="840" w:hanging="48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11">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2">
    <w:nsid w:val="15871932"/>
    <w:multiLevelType w:val="hybridMultilevel"/>
    <w:tmpl w:val="8A124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8407E8"/>
    <w:multiLevelType w:val="hybridMultilevel"/>
    <w:tmpl w:val="424A86AA"/>
    <w:lvl w:ilvl="0" w:tplc="90B27698">
      <w:start w:val="1"/>
      <w:numFmt w:val="decimal"/>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92973D2"/>
    <w:multiLevelType w:val="hybridMultilevel"/>
    <w:tmpl w:val="A2FAFC22"/>
    <w:lvl w:ilvl="0" w:tplc="28A2516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7">
    <w:nsid w:val="1F9015B4"/>
    <w:multiLevelType w:val="hybridMultilevel"/>
    <w:tmpl w:val="A7504770"/>
    <w:lvl w:ilvl="0" w:tplc="08090011">
      <w:start w:val="1"/>
      <w:numFmt w:val="decimal"/>
      <w:lvlText w:val="%1)"/>
      <w:lvlJc w:val="left"/>
      <w:pPr>
        <w:ind w:left="360" w:hanging="360"/>
      </w:pPr>
      <w:rPr>
        <w:b/>
      </w:rPr>
    </w:lvl>
    <w:lvl w:ilvl="1" w:tplc="08090011">
      <w:start w:val="1"/>
      <w:numFmt w:val="decimal"/>
      <w:lvlText w:val="%2)"/>
      <w:lvlJc w:val="left"/>
      <w:pPr>
        <w:ind w:left="1440" w:hanging="360"/>
      </w:pPr>
    </w:lvl>
    <w:lvl w:ilvl="2" w:tplc="26702276">
      <w:start w:val="1"/>
      <w:numFmt w:val="bullet"/>
      <w:lvlText w:val="-"/>
      <w:lvlJc w:val="left"/>
      <w:pPr>
        <w:ind w:left="2760" w:hanging="780"/>
      </w:pPr>
      <w:rPr>
        <w:rFonts w:ascii="Times New Roman" w:eastAsia="Calibri"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20081441"/>
    <w:multiLevelType w:val="hybridMultilevel"/>
    <w:tmpl w:val="836C68BA"/>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991F84"/>
    <w:multiLevelType w:val="hybridMultilevel"/>
    <w:tmpl w:val="32BCE1A0"/>
    <w:lvl w:ilvl="0" w:tplc="01FEB2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22">
    <w:nsid w:val="332B3941"/>
    <w:multiLevelType w:val="hybridMultilevel"/>
    <w:tmpl w:val="A7669DDE"/>
    <w:lvl w:ilvl="0" w:tplc="ECA2AED8">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36644752"/>
    <w:multiLevelType w:val="hybridMultilevel"/>
    <w:tmpl w:val="BB08B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807E46"/>
    <w:multiLevelType w:val="hybridMultilevel"/>
    <w:tmpl w:val="0B34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1324D01"/>
    <w:multiLevelType w:val="hybridMultilevel"/>
    <w:tmpl w:val="E280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59128D"/>
    <w:multiLevelType w:val="hybridMultilevel"/>
    <w:tmpl w:val="F8DA622E"/>
    <w:lvl w:ilvl="0" w:tplc="032ACD0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494F2639"/>
    <w:multiLevelType w:val="hybridMultilevel"/>
    <w:tmpl w:val="03BC8946"/>
    <w:lvl w:ilvl="0" w:tplc="8E40B238">
      <w:numFmt w:val="bullet"/>
      <w:lvlText w:val="-"/>
      <w:lvlJc w:val="left"/>
      <w:pPr>
        <w:ind w:left="720" w:hanging="360"/>
      </w:pPr>
      <w:rPr>
        <w:rFonts w:ascii="Times New Roman" w:eastAsia="Calibr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4">
    <w:nsid w:val="4C947BFC"/>
    <w:multiLevelType w:val="hybridMultilevel"/>
    <w:tmpl w:val="A6B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6">
    <w:nsid w:val="5358149A"/>
    <w:multiLevelType w:val="hybridMultilevel"/>
    <w:tmpl w:val="C660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39">
    <w:nsid w:val="5C3073F9"/>
    <w:multiLevelType w:val="hybridMultilevel"/>
    <w:tmpl w:val="DA8A5DBE"/>
    <w:lvl w:ilvl="0" w:tplc="010A33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2D37449"/>
    <w:multiLevelType w:val="hybridMultilevel"/>
    <w:tmpl w:val="6C2E98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A645398"/>
    <w:multiLevelType w:val="hybridMultilevel"/>
    <w:tmpl w:val="2E3C1EB0"/>
    <w:lvl w:ilvl="0" w:tplc="1504843A">
      <w:numFmt w:val="bullet"/>
      <w:lvlText w:val="•"/>
      <w:lvlJc w:val="left"/>
      <w:pPr>
        <w:ind w:left="1441" w:hanging="732"/>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45">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47">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48">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49">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11"/>
  </w:num>
  <w:num w:numId="2">
    <w:abstractNumId w:val="2"/>
  </w:num>
  <w:num w:numId="3">
    <w:abstractNumId w:val="48"/>
  </w:num>
  <w:num w:numId="4">
    <w:abstractNumId w:val="21"/>
  </w:num>
  <w:num w:numId="5">
    <w:abstractNumId w:val="44"/>
  </w:num>
  <w:num w:numId="6">
    <w:abstractNumId w:val="16"/>
  </w:num>
  <w:num w:numId="7">
    <w:abstractNumId w:val="10"/>
  </w:num>
  <w:num w:numId="8">
    <w:abstractNumId w:val="25"/>
  </w:num>
  <w:num w:numId="9">
    <w:abstractNumId w:val="47"/>
  </w:num>
  <w:num w:numId="10">
    <w:abstractNumId w:val="38"/>
  </w:num>
  <w:num w:numId="11">
    <w:abstractNumId w:val="41"/>
  </w:num>
  <w:num w:numId="12">
    <w:abstractNumId w:val="20"/>
  </w:num>
  <w:num w:numId="13">
    <w:abstractNumId w:val="29"/>
  </w:num>
  <w:num w:numId="14">
    <w:abstractNumId w:val="45"/>
  </w:num>
  <w:num w:numId="15">
    <w:abstractNumId w:val="24"/>
  </w:num>
  <w:num w:numId="16">
    <w:abstractNumId w:val="50"/>
  </w:num>
  <w:num w:numId="17">
    <w:abstractNumId w:val="46"/>
  </w:num>
  <w:num w:numId="18">
    <w:abstractNumId w:val="35"/>
  </w:num>
  <w:num w:numId="19">
    <w:abstractNumId w:val="37"/>
  </w:num>
  <w:num w:numId="20">
    <w:abstractNumId w:val="43"/>
  </w:num>
  <w:num w:numId="21">
    <w:abstractNumId w:val="5"/>
  </w:num>
  <w:num w:numId="22">
    <w:abstractNumId w:val="8"/>
  </w:num>
  <w:num w:numId="23">
    <w:abstractNumId w:val="23"/>
  </w:num>
  <w:num w:numId="24">
    <w:abstractNumId w:val="49"/>
  </w:num>
  <w:num w:numId="25">
    <w:abstractNumId w:val="28"/>
  </w:num>
  <w:num w:numId="26">
    <w:abstractNumId w:val="15"/>
  </w:num>
  <w:num w:numId="27">
    <w:abstractNumId w:val="22"/>
  </w:num>
  <w:num w:numId="28">
    <w:abstractNumId w:val="17"/>
  </w:num>
  <w:num w:numId="29">
    <w:abstractNumId w:val="39"/>
  </w:num>
  <w:num w:numId="30">
    <w:abstractNumId w:val="4"/>
  </w:num>
  <w:num w:numId="31">
    <w:abstractNumId w:val="13"/>
  </w:num>
  <w:num w:numId="32">
    <w:abstractNumId w:val="33"/>
  </w:num>
  <w:num w:numId="33">
    <w:abstractNumId w:val="27"/>
  </w:num>
  <w:num w:numId="34">
    <w:abstractNumId w:val="30"/>
  </w:num>
  <w:num w:numId="35">
    <w:abstractNumId w:val="0"/>
  </w:num>
  <w:num w:numId="36">
    <w:abstractNumId w:val="12"/>
  </w:num>
  <w:num w:numId="37">
    <w:abstractNumId w:val="19"/>
  </w:num>
  <w:num w:numId="38">
    <w:abstractNumId w:val="32"/>
  </w:num>
  <w:num w:numId="39">
    <w:abstractNumId w:val="40"/>
  </w:num>
  <w:num w:numId="40">
    <w:abstractNumId w:val="18"/>
  </w:num>
  <w:num w:numId="41">
    <w:abstractNumId w:val="3"/>
  </w:num>
  <w:num w:numId="42">
    <w:abstractNumId w:val="31"/>
  </w:num>
  <w:num w:numId="43">
    <w:abstractNumId w:val="34"/>
  </w:num>
  <w:num w:numId="44">
    <w:abstractNumId w:val="7"/>
  </w:num>
  <w:num w:numId="45">
    <w:abstractNumId w:val="36"/>
  </w:num>
  <w:num w:numId="46">
    <w:abstractNumId w:val="42"/>
  </w:num>
  <w:num w:numId="47">
    <w:abstractNumId w:val="9"/>
  </w:num>
  <w:num w:numId="48">
    <w:abstractNumId w:val="26"/>
  </w:num>
  <w:num w:numId="49">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173"/>
    <w:rsid w:val="00001369"/>
    <w:rsid w:val="00001C27"/>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51"/>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3F1"/>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6F38"/>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9E7"/>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BDB"/>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4C7"/>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CB6"/>
    <w:rsid w:val="00043E36"/>
    <w:rsid w:val="000443C3"/>
    <w:rsid w:val="0004455F"/>
    <w:rsid w:val="00044806"/>
    <w:rsid w:val="00044A2B"/>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06"/>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86C"/>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96F"/>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000"/>
    <w:rsid w:val="000875DD"/>
    <w:rsid w:val="00087C2A"/>
    <w:rsid w:val="00087E0A"/>
    <w:rsid w:val="00090055"/>
    <w:rsid w:val="000901F1"/>
    <w:rsid w:val="000906EF"/>
    <w:rsid w:val="0009096A"/>
    <w:rsid w:val="00090B6B"/>
    <w:rsid w:val="00090D4B"/>
    <w:rsid w:val="00090EA4"/>
    <w:rsid w:val="000910D7"/>
    <w:rsid w:val="0009166A"/>
    <w:rsid w:val="000917B7"/>
    <w:rsid w:val="000918B2"/>
    <w:rsid w:val="00091CE2"/>
    <w:rsid w:val="0009205D"/>
    <w:rsid w:val="00092442"/>
    <w:rsid w:val="0009257A"/>
    <w:rsid w:val="00092B44"/>
    <w:rsid w:val="00092C2D"/>
    <w:rsid w:val="00092EB9"/>
    <w:rsid w:val="000933A4"/>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232"/>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66D"/>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2"/>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3CE"/>
    <w:rsid w:val="000D25EF"/>
    <w:rsid w:val="000D2718"/>
    <w:rsid w:val="000D280C"/>
    <w:rsid w:val="000D333F"/>
    <w:rsid w:val="000D34BD"/>
    <w:rsid w:val="000D3537"/>
    <w:rsid w:val="000D37F7"/>
    <w:rsid w:val="000D38B0"/>
    <w:rsid w:val="000D390C"/>
    <w:rsid w:val="000D397D"/>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7EF"/>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6B6"/>
    <w:rsid w:val="000E7FD0"/>
    <w:rsid w:val="000F0118"/>
    <w:rsid w:val="000F023F"/>
    <w:rsid w:val="000F04D2"/>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CE8"/>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AFE"/>
    <w:rsid w:val="00104CC5"/>
    <w:rsid w:val="00104E16"/>
    <w:rsid w:val="0010517D"/>
    <w:rsid w:val="0010525A"/>
    <w:rsid w:val="001054F9"/>
    <w:rsid w:val="001055C5"/>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098"/>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321"/>
    <w:rsid w:val="00142485"/>
    <w:rsid w:val="0014296A"/>
    <w:rsid w:val="00143061"/>
    <w:rsid w:val="00143335"/>
    <w:rsid w:val="00143391"/>
    <w:rsid w:val="001438FC"/>
    <w:rsid w:val="00143DDE"/>
    <w:rsid w:val="00143F3D"/>
    <w:rsid w:val="0014413D"/>
    <w:rsid w:val="00144934"/>
    <w:rsid w:val="00144AD5"/>
    <w:rsid w:val="00145AB8"/>
    <w:rsid w:val="00145BBD"/>
    <w:rsid w:val="00145D7D"/>
    <w:rsid w:val="001463CA"/>
    <w:rsid w:val="00146572"/>
    <w:rsid w:val="0014708A"/>
    <w:rsid w:val="00147169"/>
    <w:rsid w:val="00147197"/>
    <w:rsid w:val="0014755B"/>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5F3"/>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6CD"/>
    <w:rsid w:val="001559B7"/>
    <w:rsid w:val="00155DAE"/>
    <w:rsid w:val="0015615D"/>
    <w:rsid w:val="001561D4"/>
    <w:rsid w:val="00156296"/>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6D9F"/>
    <w:rsid w:val="0018707E"/>
    <w:rsid w:val="001870AB"/>
    <w:rsid w:val="00187102"/>
    <w:rsid w:val="00187221"/>
    <w:rsid w:val="001872A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0F4E"/>
    <w:rsid w:val="001912E2"/>
    <w:rsid w:val="00191A2A"/>
    <w:rsid w:val="00191BF5"/>
    <w:rsid w:val="00191C56"/>
    <w:rsid w:val="00191DD2"/>
    <w:rsid w:val="00191E0F"/>
    <w:rsid w:val="00191EC5"/>
    <w:rsid w:val="001920C5"/>
    <w:rsid w:val="001922AC"/>
    <w:rsid w:val="001922FE"/>
    <w:rsid w:val="0019262E"/>
    <w:rsid w:val="00192C12"/>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579F"/>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65A"/>
    <w:rsid w:val="001A090B"/>
    <w:rsid w:val="001A0C22"/>
    <w:rsid w:val="001A0CB3"/>
    <w:rsid w:val="001A0D6D"/>
    <w:rsid w:val="001A102F"/>
    <w:rsid w:val="001A14A4"/>
    <w:rsid w:val="001A1572"/>
    <w:rsid w:val="001A1804"/>
    <w:rsid w:val="001A183D"/>
    <w:rsid w:val="001A1CA7"/>
    <w:rsid w:val="001A1DC1"/>
    <w:rsid w:val="001A2019"/>
    <w:rsid w:val="001A2024"/>
    <w:rsid w:val="001A2787"/>
    <w:rsid w:val="001A2A80"/>
    <w:rsid w:val="001A2C40"/>
    <w:rsid w:val="001A2D05"/>
    <w:rsid w:val="001A3205"/>
    <w:rsid w:val="001A332F"/>
    <w:rsid w:val="001A3653"/>
    <w:rsid w:val="001A39DD"/>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6FC9"/>
    <w:rsid w:val="001A7123"/>
    <w:rsid w:val="001A72FC"/>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38E"/>
    <w:rsid w:val="001B1499"/>
    <w:rsid w:val="001B15A6"/>
    <w:rsid w:val="001B17DA"/>
    <w:rsid w:val="001B181C"/>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1A"/>
    <w:rsid w:val="001C394A"/>
    <w:rsid w:val="001C3D04"/>
    <w:rsid w:val="001C3EC5"/>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217"/>
    <w:rsid w:val="001D03B9"/>
    <w:rsid w:val="001D0749"/>
    <w:rsid w:val="001D091B"/>
    <w:rsid w:val="001D0AC4"/>
    <w:rsid w:val="001D0D78"/>
    <w:rsid w:val="001D0FB9"/>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505"/>
    <w:rsid w:val="001D670F"/>
    <w:rsid w:val="001D68FE"/>
    <w:rsid w:val="001D6923"/>
    <w:rsid w:val="001D6C21"/>
    <w:rsid w:val="001D6DC1"/>
    <w:rsid w:val="001D6E97"/>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15F"/>
    <w:rsid w:val="001E352F"/>
    <w:rsid w:val="001E3584"/>
    <w:rsid w:val="001E3A51"/>
    <w:rsid w:val="001E3B09"/>
    <w:rsid w:val="001E3B15"/>
    <w:rsid w:val="001E3C0D"/>
    <w:rsid w:val="001E42DA"/>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46B"/>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1D2"/>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225"/>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6E0"/>
    <w:rsid w:val="00227749"/>
    <w:rsid w:val="00227750"/>
    <w:rsid w:val="00227794"/>
    <w:rsid w:val="00227EC2"/>
    <w:rsid w:val="00227FA4"/>
    <w:rsid w:val="00230277"/>
    <w:rsid w:val="0023029C"/>
    <w:rsid w:val="002302FC"/>
    <w:rsid w:val="002303C6"/>
    <w:rsid w:val="00230D30"/>
    <w:rsid w:val="00230DC9"/>
    <w:rsid w:val="00230F07"/>
    <w:rsid w:val="0023153C"/>
    <w:rsid w:val="00231926"/>
    <w:rsid w:val="0023194F"/>
    <w:rsid w:val="002319B1"/>
    <w:rsid w:val="00231DFE"/>
    <w:rsid w:val="00232166"/>
    <w:rsid w:val="00232359"/>
    <w:rsid w:val="00232BAA"/>
    <w:rsid w:val="00232DF2"/>
    <w:rsid w:val="00232E14"/>
    <w:rsid w:val="00232E5E"/>
    <w:rsid w:val="00233197"/>
    <w:rsid w:val="0023356F"/>
    <w:rsid w:val="00233656"/>
    <w:rsid w:val="00233749"/>
    <w:rsid w:val="002338E8"/>
    <w:rsid w:val="00233B5C"/>
    <w:rsid w:val="00233E26"/>
    <w:rsid w:val="00233E5C"/>
    <w:rsid w:val="00233ED8"/>
    <w:rsid w:val="00233FD6"/>
    <w:rsid w:val="002346D9"/>
    <w:rsid w:val="00234B44"/>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3"/>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E14"/>
    <w:rsid w:val="00245F0C"/>
    <w:rsid w:val="00245F73"/>
    <w:rsid w:val="0024613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036"/>
    <w:rsid w:val="00255137"/>
    <w:rsid w:val="0025526A"/>
    <w:rsid w:val="0025544B"/>
    <w:rsid w:val="00255578"/>
    <w:rsid w:val="002556B3"/>
    <w:rsid w:val="002556E1"/>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B59"/>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D6B"/>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4A"/>
    <w:rsid w:val="00281957"/>
    <w:rsid w:val="0028196C"/>
    <w:rsid w:val="00281B89"/>
    <w:rsid w:val="00281C23"/>
    <w:rsid w:val="00281D74"/>
    <w:rsid w:val="002822DD"/>
    <w:rsid w:val="002829CC"/>
    <w:rsid w:val="00282D50"/>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8D"/>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AC9"/>
    <w:rsid w:val="00296D2B"/>
    <w:rsid w:val="00296DAE"/>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4A4"/>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65A"/>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98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5B2"/>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CBB"/>
    <w:rsid w:val="002E0CDE"/>
    <w:rsid w:val="002E0F16"/>
    <w:rsid w:val="002E0FA2"/>
    <w:rsid w:val="002E13A0"/>
    <w:rsid w:val="002E185A"/>
    <w:rsid w:val="002E1C42"/>
    <w:rsid w:val="002E1E26"/>
    <w:rsid w:val="002E2748"/>
    <w:rsid w:val="002E2A70"/>
    <w:rsid w:val="002E2B77"/>
    <w:rsid w:val="002E3095"/>
    <w:rsid w:val="002E33BF"/>
    <w:rsid w:val="002E37B5"/>
    <w:rsid w:val="002E380E"/>
    <w:rsid w:val="002E3B41"/>
    <w:rsid w:val="002E3DF0"/>
    <w:rsid w:val="002E4608"/>
    <w:rsid w:val="002E4671"/>
    <w:rsid w:val="002E4DCA"/>
    <w:rsid w:val="002E4E82"/>
    <w:rsid w:val="002E4EE2"/>
    <w:rsid w:val="002E5073"/>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73F"/>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0D7E"/>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98E"/>
    <w:rsid w:val="00321A5B"/>
    <w:rsid w:val="00321D00"/>
    <w:rsid w:val="00321D56"/>
    <w:rsid w:val="00321F48"/>
    <w:rsid w:val="00321FB7"/>
    <w:rsid w:val="003220B2"/>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A7"/>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032"/>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4CE4"/>
    <w:rsid w:val="00355439"/>
    <w:rsid w:val="003555F5"/>
    <w:rsid w:val="00355B3F"/>
    <w:rsid w:val="00356023"/>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24"/>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A5D"/>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ACD"/>
    <w:rsid w:val="00377E52"/>
    <w:rsid w:val="003800DD"/>
    <w:rsid w:val="0038026E"/>
    <w:rsid w:val="0038028B"/>
    <w:rsid w:val="003805D6"/>
    <w:rsid w:val="003806E4"/>
    <w:rsid w:val="00380AC1"/>
    <w:rsid w:val="00380E9B"/>
    <w:rsid w:val="00381015"/>
    <w:rsid w:val="003814F7"/>
    <w:rsid w:val="00381727"/>
    <w:rsid w:val="0038196D"/>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7C"/>
    <w:rsid w:val="0038578E"/>
    <w:rsid w:val="00385CB4"/>
    <w:rsid w:val="00385D1A"/>
    <w:rsid w:val="00385D43"/>
    <w:rsid w:val="00385DBC"/>
    <w:rsid w:val="00385E39"/>
    <w:rsid w:val="0038630D"/>
    <w:rsid w:val="003864AE"/>
    <w:rsid w:val="003865A8"/>
    <w:rsid w:val="003869B3"/>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29F"/>
    <w:rsid w:val="003975C0"/>
    <w:rsid w:val="0039781F"/>
    <w:rsid w:val="00397D6F"/>
    <w:rsid w:val="003A0146"/>
    <w:rsid w:val="003A03F0"/>
    <w:rsid w:val="003A0743"/>
    <w:rsid w:val="003A0AB8"/>
    <w:rsid w:val="003A0C86"/>
    <w:rsid w:val="003A0EBC"/>
    <w:rsid w:val="003A193D"/>
    <w:rsid w:val="003A21D7"/>
    <w:rsid w:val="003A24F9"/>
    <w:rsid w:val="003A25B0"/>
    <w:rsid w:val="003A270F"/>
    <w:rsid w:val="003A2A9A"/>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6E0"/>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21D"/>
    <w:rsid w:val="003C1658"/>
    <w:rsid w:val="003C1867"/>
    <w:rsid w:val="003C188E"/>
    <w:rsid w:val="003C1937"/>
    <w:rsid w:val="003C1EF3"/>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C7A19"/>
    <w:rsid w:val="003D00D2"/>
    <w:rsid w:val="003D056E"/>
    <w:rsid w:val="003D0A16"/>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BED"/>
    <w:rsid w:val="003D5CD5"/>
    <w:rsid w:val="003D5D4F"/>
    <w:rsid w:val="003D5E33"/>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06D"/>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0FE"/>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07E5D"/>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3DE"/>
    <w:rsid w:val="004134C0"/>
    <w:rsid w:val="00413C08"/>
    <w:rsid w:val="00413FFE"/>
    <w:rsid w:val="0041408B"/>
    <w:rsid w:val="00414299"/>
    <w:rsid w:val="004145B4"/>
    <w:rsid w:val="00414967"/>
    <w:rsid w:val="00414A53"/>
    <w:rsid w:val="00414B5B"/>
    <w:rsid w:val="00414C19"/>
    <w:rsid w:val="00414CAD"/>
    <w:rsid w:val="004150F4"/>
    <w:rsid w:val="004157DC"/>
    <w:rsid w:val="00415BC5"/>
    <w:rsid w:val="00415C7B"/>
    <w:rsid w:val="00415DB8"/>
    <w:rsid w:val="00415EE3"/>
    <w:rsid w:val="00415F40"/>
    <w:rsid w:val="0041604E"/>
    <w:rsid w:val="004161DD"/>
    <w:rsid w:val="00416341"/>
    <w:rsid w:val="00416790"/>
    <w:rsid w:val="00416AB8"/>
    <w:rsid w:val="00416D2F"/>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3B3"/>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3CB7"/>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1DB"/>
    <w:rsid w:val="00442386"/>
    <w:rsid w:val="0044251E"/>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EA2"/>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A63"/>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0D2"/>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817"/>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589"/>
    <w:rsid w:val="00494683"/>
    <w:rsid w:val="004946F6"/>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B7F"/>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55"/>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49B"/>
    <w:rsid w:val="004C34ED"/>
    <w:rsid w:val="004C35D2"/>
    <w:rsid w:val="004C3944"/>
    <w:rsid w:val="004C394D"/>
    <w:rsid w:val="004C39B3"/>
    <w:rsid w:val="004C3B48"/>
    <w:rsid w:val="004C3BE1"/>
    <w:rsid w:val="004C3D8F"/>
    <w:rsid w:val="004C44E0"/>
    <w:rsid w:val="004C44E5"/>
    <w:rsid w:val="004C4550"/>
    <w:rsid w:val="004C4814"/>
    <w:rsid w:val="004C48EC"/>
    <w:rsid w:val="004C4A8E"/>
    <w:rsid w:val="004C4B4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DF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7AF"/>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726"/>
    <w:rsid w:val="004E281C"/>
    <w:rsid w:val="004E283A"/>
    <w:rsid w:val="004E28FB"/>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76F"/>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2CE"/>
    <w:rsid w:val="004F0776"/>
    <w:rsid w:val="004F0C08"/>
    <w:rsid w:val="004F0D65"/>
    <w:rsid w:val="004F0D81"/>
    <w:rsid w:val="004F10BF"/>
    <w:rsid w:val="004F14DE"/>
    <w:rsid w:val="004F1AC2"/>
    <w:rsid w:val="004F1FAC"/>
    <w:rsid w:val="004F1FBB"/>
    <w:rsid w:val="004F1FE4"/>
    <w:rsid w:val="004F212A"/>
    <w:rsid w:val="004F217D"/>
    <w:rsid w:val="004F2426"/>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7BD"/>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17F9D"/>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D4E"/>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1F5D"/>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6DD0"/>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11"/>
    <w:rsid w:val="005508DC"/>
    <w:rsid w:val="00550BFF"/>
    <w:rsid w:val="00550CF4"/>
    <w:rsid w:val="00550DB7"/>
    <w:rsid w:val="00550F07"/>
    <w:rsid w:val="00550FC4"/>
    <w:rsid w:val="00551288"/>
    <w:rsid w:val="005513E0"/>
    <w:rsid w:val="005514EE"/>
    <w:rsid w:val="005516B2"/>
    <w:rsid w:val="0055194B"/>
    <w:rsid w:val="00551A60"/>
    <w:rsid w:val="00551B63"/>
    <w:rsid w:val="00551FED"/>
    <w:rsid w:val="005520B4"/>
    <w:rsid w:val="00552C21"/>
    <w:rsid w:val="00552DB9"/>
    <w:rsid w:val="00552E5E"/>
    <w:rsid w:val="00553081"/>
    <w:rsid w:val="005535AA"/>
    <w:rsid w:val="005535C2"/>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BC4"/>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397"/>
    <w:rsid w:val="0057546D"/>
    <w:rsid w:val="0057554A"/>
    <w:rsid w:val="00575822"/>
    <w:rsid w:val="00575973"/>
    <w:rsid w:val="00575DBA"/>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48D"/>
    <w:rsid w:val="0058255F"/>
    <w:rsid w:val="00582915"/>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061"/>
    <w:rsid w:val="005961F8"/>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609"/>
    <w:rsid w:val="005A4977"/>
    <w:rsid w:val="005A4A3A"/>
    <w:rsid w:val="005A4ECB"/>
    <w:rsid w:val="005A5135"/>
    <w:rsid w:val="005A54D4"/>
    <w:rsid w:val="005A5968"/>
    <w:rsid w:val="005A5B14"/>
    <w:rsid w:val="005A5B44"/>
    <w:rsid w:val="005A5BDE"/>
    <w:rsid w:val="005A602F"/>
    <w:rsid w:val="005A60E0"/>
    <w:rsid w:val="005A633C"/>
    <w:rsid w:val="005A6889"/>
    <w:rsid w:val="005A6BF6"/>
    <w:rsid w:val="005A6E15"/>
    <w:rsid w:val="005A6E9C"/>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18E"/>
    <w:rsid w:val="005F0231"/>
    <w:rsid w:val="005F02B2"/>
    <w:rsid w:val="005F0691"/>
    <w:rsid w:val="005F09F5"/>
    <w:rsid w:val="005F0A4B"/>
    <w:rsid w:val="005F0A74"/>
    <w:rsid w:val="005F0BF7"/>
    <w:rsid w:val="005F1311"/>
    <w:rsid w:val="005F14F7"/>
    <w:rsid w:val="005F1558"/>
    <w:rsid w:val="005F188D"/>
    <w:rsid w:val="005F1D8D"/>
    <w:rsid w:val="005F2107"/>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249"/>
    <w:rsid w:val="005F52DD"/>
    <w:rsid w:val="005F54FF"/>
    <w:rsid w:val="005F56AE"/>
    <w:rsid w:val="005F5978"/>
    <w:rsid w:val="005F5CB9"/>
    <w:rsid w:val="005F5E35"/>
    <w:rsid w:val="005F61FC"/>
    <w:rsid w:val="005F6447"/>
    <w:rsid w:val="005F645F"/>
    <w:rsid w:val="005F64CD"/>
    <w:rsid w:val="005F653A"/>
    <w:rsid w:val="005F6615"/>
    <w:rsid w:val="005F68A0"/>
    <w:rsid w:val="005F69B7"/>
    <w:rsid w:val="005F6AC0"/>
    <w:rsid w:val="005F6BFF"/>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1AF8"/>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764"/>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1EF"/>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27A"/>
    <w:rsid w:val="0062190D"/>
    <w:rsid w:val="006219AD"/>
    <w:rsid w:val="00621B7A"/>
    <w:rsid w:val="00621C4D"/>
    <w:rsid w:val="00621C61"/>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13"/>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336"/>
    <w:rsid w:val="00636542"/>
    <w:rsid w:val="006366DB"/>
    <w:rsid w:val="00636717"/>
    <w:rsid w:val="00636C84"/>
    <w:rsid w:val="00636CAE"/>
    <w:rsid w:val="00636DF1"/>
    <w:rsid w:val="00636E73"/>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457"/>
    <w:rsid w:val="00645512"/>
    <w:rsid w:val="006457C8"/>
    <w:rsid w:val="00645D23"/>
    <w:rsid w:val="00645EBF"/>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103"/>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8DE"/>
    <w:rsid w:val="00676904"/>
    <w:rsid w:val="0067695B"/>
    <w:rsid w:val="00677523"/>
    <w:rsid w:val="00677604"/>
    <w:rsid w:val="00677861"/>
    <w:rsid w:val="0067798F"/>
    <w:rsid w:val="00677AD6"/>
    <w:rsid w:val="006800E7"/>
    <w:rsid w:val="00680197"/>
    <w:rsid w:val="006804C4"/>
    <w:rsid w:val="00680500"/>
    <w:rsid w:val="006806CA"/>
    <w:rsid w:val="00680D30"/>
    <w:rsid w:val="00680ED3"/>
    <w:rsid w:val="00680F0D"/>
    <w:rsid w:val="00680F69"/>
    <w:rsid w:val="00681293"/>
    <w:rsid w:val="006816AC"/>
    <w:rsid w:val="00681933"/>
    <w:rsid w:val="0068194A"/>
    <w:rsid w:val="00681A7A"/>
    <w:rsid w:val="00681C42"/>
    <w:rsid w:val="00681D47"/>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864"/>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B63"/>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88F"/>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89"/>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B7"/>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324"/>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57D"/>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6F7F53"/>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29"/>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4D4E"/>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E0"/>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EF0"/>
    <w:rsid w:val="00723F44"/>
    <w:rsid w:val="00724316"/>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BE"/>
    <w:rsid w:val="00727856"/>
    <w:rsid w:val="00727AD4"/>
    <w:rsid w:val="00727BD2"/>
    <w:rsid w:val="00727F76"/>
    <w:rsid w:val="00730269"/>
    <w:rsid w:val="00730278"/>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5F4"/>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D8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A6D"/>
    <w:rsid w:val="00766F38"/>
    <w:rsid w:val="00767400"/>
    <w:rsid w:val="007675D8"/>
    <w:rsid w:val="0076768E"/>
    <w:rsid w:val="007676E5"/>
    <w:rsid w:val="00767700"/>
    <w:rsid w:val="0076771A"/>
    <w:rsid w:val="00767D35"/>
    <w:rsid w:val="00767D4F"/>
    <w:rsid w:val="00767E15"/>
    <w:rsid w:val="00767FD9"/>
    <w:rsid w:val="007700F8"/>
    <w:rsid w:val="007703E0"/>
    <w:rsid w:val="00770553"/>
    <w:rsid w:val="00770D59"/>
    <w:rsid w:val="00770D71"/>
    <w:rsid w:val="007713FB"/>
    <w:rsid w:val="00771693"/>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165"/>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2E8"/>
    <w:rsid w:val="00785562"/>
    <w:rsid w:val="00785A27"/>
    <w:rsid w:val="00785F6D"/>
    <w:rsid w:val="0078660B"/>
    <w:rsid w:val="00786A73"/>
    <w:rsid w:val="00786ACC"/>
    <w:rsid w:val="00786B12"/>
    <w:rsid w:val="00786CE9"/>
    <w:rsid w:val="00786D0E"/>
    <w:rsid w:val="00786D77"/>
    <w:rsid w:val="00787634"/>
    <w:rsid w:val="0078771B"/>
    <w:rsid w:val="00787778"/>
    <w:rsid w:val="0078784E"/>
    <w:rsid w:val="00787999"/>
    <w:rsid w:val="00787FCB"/>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2FC"/>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356"/>
    <w:rsid w:val="007A7600"/>
    <w:rsid w:val="007A7960"/>
    <w:rsid w:val="007B0002"/>
    <w:rsid w:val="007B017D"/>
    <w:rsid w:val="007B01AF"/>
    <w:rsid w:val="007B05C1"/>
    <w:rsid w:val="007B075C"/>
    <w:rsid w:val="007B083D"/>
    <w:rsid w:val="007B09B4"/>
    <w:rsid w:val="007B09D1"/>
    <w:rsid w:val="007B1265"/>
    <w:rsid w:val="007B14A0"/>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886"/>
    <w:rsid w:val="007C59EB"/>
    <w:rsid w:val="007C5A14"/>
    <w:rsid w:val="007C5C83"/>
    <w:rsid w:val="007C5D8A"/>
    <w:rsid w:val="007C6321"/>
    <w:rsid w:val="007C64EA"/>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995"/>
    <w:rsid w:val="007D1A42"/>
    <w:rsid w:val="007D1A5A"/>
    <w:rsid w:val="007D1AFC"/>
    <w:rsid w:val="007D1DE9"/>
    <w:rsid w:val="007D221D"/>
    <w:rsid w:val="007D269C"/>
    <w:rsid w:val="007D26D0"/>
    <w:rsid w:val="007D2B58"/>
    <w:rsid w:val="007D2B94"/>
    <w:rsid w:val="007D2CAF"/>
    <w:rsid w:val="007D31A0"/>
    <w:rsid w:val="007D34B9"/>
    <w:rsid w:val="007D35B2"/>
    <w:rsid w:val="007D38E8"/>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7E3"/>
    <w:rsid w:val="007F190C"/>
    <w:rsid w:val="007F19AA"/>
    <w:rsid w:val="007F2272"/>
    <w:rsid w:val="007F2306"/>
    <w:rsid w:val="007F26DB"/>
    <w:rsid w:val="007F2BFA"/>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758"/>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30A"/>
    <w:rsid w:val="00812AF2"/>
    <w:rsid w:val="00812CDD"/>
    <w:rsid w:val="00812D5C"/>
    <w:rsid w:val="00812E06"/>
    <w:rsid w:val="00813274"/>
    <w:rsid w:val="00813288"/>
    <w:rsid w:val="00813315"/>
    <w:rsid w:val="008133B2"/>
    <w:rsid w:val="008134F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9A"/>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74"/>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974"/>
    <w:rsid w:val="00832DA5"/>
    <w:rsid w:val="008331E9"/>
    <w:rsid w:val="008332FE"/>
    <w:rsid w:val="0083341C"/>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AA2"/>
    <w:rsid w:val="00841BFE"/>
    <w:rsid w:val="00841C7E"/>
    <w:rsid w:val="00841F59"/>
    <w:rsid w:val="00841F66"/>
    <w:rsid w:val="00842175"/>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A3E"/>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C2A"/>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750"/>
    <w:rsid w:val="00885D54"/>
    <w:rsid w:val="00885E17"/>
    <w:rsid w:val="008863A6"/>
    <w:rsid w:val="008865E3"/>
    <w:rsid w:val="008865F9"/>
    <w:rsid w:val="008866E0"/>
    <w:rsid w:val="008869F7"/>
    <w:rsid w:val="00886F5E"/>
    <w:rsid w:val="008872C2"/>
    <w:rsid w:val="008872C6"/>
    <w:rsid w:val="00887CAB"/>
    <w:rsid w:val="0089021A"/>
    <w:rsid w:val="008902C1"/>
    <w:rsid w:val="00890481"/>
    <w:rsid w:val="00890B56"/>
    <w:rsid w:val="00890BC3"/>
    <w:rsid w:val="00890ED1"/>
    <w:rsid w:val="00891182"/>
    <w:rsid w:val="008911CD"/>
    <w:rsid w:val="00891206"/>
    <w:rsid w:val="0089174D"/>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A0E"/>
    <w:rsid w:val="00897ED1"/>
    <w:rsid w:val="00897F20"/>
    <w:rsid w:val="008A0453"/>
    <w:rsid w:val="008A061D"/>
    <w:rsid w:val="008A07CE"/>
    <w:rsid w:val="008A07F0"/>
    <w:rsid w:val="008A0AEF"/>
    <w:rsid w:val="008A0C6F"/>
    <w:rsid w:val="008A0CD8"/>
    <w:rsid w:val="008A1392"/>
    <w:rsid w:val="008A1609"/>
    <w:rsid w:val="008A18B1"/>
    <w:rsid w:val="008A1BAA"/>
    <w:rsid w:val="008A1BC1"/>
    <w:rsid w:val="008A1E72"/>
    <w:rsid w:val="008A2413"/>
    <w:rsid w:val="008A25A6"/>
    <w:rsid w:val="008A2904"/>
    <w:rsid w:val="008A291F"/>
    <w:rsid w:val="008A2DFE"/>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78"/>
    <w:rsid w:val="008B76CC"/>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B39"/>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19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3EB"/>
    <w:rsid w:val="008D394B"/>
    <w:rsid w:val="008D3AC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5D9D"/>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3F5"/>
    <w:rsid w:val="008F1584"/>
    <w:rsid w:val="008F1635"/>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42"/>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5B7"/>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5DB"/>
    <w:rsid w:val="00906817"/>
    <w:rsid w:val="009069DA"/>
    <w:rsid w:val="00906C6F"/>
    <w:rsid w:val="009070A1"/>
    <w:rsid w:val="00907123"/>
    <w:rsid w:val="00907197"/>
    <w:rsid w:val="009073ED"/>
    <w:rsid w:val="00907604"/>
    <w:rsid w:val="00907A3F"/>
    <w:rsid w:val="00907AC2"/>
    <w:rsid w:val="00907B27"/>
    <w:rsid w:val="00907BBE"/>
    <w:rsid w:val="00907E9A"/>
    <w:rsid w:val="00910214"/>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D44"/>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2B"/>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5BA"/>
    <w:rsid w:val="0093175F"/>
    <w:rsid w:val="00931AB8"/>
    <w:rsid w:val="00931BC2"/>
    <w:rsid w:val="00931C54"/>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DC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A6"/>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0B1"/>
    <w:rsid w:val="00950292"/>
    <w:rsid w:val="0095032F"/>
    <w:rsid w:val="00950499"/>
    <w:rsid w:val="0095069E"/>
    <w:rsid w:val="00950724"/>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004"/>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D7"/>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8D4"/>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997"/>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D9C"/>
    <w:rsid w:val="009A2EA3"/>
    <w:rsid w:val="009A302F"/>
    <w:rsid w:val="009A3191"/>
    <w:rsid w:val="009A3367"/>
    <w:rsid w:val="009A39B2"/>
    <w:rsid w:val="009A3DA0"/>
    <w:rsid w:val="009A402B"/>
    <w:rsid w:val="009A41F0"/>
    <w:rsid w:val="009A4321"/>
    <w:rsid w:val="009A46B9"/>
    <w:rsid w:val="009A4744"/>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A2D"/>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7DD"/>
    <w:rsid w:val="009B296B"/>
    <w:rsid w:val="009B2B38"/>
    <w:rsid w:val="009B33C7"/>
    <w:rsid w:val="009B3615"/>
    <w:rsid w:val="009B3B3A"/>
    <w:rsid w:val="009B4268"/>
    <w:rsid w:val="009B433D"/>
    <w:rsid w:val="009B436C"/>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C56"/>
    <w:rsid w:val="009C2E33"/>
    <w:rsid w:val="009C2F12"/>
    <w:rsid w:val="009C3222"/>
    <w:rsid w:val="009C33D9"/>
    <w:rsid w:val="009C34D0"/>
    <w:rsid w:val="009C3526"/>
    <w:rsid w:val="009C3623"/>
    <w:rsid w:val="009C3A20"/>
    <w:rsid w:val="009C3CD6"/>
    <w:rsid w:val="009C3E2F"/>
    <w:rsid w:val="009C3E87"/>
    <w:rsid w:val="009C40AA"/>
    <w:rsid w:val="009C40EF"/>
    <w:rsid w:val="009C4496"/>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CDA"/>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5FCF"/>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CF8"/>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16C"/>
    <w:rsid w:val="00A00221"/>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A77"/>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C5"/>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21C"/>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59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92E"/>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07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3F8"/>
    <w:rsid w:val="00A534E0"/>
    <w:rsid w:val="00A535C9"/>
    <w:rsid w:val="00A53715"/>
    <w:rsid w:val="00A53735"/>
    <w:rsid w:val="00A5387E"/>
    <w:rsid w:val="00A53898"/>
    <w:rsid w:val="00A53936"/>
    <w:rsid w:val="00A53971"/>
    <w:rsid w:val="00A539D3"/>
    <w:rsid w:val="00A53B3D"/>
    <w:rsid w:val="00A53D4B"/>
    <w:rsid w:val="00A53DA8"/>
    <w:rsid w:val="00A54007"/>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97B"/>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55"/>
    <w:rsid w:val="00A6659E"/>
    <w:rsid w:val="00A665CD"/>
    <w:rsid w:val="00A66681"/>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299"/>
    <w:rsid w:val="00A8236D"/>
    <w:rsid w:val="00A823E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21"/>
    <w:rsid w:val="00A973E2"/>
    <w:rsid w:val="00A976F1"/>
    <w:rsid w:val="00A9775F"/>
    <w:rsid w:val="00A97A08"/>
    <w:rsid w:val="00A97CE6"/>
    <w:rsid w:val="00AA018E"/>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314"/>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0DE"/>
    <w:rsid w:val="00AB01F2"/>
    <w:rsid w:val="00AB0274"/>
    <w:rsid w:val="00AB036B"/>
    <w:rsid w:val="00AB039D"/>
    <w:rsid w:val="00AB03F7"/>
    <w:rsid w:val="00AB0436"/>
    <w:rsid w:val="00AB0AB9"/>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33"/>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66"/>
    <w:rsid w:val="00AC18D9"/>
    <w:rsid w:val="00AC2487"/>
    <w:rsid w:val="00AC2759"/>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41D"/>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D06"/>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76A"/>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0C6"/>
    <w:rsid w:val="00AF112A"/>
    <w:rsid w:val="00AF11C4"/>
    <w:rsid w:val="00AF1256"/>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5FD9"/>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2CC"/>
    <w:rsid w:val="00B0030E"/>
    <w:rsid w:val="00B00879"/>
    <w:rsid w:val="00B00938"/>
    <w:rsid w:val="00B00C29"/>
    <w:rsid w:val="00B00D80"/>
    <w:rsid w:val="00B012CA"/>
    <w:rsid w:val="00B01369"/>
    <w:rsid w:val="00B01A5A"/>
    <w:rsid w:val="00B01D56"/>
    <w:rsid w:val="00B01E3F"/>
    <w:rsid w:val="00B023FD"/>
    <w:rsid w:val="00B0249F"/>
    <w:rsid w:val="00B02584"/>
    <w:rsid w:val="00B02C47"/>
    <w:rsid w:val="00B035D9"/>
    <w:rsid w:val="00B03AAB"/>
    <w:rsid w:val="00B03AC1"/>
    <w:rsid w:val="00B03B1C"/>
    <w:rsid w:val="00B03BF2"/>
    <w:rsid w:val="00B04024"/>
    <w:rsid w:val="00B0414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51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07"/>
    <w:rsid w:val="00B332CB"/>
    <w:rsid w:val="00B33493"/>
    <w:rsid w:val="00B33494"/>
    <w:rsid w:val="00B336A3"/>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7C8"/>
    <w:rsid w:val="00B35996"/>
    <w:rsid w:val="00B35BF4"/>
    <w:rsid w:val="00B35E70"/>
    <w:rsid w:val="00B3614B"/>
    <w:rsid w:val="00B36749"/>
    <w:rsid w:val="00B36803"/>
    <w:rsid w:val="00B36921"/>
    <w:rsid w:val="00B36DE3"/>
    <w:rsid w:val="00B37757"/>
    <w:rsid w:val="00B37CC4"/>
    <w:rsid w:val="00B37D4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3EE1"/>
    <w:rsid w:val="00B441DB"/>
    <w:rsid w:val="00B443C1"/>
    <w:rsid w:val="00B44422"/>
    <w:rsid w:val="00B44674"/>
    <w:rsid w:val="00B44915"/>
    <w:rsid w:val="00B44C24"/>
    <w:rsid w:val="00B45079"/>
    <w:rsid w:val="00B4556A"/>
    <w:rsid w:val="00B45626"/>
    <w:rsid w:val="00B45AF9"/>
    <w:rsid w:val="00B45B79"/>
    <w:rsid w:val="00B45B7A"/>
    <w:rsid w:val="00B461AD"/>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6CA8"/>
    <w:rsid w:val="00B570F1"/>
    <w:rsid w:val="00B571A4"/>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DA9"/>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3E"/>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65B"/>
    <w:rsid w:val="00B82A7D"/>
    <w:rsid w:val="00B82C01"/>
    <w:rsid w:val="00B82C1F"/>
    <w:rsid w:val="00B82E52"/>
    <w:rsid w:val="00B8304C"/>
    <w:rsid w:val="00B83381"/>
    <w:rsid w:val="00B835A3"/>
    <w:rsid w:val="00B83E46"/>
    <w:rsid w:val="00B84184"/>
    <w:rsid w:val="00B843B6"/>
    <w:rsid w:val="00B84689"/>
    <w:rsid w:val="00B849C9"/>
    <w:rsid w:val="00B84A62"/>
    <w:rsid w:val="00B84D6B"/>
    <w:rsid w:val="00B84ED3"/>
    <w:rsid w:val="00B84F34"/>
    <w:rsid w:val="00B84F7F"/>
    <w:rsid w:val="00B853C7"/>
    <w:rsid w:val="00B85414"/>
    <w:rsid w:val="00B85465"/>
    <w:rsid w:val="00B85747"/>
    <w:rsid w:val="00B85FED"/>
    <w:rsid w:val="00B8645C"/>
    <w:rsid w:val="00B86801"/>
    <w:rsid w:val="00B86933"/>
    <w:rsid w:val="00B86BB1"/>
    <w:rsid w:val="00B86C48"/>
    <w:rsid w:val="00B87222"/>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119"/>
    <w:rsid w:val="00BB1628"/>
    <w:rsid w:val="00BB1803"/>
    <w:rsid w:val="00BB1837"/>
    <w:rsid w:val="00BB1857"/>
    <w:rsid w:val="00BB18C4"/>
    <w:rsid w:val="00BB1C14"/>
    <w:rsid w:val="00BB1CBA"/>
    <w:rsid w:val="00BB25A9"/>
    <w:rsid w:val="00BB27DE"/>
    <w:rsid w:val="00BB298C"/>
    <w:rsid w:val="00BB29AF"/>
    <w:rsid w:val="00BB2ABC"/>
    <w:rsid w:val="00BB2BE8"/>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12"/>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C7EEC"/>
    <w:rsid w:val="00BD0322"/>
    <w:rsid w:val="00BD05D8"/>
    <w:rsid w:val="00BD06E7"/>
    <w:rsid w:val="00BD0A2B"/>
    <w:rsid w:val="00BD0B00"/>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C37"/>
    <w:rsid w:val="00BD6DFD"/>
    <w:rsid w:val="00BD6FDD"/>
    <w:rsid w:val="00BD7460"/>
    <w:rsid w:val="00BD74BF"/>
    <w:rsid w:val="00BD7CA5"/>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C"/>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1BB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0B"/>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D8E"/>
    <w:rsid w:val="00C23EC1"/>
    <w:rsid w:val="00C240BF"/>
    <w:rsid w:val="00C240EE"/>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A74"/>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D6D"/>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119"/>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6D27"/>
    <w:rsid w:val="00C472B8"/>
    <w:rsid w:val="00C472DF"/>
    <w:rsid w:val="00C4730A"/>
    <w:rsid w:val="00C4751E"/>
    <w:rsid w:val="00C4751F"/>
    <w:rsid w:val="00C47594"/>
    <w:rsid w:val="00C47A2C"/>
    <w:rsid w:val="00C47AA1"/>
    <w:rsid w:val="00C47C2D"/>
    <w:rsid w:val="00C50676"/>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5D"/>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5B6"/>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3F38"/>
    <w:rsid w:val="00C640FD"/>
    <w:rsid w:val="00C641E9"/>
    <w:rsid w:val="00C64322"/>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67D4A"/>
    <w:rsid w:val="00C70017"/>
    <w:rsid w:val="00C7026C"/>
    <w:rsid w:val="00C7031D"/>
    <w:rsid w:val="00C704C0"/>
    <w:rsid w:val="00C704C9"/>
    <w:rsid w:val="00C70720"/>
    <w:rsid w:val="00C70A1C"/>
    <w:rsid w:val="00C70BC1"/>
    <w:rsid w:val="00C70ED2"/>
    <w:rsid w:val="00C71189"/>
    <w:rsid w:val="00C71357"/>
    <w:rsid w:val="00C71824"/>
    <w:rsid w:val="00C71889"/>
    <w:rsid w:val="00C7198A"/>
    <w:rsid w:val="00C72074"/>
    <w:rsid w:val="00C7217C"/>
    <w:rsid w:val="00C7228A"/>
    <w:rsid w:val="00C7233C"/>
    <w:rsid w:val="00C72406"/>
    <w:rsid w:val="00C7288A"/>
    <w:rsid w:val="00C72BA9"/>
    <w:rsid w:val="00C72C42"/>
    <w:rsid w:val="00C732CF"/>
    <w:rsid w:val="00C737F5"/>
    <w:rsid w:val="00C73805"/>
    <w:rsid w:val="00C738CF"/>
    <w:rsid w:val="00C73A42"/>
    <w:rsid w:val="00C73B99"/>
    <w:rsid w:val="00C73CD4"/>
    <w:rsid w:val="00C73DD4"/>
    <w:rsid w:val="00C74147"/>
    <w:rsid w:val="00C74327"/>
    <w:rsid w:val="00C7442A"/>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3A0"/>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4B0"/>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3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2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598"/>
    <w:rsid w:val="00CA6759"/>
    <w:rsid w:val="00CA6CB0"/>
    <w:rsid w:val="00CA76F9"/>
    <w:rsid w:val="00CA7700"/>
    <w:rsid w:val="00CA7755"/>
    <w:rsid w:val="00CA776B"/>
    <w:rsid w:val="00CA7A40"/>
    <w:rsid w:val="00CA7AA0"/>
    <w:rsid w:val="00CA7BAC"/>
    <w:rsid w:val="00CA7E32"/>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428"/>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381"/>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E1C"/>
    <w:rsid w:val="00CD4EBB"/>
    <w:rsid w:val="00CD5571"/>
    <w:rsid w:val="00CD5775"/>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0E8F"/>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2D3F"/>
    <w:rsid w:val="00D0325B"/>
    <w:rsid w:val="00D03729"/>
    <w:rsid w:val="00D03C56"/>
    <w:rsid w:val="00D03CE1"/>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83F"/>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1AC"/>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6FB"/>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9D8"/>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7BE"/>
    <w:rsid w:val="00D42928"/>
    <w:rsid w:val="00D42AB7"/>
    <w:rsid w:val="00D42D74"/>
    <w:rsid w:val="00D42FF7"/>
    <w:rsid w:val="00D43048"/>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1D"/>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A34"/>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96"/>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3FB6"/>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59F"/>
    <w:rsid w:val="00D8562E"/>
    <w:rsid w:val="00D85B61"/>
    <w:rsid w:val="00D85FDD"/>
    <w:rsid w:val="00D862D7"/>
    <w:rsid w:val="00D866CC"/>
    <w:rsid w:val="00D86929"/>
    <w:rsid w:val="00D869CB"/>
    <w:rsid w:val="00D86AF6"/>
    <w:rsid w:val="00D86CDC"/>
    <w:rsid w:val="00D86D0A"/>
    <w:rsid w:val="00D86E1C"/>
    <w:rsid w:val="00D870FF"/>
    <w:rsid w:val="00D873CB"/>
    <w:rsid w:val="00D874B9"/>
    <w:rsid w:val="00D877C5"/>
    <w:rsid w:val="00D879F1"/>
    <w:rsid w:val="00D87A6E"/>
    <w:rsid w:val="00D87D83"/>
    <w:rsid w:val="00D87EAA"/>
    <w:rsid w:val="00D900EF"/>
    <w:rsid w:val="00D90555"/>
    <w:rsid w:val="00D907B3"/>
    <w:rsid w:val="00D9089A"/>
    <w:rsid w:val="00D90932"/>
    <w:rsid w:val="00D90C91"/>
    <w:rsid w:val="00D90CD2"/>
    <w:rsid w:val="00D912E6"/>
    <w:rsid w:val="00D913F5"/>
    <w:rsid w:val="00D915E1"/>
    <w:rsid w:val="00D915EE"/>
    <w:rsid w:val="00D91A7C"/>
    <w:rsid w:val="00D91D74"/>
    <w:rsid w:val="00D91E68"/>
    <w:rsid w:val="00D9201D"/>
    <w:rsid w:val="00D923E5"/>
    <w:rsid w:val="00D924F3"/>
    <w:rsid w:val="00D925AB"/>
    <w:rsid w:val="00D92877"/>
    <w:rsid w:val="00D9294C"/>
    <w:rsid w:val="00D92A24"/>
    <w:rsid w:val="00D92AB6"/>
    <w:rsid w:val="00D92BFF"/>
    <w:rsid w:val="00D92DE5"/>
    <w:rsid w:val="00D92F09"/>
    <w:rsid w:val="00D930B9"/>
    <w:rsid w:val="00D93630"/>
    <w:rsid w:val="00D937F1"/>
    <w:rsid w:val="00D93AB8"/>
    <w:rsid w:val="00D93FD0"/>
    <w:rsid w:val="00D940D6"/>
    <w:rsid w:val="00D941A4"/>
    <w:rsid w:val="00D942BE"/>
    <w:rsid w:val="00D944F1"/>
    <w:rsid w:val="00D9471D"/>
    <w:rsid w:val="00D94A2A"/>
    <w:rsid w:val="00D94A4A"/>
    <w:rsid w:val="00D94A8C"/>
    <w:rsid w:val="00D94B40"/>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0F90"/>
    <w:rsid w:val="00DA10CD"/>
    <w:rsid w:val="00DA14F6"/>
    <w:rsid w:val="00DA1801"/>
    <w:rsid w:val="00DA1803"/>
    <w:rsid w:val="00DA1F2D"/>
    <w:rsid w:val="00DA1F83"/>
    <w:rsid w:val="00DA2176"/>
    <w:rsid w:val="00DA2223"/>
    <w:rsid w:val="00DA22ED"/>
    <w:rsid w:val="00DA26B8"/>
    <w:rsid w:val="00DA26FA"/>
    <w:rsid w:val="00DA2720"/>
    <w:rsid w:val="00DA2774"/>
    <w:rsid w:val="00DA2838"/>
    <w:rsid w:val="00DA2885"/>
    <w:rsid w:val="00DA2CBD"/>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0FE2"/>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1E5"/>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471"/>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3FF"/>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63"/>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5CAC"/>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6FD9"/>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7CE"/>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1EB4"/>
    <w:rsid w:val="00E22096"/>
    <w:rsid w:val="00E221B9"/>
    <w:rsid w:val="00E221F8"/>
    <w:rsid w:val="00E22335"/>
    <w:rsid w:val="00E2251F"/>
    <w:rsid w:val="00E228E5"/>
    <w:rsid w:val="00E22B6E"/>
    <w:rsid w:val="00E22C48"/>
    <w:rsid w:val="00E22C52"/>
    <w:rsid w:val="00E22D99"/>
    <w:rsid w:val="00E23159"/>
    <w:rsid w:val="00E23263"/>
    <w:rsid w:val="00E23366"/>
    <w:rsid w:val="00E23376"/>
    <w:rsid w:val="00E236C6"/>
    <w:rsid w:val="00E23885"/>
    <w:rsid w:val="00E238B8"/>
    <w:rsid w:val="00E239C3"/>
    <w:rsid w:val="00E23ABC"/>
    <w:rsid w:val="00E23AE2"/>
    <w:rsid w:val="00E23B6E"/>
    <w:rsid w:val="00E23B9A"/>
    <w:rsid w:val="00E23C28"/>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A80"/>
    <w:rsid w:val="00E26C84"/>
    <w:rsid w:val="00E26D53"/>
    <w:rsid w:val="00E26DF7"/>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C73"/>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B7"/>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3FC"/>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4909"/>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724"/>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068"/>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1FC5"/>
    <w:rsid w:val="00E7206D"/>
    <w:rsid w:val="00E720FB"/>
    <w:rsid w:val="00E72697"/>
    <w:rsid w:val="00E726BB"/>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50B"/>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C18"/>
    <w:rsid w:val="00E82D4C"/>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845"/>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112"/>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229"/>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1F2"/>
    <w:rsid w:val="00EA6602"/>
    <w:rsid w:val="00EA6ECA"/>
    <w:rsid w:val="00EA7007"/>
    <w:rsid w:val="00EA73A2"/>
    <w:rsid w:val="00EA75DC"/>
    <w:rsid w:val="00EA7828"/>
    <w:rsid w:val="00EA7A72"/>
    <w:rsid w:val="00EA7B2F"/>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67D"/>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0EC"/>
    <w:rsid w:val="00EE035C"/>
    <w:rsid w:val="00EE05F4"/>
    <w:rsid w:val="00EE0926"/>
    <w:rsid w:val="00EE0932"/>
    <w:rsid w:val="00EE0A27"/>
    <w:rsid w:val="00EE0D82"/>
    <w:rsid w:val="00EE0DA7"/>
    <w:rsid w:val="00EE0E57"/>
    <w:rsid w:val="00EE0ED5"/>
    <w:rsid w:val="00EE1019"/>
    <w:rsid w:val="00EE1023"/>
    <w:rsid w:val="00EE10D5"/>
    <w:rsid w:val="00EE161B"/>
    <w:rsid w:val="00EE1622"/>
    <w:rsid w:val="00EE1951"/>
    <w:rsid w:val="00EE1B3E"/>
    <w:rsid w:val="00EE1BB6"/>
    <w:rsid w:val="00EE1E5C"/>
    <w:rsid w:val="00EE203B"/>
    <w:rsid w:val="00EE204E"/>
    <w:rsid w:val="00EE21AE"/>
    <w:rsid w:val="00EE272B"/>
    <w:rsid w:val="00EE27E9"/>
    <w:rsid w:val="00EE281B"/>
    <w:rsid w:val="00EE29B5"/>
    <w:rsid w:val="00EE2AAE"/>
    <w:rsid w:val="00EE2D67"/>
    <w:rsid w:val="00EE2DB3"/>
    <w:rsid w:val="00EE2F6C"/>
    <w:rsid w:val="00EE3073"/>
    <w:rsid w:val="00EE3153"/>
    <w:rsid w:val="00EE3257"/>
    <w:rsid w:val="00EE35CE"/>
    <w:rsid w:val="00EE3916"/>
    <w:rsid w:val="00EE3964"/>
    <w:rsid w:val="00EE3B00"/>
    <w:rsid w:val="00EE442F"/>
    <w:rsid w:val="00EE4446"/>
    <w:rsid w:val="00EE4465"/>
    <w:rsid w:val="00EE45B8"/>
    <w:rsid w:val="00EE4A2C"/>
    <w:rsid w:val="00EE4AA2"/>
    <w:rsid w:val="00EE4BBF"/>
    <w:rsid w:val="00EE4EC1"/>
    <w:rsid w:val="00EE5154"/>
    <w:rsid w:val="00EE554C"/>
    <w:rsid w:val="00EE56B6"/>
    <w:rsid w:val="00EE56C9"/>
    <w:rsid w:val="00EE5ADD"/>
    <w:rsid w:val="00EE5C77"/>
    <w:rsid w:val="00EE5D24"/>
    <w:rsid w:val="00EE5E56"/>
    <w:rsid w:val="00EE5F0D"/>
    <w:rsid w:val="00EE623A"/>
    <w:rsid w:val="00EE6344"/>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EF7EB9"/>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231"/>
    <w:rsid w:val="00F06830"/>
    <w:rsid w:val="00F06A6B"/>
    <w:rsid w:val="00F06D2A"/>
    <w:rsid w:val="00F06E36"/>
    <w:rsid w:val="00F07501"/>
    <w:rsid w:val="00F07789"/>
    <w:rsid w:val="00F101BC"/>
    <w:rsid w:val="00F102C5"/>
    <w:rsid w:val="00F104E1"/>
    <w:rsid w:val="00F10541"/>
    <w:rsid w:val="00F108F3"/>
    <w:rsid w:val="00F109AA"/>
    <w:rsid w:val="00F110EE"/>
    <w:rsid w:val="00F11159"/>
    <w:rsid w:val="00F11195"/>
    <w:rsid w:val="00F11230"/>
    <w:rsid w:val="00F115B0"/>
    <w:rsid w:val="00F11A18"/>
    <w:rsid w:val="00F11B05"/>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457"/>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38C"/>
    <w:rsid w:val="00F2443F"/>
    <w:rsid w:val="00F24580"/>
    <w:rsid w:val="00F24607"/>
    <w:rsid w:val="00F247D4"/>
    <w:rsid w:val="00F24A48"/>
    <w:rsid w:val="00F24A59"/>
    <w:rsid w:val="00F25012"/>
    <w:rsid w:val="00F25485"/>
    <w:rsid w:val="00F25969"/>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60B"/>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6953"/>
    <w:rsid w:val="00F3716D"/>
    <w:rsid w:val="00F37280"/>
    <w:rsid w:val="00F37762"/>
    <w:rsid w:val="00F377AF"/>
    <w:rsid w:val="00F37864"/>
    <w:rsid w:val="00F37875"/>
    <w:rsid w:val="00F3793F"/>
    <w:rsid w:val="00F37C56"/>
    <w:rsid w:val="00F37EB0"/>
    <w:rsid w:val="00F37FA3"/>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0A6"/>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44"/>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078"/>
    <w:rsid w:val="00F7118F"/>
    <w:rsid w:val="00F712A5"/>
    <w:rsid w:val="00F71364"/>
    <w:rsid w:val="00F7141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3965"/>
    <w:rsid w:val="00F742FE"/>
    <w:rsid w:val="00F74427"/>
    <w:rsid w:val="00F7480D"/>
    <w:rsid w:val="00F74B21"/>
    <w:rsid w:val="00F74BC8"/>
    <w:rsid w:val="00F7520F"/>
    <w:rsid w:val="00F753AA"/>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45D"/>
    <w:rsid w:val="00F91A11"/>
    <w:rsid w:val="00F91A18"/>
    <w:rsid w:val="00F91F66"/>
    <w:rsid w:val="00F92025"/>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4F2A"/>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23C"/>
    <w:rsid w:val="00FA04D6"/>
    <w:rsid w:val="00FA04EF"/>
    <w:rsid w:val="00FA04F0"/>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5FDD"/>
    <w:rsid w:val="00FC608D"/>
    <w:rsid w:val="00FC60A5"/>
    <w:rsid w:val="00FC617F"/>
    <w:rsid w:val="00FC6372"/>
    <w:rsid w:val="00FC63C2"/>
    <w:rsid w:val="00FC64F6"/>
    <w:rsid w:val="00FC656F"/>
    <w:rsid w:val="00FC672F"/>
    <w:rsid w:val="00FC6C1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A4C"/>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AE"/>
    <w:rsid w:val="00FE04B8"/>
    <w:rsid w:val="00FE0523"/>
    <w:rsid w:val="00FE07C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BBF"/>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88D"/>
    <w:rsid w:val="00FE6A92"/>
    <w:rsid w:val="00FE6B9A"/>
    <w:rsid w:val="00FE6FB2"/>
    <w:rsid w:val="00FE7026"/>
    <w:rsid w:val="00FE738E"/>
    <w:rsid w:val="00FE7614"/>
    <w:rsid w:val="00FE76B0"/>
    <w:rsid w:val="00FE7B92"/>
    <w:rsid w:val="00FF0004"/>
    <w:rsid w:val="00FF0264"/>
    <w:rsid w:val="00FF037E"/>
    <w:rsid w:val="00FF0476"/>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01C"/>
    <w:rsid w:val="00FF524E"/>
    <w:rsid w:val="00FF52B6"/>
    <w:rsid w:val="00FF562A"/>
    <w:rsid w:val="00FF56EE"/>
    <w:rsid w:val="00FF56F6"/>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57"/>
    <w:pPr>
      <w:spacing w:after="240"/>
      <w:jc w:val="both"/>
    </w:pPr>
    <w:rPr>
      <w:rFonts w:ascii="Courier New" w:hAnsi="Courier New"/>
      <w:sz w:val="24"/>
      <w:lang w:val="fr-FR"/>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style>
  <w:style w:type="paragraph" w:customStyle="1" w:styleId="Commissionparlementaire">
    <w:name w:val="Commission parlementaire"/>
    <w:basedOn w:val="Titreobjet"/>
    <w:next w:val="Normal"/>
    <w:pPr>
      <w:spacing w:after="480"/>
    </w:p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uiPriority w:val="99"/>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21"/>
      </w:numPr>
    </w:pPr>
  </w:style>
  <w:style w:type="numbering" w:customStyle="1" w:styleId="Text2">
    <w:name w:val="ImportedStyle1"/>
    <w:pPr>
      <w:numPr>
        <w:numId w:val="23"/>
      </w:numPr>
    </w:pPr>
  </w:style>
  <w:style w:type="numbering" w:customStyle="1" w:styleId="Text3">
    <w:name w:val="WWNum1"/>
    <w:pPr>
      <w:numPr>
        <w:numId w:val="25"/>
      </w:numPr>
    </w:pPr>
  </w:style>
  <w:style w:type="numbering" w:customStyle="1" w:styleId="Text4">
    <w:name w:val="ImportedStyle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842936704">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62708134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 w:id="213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F195-BB4E-4AD5-A043-44999D5B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2</TotalTime>
  <Pages>2</Pages>
  <Words>432</Words>
  <Characters>2466</Characters>
  <Application>Microsoft Office Word</Application>
  <DocSecurity>0</DocSecurity>
  <PresentationFormat>Microsoft Word 8.0b</PresentationFormat>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2893</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2018-09-04T13:45:00Z</cp:lastPrinted>
  <dcterms:created xsi:type="dcterms:W3CDTF">2018-11-13T07:05:00Z</dcterms:created>
  <dcterms:modified xsi:type="dcterms:W3CDTF">2018-11-13T07:07:00Z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