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883" w:rsidRDefault="008C6883" w:rsidP="008C6883">
      <w:pPr>
        <w:pStyle w:val="Default"/>
        <w:rPr>
          <w:b/>
          <w:bCs/>
          <w:sz w:val="23"/>
          <w:szCs w:val="23"/>
        </w:rPr>
      </w:pPr>
      <w:r>
        <w:rPr>
          <w:b/>
          <w:bCs/>
          <w:sz w:val="23"/>
          <w:szCs w:val="23"/>
        </w:rPr>
        <w:t xml:space="preserve">ORDINARY LEGISLATIVE PROCEDURE – First reading </w:t>
      </w:r>
    </w:p>
    <w:p w:rsidR="008C6883" w:rsidRDefault="008C6883" w:rsidP="008C6883">
      <w:pPr>
        <w:pStyle w:val="Default"/>
        <w:rPr>
          <w:sz w:val="23"/>
          <w:szCs w:val="23"/>
        </w:rPr>
      </w:pPr>
    </w:p>
    <w:p w:rsidR="008C6883" w:rsidRDefault="008C6883" w:rsidP="008C6883">
      <w:pPr>
        <w:pStyle w:val="Default"/>
        <w:rPr>
          <w:b/>
          <w:bCs/>
          <w:sz w:val="23"/>
          <w:szCs w:val="23"/>
        </w:rPr>
      </w:pPr>
      <w:r>
        <w:rPr>
          <w:b/>
          <w:bCs/>
          <w:sz w:val="23"/>
          <w:szCs w:val="23"/>
        </w:rPr>
        <w:t xml:space="preserve">Follow up to the European Parliament legislative resolution on the proposal for a regulation of the European Parliament and of the Council on the law applicable to the third-party effects of assignments of claims </w:t>
      </w:r>
    </w:p>
    <w:p w:rsidR="008C6883" w:rsidRDefault="008C6883" w:rsidP="008C6883">
      <w:pPr>
        <w:pStyle w:val="Default"/>
        <w:rPr>
          <w:sz w:val="23"/>
          <w:szCs w:val="23"/>
        </w:rPr>
      </w:pPr>
      <w:bookmarkStart w:id="0" w:name="_GoBack"/>
      <w:bookmarkEnd w:id="0"/>
    </w:p>
    <w:p w:rsidR="008C6883" w:rsidRPr="008C6883" w:rsidRDefault="008C6883" w:rsidP="008C6883">
      <w:pPr>
        <w:pStyle w:val="Default"/>
        <w:rPr>
          <w:sz w:val="23"/>
          <w:szCs w:val="23"/>
          <w:lang w:val="fr-FR"/>
        </w:rPr>
      </w:pPr>
      <w:r w:rsidRPr="008C6883">
        <w:rPr>
          <w:b/>
          <w:bCs/>
          <w:sz w:val="23"/>
          <w:szCs w:val="23"/>
          <w:lang w:val="fr-FR"/>
        </w:rPr>
        <w:t xml:space="preserve">1. Rapporteur: </w:t>
      </w:r>
      <w:r w:rsidRPr="008C6883">
        <w:rPr>
          <w:sz w:val="23"/>
          <w:szCs w:val="23"/>
          <w:lang w:val="fr-FR"/>
        </w:rPr>
        <w:t xml:space="preserve">Pavel SVOBODA (EPP / CZ) </w:t>
      </w:r>
    </w:p>
    <w:p w:rsidR="008C6883" w:rsidRDefault="008C6883" w:rsidP="008C6883">
      <w:pPr>
        <w:pStyle w:val="Default"/>
        <w:rPr>
          <w:sz w:val="23"/>
          <w:szCs w:val="23"/>
        </w:rPr>
      </w:pPr>
      <w:r>
        <w:rPr>
          <w:b/>
          <w:bCs/>
          <w:sz w:val="23"/>
          <w:szCs w:val="23"/>
        </w:rPr>
        <w:t xml:space="preserve">2. Reference numbers: </w:t>
      </w:r>
      <w:r>
        <w:rPr>
          <w:sz w:val="23"/>
          <w:szCs w:val="23"/>
        </w:rPr>
        <w:t>2018/0044 (COD) / A8-0261/2018 / P8_TA-</w:t>
      </w:r>
      <w:proofErr w:type="gramStart"/>
      <w:r>
        <w:rPr>
          <w:sz w:val="23"/>
          <w:szCs w:val="23"/>
        </w:rPr>
        <w:t>PROV(</w:t>
      </w:r>
      <w:proofErr w:type="gramEnd"/>
      <w:r>
        <w:rPr>
          <w:sz w:val="23"/>
          <w:szCs w:val="23"/>
        </w:rPr>
        <w:t xml:space="preserve">2019)0086 </w:t>
      </w:r>
    </w:p>
    <w:p w:rsidR="008C6883" w:rsidRDefault="008C6883" w:rsidP="008C6883">
      <w:pPr>
        <w:pStyle w:val="Default"/>
        <w:rPr>
          <w:sz w:val="23"/>
          <w:szCs w:val="23"/>
        </w:rPr>
      </w:pPr>
      <w:r>
        <w:rPr>
          <w:b/>
          <w:bCs/>
          <w:sz w:val="23"/>
          <w:szCs w:val="23"/>
        </w:rPr>
        <w:t xml:space="preserve">3. Date of adoption of the resolution: </w:t>
      </w:r>
      <w:r>
        <w:rPr>
          <w:sz w:val="23"/>
          <w:szCs w:val="23"/>
        </w:rPr>
        <w:t xml:space="preserve">13 February 2019 </w:t>
      </w:r>
    </w:p>
    <w:p w:rsidR="008C6883" w:rsidRDefault="008C6883" w:rsidP="008C6883">
      <w:pPr>
        <w:pStyle w:val="Default"/>
        <w:rPr>
          <w:sz w:val="23"/>
          <w:szCs w:val="23"/>
        </w:rPr>
      </w:pPr>
      <w:r>
        <w:rPr>
          <w:b/>
          <w:bCs/>
          <w:sz w:val="23"/>
          <w:szCs w:val="23"/>
        </w:rPr>
        <w:t xml:space="preserve">4. Legal basis: </w:t>
      </w:r>
      <w:r>
        <w:rPr>
          <w:sz w:val="23"/>
          <w:szCs w:val="23"/>
        </w:rPr>
        <w:t xml:space="preserve">Article 81(2) of the Treaty on the Functioning of the European Union </w:t>
      </w:r>
    </w:p>
    <w:p w:rsidR="008C6883" w:rsidRDefault="008C6883" w:rsidP="008C6883">
      <w:pPr>
        <w:pStyle w:val="Default"/>
        <w:rPr>
          <w:sz w:val="23"/>
          <w:szCs w:val="23"/>
        </w:rPr>
      </w:pPr>
      <w:r>
        <w:rPr>
          <w:b/>
          <w:bCs/>
          <w:sz w:val="23"/>
          <w:szCs w:val="23"/>
        </w:rPr>
        <w:t xml:space="preserve">5. Competent Parliamentary Committee: </w:t>
      </w:r>
      <w:r>
        <w:rPr>
          <w:sz w:val="23"/>
          <w:szCs w:val="23"/>
        </w:rPr>
        <w:t xml:space="preserve">Committee on Legal Affairs (JURI) </w:t>
      </w:r>
    </w:p>
    <w:p w:rsidR="008C6883" w:rsidRDefault="008C6883" w:rsidP="008C6883">
      <w:pPr>
        <w:pStyle w:val="Default"/>
        <w:rPr>
          <w:sz w:val="23"/>
          <w:szCs w:val="23"/>
        </w:rPr>
      </w:pPr>
      <w:r>
        <w:rPr>
          <w:b/>
          <w:bCs/>
          <w:sz w:val="23"/>
          <w:szCs w:val="23"/>
        </w:rPr>
        <w:t xml:space="preserve">6. Commission's position: </w:t>
      </w:r>
      <w:r>
        <w:rPr>
          <w:sz w:val="23"/>
          <w:szCs w:val="23"/>
        </w:rPr>
        <w:t xml:space="preserve">The European Parliament supports the proposal and its aims. The Commission reserves its position on all the amendments of the European Parliament. However, it expresses its particular concern regarding the following: </w:t>
      </w:r>
    </w:p>
    <w:p w:rsidR="008C6883" w:rsidRDefault="008C6883" w:rsidP="008C6883">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Amendment 12 </w:t>
      </w:r>
      <w:r>
        <w:rPr>
          <w:sz w:val="23"/>
          <w:szCs w:val="23"/>
        </w:rPr>
        <w:t xml:space="preserve">(Recital 28 of COM proposal) together with </w:t>
      </w:r>
      <w:r>
        <w:rPr>
          <w:b/>
          <w:bCs/>
          <w:sz w:val="23"/>
          <w:szCs w:val="23"/>
        </w:rPr>
        <w:t xml:space="preserve">amendment 22 </w:t>
      </w:r>
      <w:r>
        <w:rPr>
          <w:sz w:val="23"/>
          <w:szCs w:val="23"/>
        </w:rPr>
        <w:t xml:space="preserve">(Article 4(3) of COM Proposal) on the elimination of the choice of law for securitisation. </w:t>
      </w:r>
    </w:p>
    <w:p w:rsidR="008765BE" w:rsidRDefault="008765BE"/>
    <w:sectPr w:rsidR="008765BE" w:rsidSect="001E77D3">
      <w:pgSz w:w="11906" w:h="17338"/>
      <w:pgMar w:top="1132" w:right="829" w:bottom="659" w:left="118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83"/>
    <w:rsid w:val="005762E3"/>
    <w:rsid w:val="008765BE"/>
    <w:rsid w:val="008C6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1234"/>
  <w15:chartTrackingRefBased/>
  <w15:docId w15:val="{0F44AE14-43D4-4C19-AE74-14116176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customStyle="1" w:styleId="Default">
    <w:name w:val="Default"/>
    <w:rsid w:val="008C688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Company>European Parliament</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2019-07-01T12:35:00Z</dcterms:created>
  <dcterms:modified xsi:type="dcterms:W3CDTF">2019-07-01T12:42:00Z</dcterms:modified>
</cp:coreProperties>
</file>