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96" w:rsidRPr="00176D53" w:rsidRDefault="005D2096" w:rsidP="005D2096">
      <w:pPr>
        <w:spacing w:after="720"/>
        <w:ind w:right="-30"/>
        <w:jc w:val="center"/>
        <w:rPr>
          <w:rFonts w:ascii="Times New Roman" w:hAnsi="Times New Roman"/>
          <w:b/>
          <w:bCs/>
          <w:lang w:val="fr-BE"/>
        </w:rPr>
      </w:pPr>
      <w:r w:rsidRPr="00176D53">
        <w:rPr>
          <w:rFonts w:ascii="Times New Roman" w:hAnsi="Times New Roman"/>
          <w:b/>
          <w:lang w:val="fr-BE"/>
        </w:rPr>
        <w:t xml:space="preserve">Suite donnée à la résolution non législative du Parlement européen sur </w:t>
      </w:r>
      <w:r w:rsidRPr="00176D53">
        <w:rPr>
          <w:rFonts w:ascii="Times New Roman" w:hAnsi="Times New Roman"/>
          <w:b/>
          <w:szCs w:val="24"/>
          <w:lang w:val="fr-BE"/>
        </w:rPr>
        <w:br/>
      </w:r>
      <w:r w:rsidRPr="00176D53">
        <w:rPr>
          <w:rFonts w:ascii="Times New Roman" w:hAnsi="Times New Roman"/>
          <w:b/>
          <w:lang w:val="fr-BE"/>
        </w:rPr>
        <w:t xml:space="preserve">la mise en œuvre du paquet «économie circulaire»: solutions possibles </w:t>
      </w:r>
      <w:r w:rsidRPr="00176D53">
        <w:rPr>
          <w:rFonts w:ascii="Times New Roman" w:hAnsi="Times New Roman"/>
          <w:b/>
          <w:szCs w:val="24"/>
          <w:lang w:val="fr-BE"/>
        </w:rPr>
        <w:br/>
      </w:r>
      <w:r w:rsidRPr="00176D53">
        <w:rPr>
          <w:rFonts w:ascii="Times New Roman" w:hAnsi="Times New Roman"/>
          <w:b/>
          <w:lang w:val="fr-BE"/>
        </w:rPr>
        <w:t>pour les questions à l’interface entre les textes législatifs relatifs aux substances chimiques, aux produits et aux déchets</w:t>
      </w:r>
    </w:p>
    <w:p w:rsidR="005D2096" w:rsidRPr="00176D53" w:rsidRDefault="005D2096" w:rsidP="00C54B90">
      <w:pPr>
        <w:numPr>
          <w:ilvl w:val="0"/>
          <w:numId w:val="1"/>
        </w:numPr>
        <w:ind w:left="567" w:right="-28" w:hanging="567"/>
        <w:rPr>
          <w:rFonts w:ascii="Times New Roman" w:hAnsi="Times New Roman"/>
          <w:b/>
          <w:szCs w:val="24"/>
          <w:lang w:val="fr-BE"/>
        </w:rPr>
      </w:pPr>
      <w:r w:rsidRPr="00176D53">
        <w:rPr>
          <w:rFonts w:ascii="Times New Roman" w:hAnsi="Times New Roman"/>
          <w:b/>
          <w:lang w:val="fr-BE"/>
        </w:rPr>
        <w:t>Résolution présentée, conformément à l’article </w:t>
      </w:r>
      <w:r w:rsidRPr="003408AC">
        <w:rPr>
          <w:rFonts w:ascii="Times New Roman" w:hAnsi="Times New Roman"/>
          <w:b/>
          <w:lang w:val="fr-BE"/>
        </w:rPr>
        <w:t>128</w:t>
      </w:r>
      <w:r w:rsidRPr="00176D53">
        <w:rPr>
          <w:rFonts w:ascii="Times New Roman" w:hAnsi="Times New Roman"/>
          <w:b/>
          <w:lang w:val="fr-BE"/>
        </w:rPr>
        <w:t>, paragraphe </w:t>
      </w:r>
      <w:r w:rsidRPr="003408AC">
        <w:rPr>
          <w:rFonts w:ascii="Times New Roman" w:hAnsi="Times New Roman"/>
          <w:b/>
          <w:lang w:val="fr-BE"/>
        </w:rPr>
        <w:t>5</w:t>
      </w:r>
      <w:r w:rsidRPr="00176D53">
        <w:rPr>
          <w:rFonts w:ascii="Times New Roman" w:hAnsi="Times New Roman"/>
          <w:b/>
          <w:lang w:val="fr-BE"/>
        </w:rPr>
        <w:t>, du règlement intérieur du Parlement européen, par la commission de l’environnement, de la santé publique et de la sécurité alimentaire</w:t>
      </w:r>
    </w:p>
    <w:p w:rsidR="005D2096" w:rsidRDefault="005D2096" w:rsidP="00C54B90">
      <w:pPr>
        <w:pStyle w:val="Default"/>
        <w:numPr>
          <w:ilvl w:val="0"/>
          <w:numId w:val="1"/>
        </w:numPr>
        <w:spacing w:after="240"/>
        <w:ind w:left="567" w:right="-28" w:hanging="567"/>
        <w:jc w:val="both"/>
        <w:rPr>
          <w:color w:val="auto"/>
        </w:rPr>
      </w:pPr>
      <w:r>
        <w:rPr>
          <w:b/>
          <w:color w:val="auto"/>
        </w:rPr>
        <w:t xml:space="preserve">Numéro de référence: </w:t>
      </w:r>
      <w:r w:rsidRPr="003408AC">
        <w:rPr>
          <w:color w:val="auto"/>
        </w:rPr>
        <w:t>2018</w:t>
      </w:r>
      <w:r>
        <w:rPr>
          <w:color w:val="auto"/>
        </w:rPr>
        <w:t>/</w:t>
      </w:r>
      <w:r w:rsidRPr="003408AC">
        <w:rPr>
          <w:color w:val="auto"/>
        </w:rPr>
        <w:t>2589</w:t>
      </w:r>
      <w:r>
        <w:rPr>
          <w:color w:val="auto"/>
        </w:rPr>
        <w:t>(RSP) /</w:t>
      </w:r>
      <w:r>
        <w:rPr>
          <w:b/>
          <w:color w:val="auto"/>
        </w:rPr>
        <w:t xml:space="preserve"> </w:t>
      </w:r>
      <w:r>
        <w:rPr>
          <w:color w:val="auto"/>
        </w:rPr>
        <w:t>B</w:t>
      </w:r>
      <w:r w:rsidRPr="003408AC">
        <w:rPr>
          <w:color w:val="auto"/>
        </w:rPr>
        <w:t>8</w:t>
      </w:r>
      <w:r>
        <w:rPr>
          <w:color w:val="auto"/>
        </w:rPr>
        <w:t>-</w:t>
      </w:r>
      <w:r w:rsidRPr="003408AC">
        <w:rPr>
          <w:color w:val="auto"/>
        </w:rPr>
        <w:t>0363</w:t>
      </w:r>
      <w:r>
        <w:rPr>
          <w:color w:val="auto"/>
        </w:rPr>
        <w:t>/</w:t>
      </w:r>
      <w:r w:rsidRPr="003408AC">
        <w:rPr>
          <w:color w:val="auto"/>
        </w:rPr>
        <w:t>2018</w:t>
      </w:r>
      <w:r>
        <w:rPr>
          <w:color w:val="auto"/>
        </w:rPr>
        <w:t xml:space="preserve"> / P</w:t>
      </w:r>
      <w:r w:rsidRPr="003408AC">
        <w:rPr>
          <w:color w:val="auto"/>
        </w:rPr>
        <w:t>8</w:t>
      </w:r>
      <w:r>
        <w:rPr>
          <w:color w:val="auto"/>
        </w:rPr>
        <w:t>_TA-</w:t>
      </w:r>
      <w:proofErr w:type="gramStart"/>
      <w:r>
        <w:rPr>
          <w:color w:val="auto"/>
        </w:rPr>
        <w:t>PROV(</w:t>
      </w:r>
      <w:proofErr w:type="gramEnd"/>
      <w:r w:rsidRPr="003408AC">
        <w:rPr>
          <w:color w:val="auto"/>
        </w:rPr>
        <w:t>2018</w:t>
      </w:r>
      <w:r>
        <w:rPr>
          <w:color w:val="auto"/>
        </w:rPr>
        <w:t>)</w:t>
      </w:r>
      <w:r w:rsidRPr="003408AC">
        <w:rPr>
          <w:color w:val="auto"/>
        </w:rPr>
        <w:t>0353</w:t>
      </w:r>
    </w:p>
    <w:p w:rsidR="005D2096" w:rsidRPr="00176D53" w:rsidRDefault="005D2096" w:rsidP="00C54B90">
      <w:pPr>
        <w:numPr>
          <w:ilvl w:val="0"/>
          <w:numId w:val="1"/>
        </w:numPr>
        <w:ind w:left="567" w:right="-28" w:hanging="567"/>
        <w:rPr>
          <w:rFonts w:ascii="Times New Roman" w:hAnsi="Times New Roman"/>
          <w:szCs w:val="24"/>
          <w:lang w:val="fr-BE"/>
        </w:rPr>
      </w:pPr>
      <w:r w:rsidRPr="00176D53">
        <w:rPr>
          <w:rFonts w:ascii="Times New Roman" w:hAnsi="Times New Roman"/>
          <w:b/>
          <w:lang w:val="fr-BE"/>
        </w:rPr>
        <w:t>Date d'adoption de la résolution:</w:t>
      </w:r>
      <w:r w:rsidRPr="00176D53">
        <w:rPr>
          <w:rFonts w:ascii="Times New Roman" w:hAnsi="Times New Roman"/>
          <w:lang w:val="fr-BE"/>
        </w:rPr>
        <w:t xml:space="preserve"> </w:t>
      </w:r>
      <w:r w:rsidRPr="003408AC">
        <w:rPr>
          <w:rFonts w:ascii="Times New Roman" w:hAnsi="Times New Roman"/>
          <w:lang w:val="fr-BE"/>
        </w:rPr>
        <w:t>13</w:t>
      </w:r>
      <w:r w:rsidRPr="00176D53">
        <w:rPr>
          <w:rFonts w:ascii="Times New Roman" w:hAnsi="Times New Roman"/>
          <w:lang w:val="fr-BE"/>
        </w:rPr>
        <w:t xml:space="preserve"> septembre </w:t>
      </w:r>
      <w:r w:rsidRPr="003408AC">
        <w:rPr>
          <w:rFonts w:ascii="Times New Roman" w:hAnsi="Times New Roman"/>
          <w:lang w:val="fr-BE"/>
        </w:rPr>
        <w:t>2018</w:t>
      </w:r>
    </w:p>
    <w:p w:rsidR="005D2096" w:rsidRPr="00176D53" w:rsidRDefault="005D2096" w:rsidP="00C54B90">
      <w:pPr>
        <w:numPr>
          <w:ilvl w:val="0"/>
          <w:numId w:val="1"/>
        </w:numPr>
        <w:ind w:left="567" w:right="-28" w:hanging="567"/>
        <w:rPr>
          <w:rFonts w:ascii="Times New Roman" w:hAnsi="Times New Roman"/>
          <w:szCs w:val="24"/>
          <w:lang w:val="fr-BE"/>
        </w:rPr>
      </w:pPr>
      <w:r w:rsidRPr="00176D53">
        <w:rPr>
          <w:rFonts w:ascii="Times New Roman" w:hAnsi="Times New Roman"/>
          <w:b/>
          <w:lang w:val="fr-BE"/>
        </w:rPr>
        <w:t>Objet:</w:t>
      </w:r>
      <w:r w:rsidRPr="00176D53">
        <w:rPr>
          <w:rFonts w:ascii="Times New Roman" w:hAnsi="Times New Roman"/>
          <w:lang w:val="fr-BE"/>
        </w:rPr>
        <w:t xml:space="preserve"> mise en œuvre du paquet</w:t>
      </w:r>
      <w:proofErr w:type="gramStart"/>
      <w:r w:rsidRPr="00176D53">
        <w:rPr>
          <w:rFonts w:ascii="Times New Roman" w:hAnsi="Times New Roman"/>
          <w:lang w:val="fr-BE"/>
        </w:rPr>
        <w:t xml:space="preserve"> «économie</w:t>
      </w:r>
      <w:proofErr w:type="gramEnd"/>
      <w:r w:rsidRPr="00176D53">
        <w:rPr>
          <w:rFonts w:ascii="Times New Roman" w:hAnsi="Times New Roman"/>
          <w:lang w:val="fr-BE"/>
        </w:rPr>
        <w:t xml:space="preserve"> circulaire»: solutions possibles pour les questions à l’interface entre les textes législatifs relatifs aux substances chimiques, aux produits et aux déchets</w:t>
      </w:r>
    </w:p>
    <w:p w:rsidR="005D2096" w:rsidRPr="00176D53" w:rsidRDefault="005D2096" w:rsidP="00C54B90">
      <w:pPr>
        <w:numPr>
          <w:ilvl w:val="0"/>
          <w:numId w:val="1"/>
        </w:numPr>
        <w:ind w:left="567" w:right="-28" w:hanging="567"/>
        <w:rPr>
          <w:rFonts w:ascii="Times New Roman" w:hAnsi="Times New Roman"/>
          <w:szCs w:val="24"/>
          <w:lang w:val="fr-BE"/>
        </w:rPr>
      </w:pPr>
      <w:r w:rsidRPr="00176D53">
        <w:rPr>
          <w:rFonts w:ascii="Times New Roman" w:hAnsi="Times New Roman"/>
          <w:b/>
          <w:lang w:val="fr-BE"/>
        </w:rPr>
        <w:t xml:space="preserve">Commission parlementaire compétente: </w:t>
      </w:r>
      <w:r w:rsidRPr="00176D53">
        <w:rPr>
          <w:rFonts w:ascii="Times New Roman" w:hAnsi="Times New Roman"/>
          <w:lang w:val="fr-BE"/>
        </w:rPr>
        <w:t>commission de l’environnement, de la santé publique et de la sécurité alimentaire (ENVI)</w:t>
      </w:r>
    </w:p>
    <w:p w:rsidR="005D2096" w:rsidRPr="00176D53" w:rsidRDefault="005D2096" w:rsidP="00C54B90">
      <w:pPr>
        <w:widowControl w:val="0"/>
        <w:numPr>
          <w:ilvl w:val="0"/>
          <w:numId w:val="1"/>
        </w:numPr>
        <w:ind w:left="567" w:right="-28" w:hanging="567"/>
        <w:rPr>
          <w:rFonts w:ascii="Times New Roman" w:hAnsi="Times New Roman"/>
          <w:b/>
          <w:szCs w:val="24"/>
          <w:lang w:val="fr-BE"/>
        </w:rPr>
      </w:pPr>
      <w:r w:rsidRPr="00176D53">
        <w:rPr>
          <w:rFonts w:ascii="Times New Roman" w:hAnsi="Times New Roman"/>
          <w:b/>
          <w:lang w:val="fr-BE"/>
        </w:rPr>
        <w:t>Analyse/évaluation succincte de la résolution et des demandes qu’elle contient</w:t>
      </w:r>
    </w:p>
    <w:p w:rsidR="005D2096" w:rsidRPr="00176D53" w:rsidRDefault="005D2096" w:rsidP="005D2096">
      <w:pPr>
        <w:widowControl w:val="0"/>
        <w:spacing w:after="120"/>
        <w:ind w:right="-28"/>
        <w:rPr>
          <w:rFonts w:ascii="Times New Roman" w:hAnsi="Times New Roman"/>
          <w:bCs/>
          <w:szCs w:val="24"/>
          <w:lang w:val="fr-BE"/>
        </w:rPr>
      </w:pPr>
      <w:r w:rsidRPr="00176D53">
        <w:rPr>
          <w:rFonts w:ascii="Times New Roman" w:hAnsi="Times New Roman"/>
          <w:lang w:val="fr-BE"/>
        </w:rPr>
        <w:t xml:space="preserve">Le Parlement, dans sa résolution, salue la communication de la Commission et le document de travail de ses services, publiés le </w:t>
      </w:r>
      <w:r w:rsidRPr="003408AC">
        <w:rPr>
          <w:rFonts w:ascii="Times New Roman" w:hAnsi="Times New Roman"/>
          <w:lang w:val="fr-BE"/>
        </w:rPr>
        <w:t>16</w:t>
      </w:r>
      <w:r w:rsidRPr="00176D53">
        <w:rPr>
          <w:rFonts w:ascii="Times New Roman" w:hAnsi="Times New Roman"/>
          <w:lang w:val="fr-BE"/>
        </w:rPr>
        <w:t> janvier </w:t>
      </w:r>
      <w:r w:rsidRPr="003408AC">
        <w:rPr>
          <w:rFonts w:ascii="Times New Roman" w:hAnsi="Times New Roman"/>
          <w:lang w:val="fr-BE"/>
        </w:rPr>
        <w:t>2018</w:t>
      </w:r>
      <w:r w:rsidRPr="00176D53">
        <w:rPr>
          <w:rFonts w:ascii="Times New Roman" w:hAnsi="Times New Roman"/>
          <w:lang w:val="fr-BE"/>
        </w:rPr>
        <w:t>, et soutient la conception globale qui y est présentée. Néanmoins, le Parlement recommande l’adoption de mesures dans les meilleurs délais afin de remédier aux problèmes mis en évidence à l’interface entre les textes législatifs relatifs aux substances chimiques, aux produits et aux déchets (ci-après l</w:t>
      </w:r>
      <w:proofErr w:type="gramStart"/>
      <w:r w:rsidRPr="00176D53">
        <w:rPr>
          <w:rFonts w:ascii="Times New Roman" w:hAnsi="Times New Roman"/>
          <w:lang w:val="fr-BE"/>
        </w:rPr>
        <w:t>'«interface</w:t>
      </w:r>
      <w:proofErr w:type="gramEnd"/>
      <w:r w:rsidRPr="00176D53">
        <w:rPr>
          <w:rFonts w:ascii="Times New Roman" w:hAnsi="Times New Roman"/>
          <w:lang w:val="fr-BE"/>
        </w:rPr>
        <w:t>»).</w:t>
      </w:r>
    </w:p>
    <w:p w:rsidR="005D2096" w:rsidRPr="00176D53" w:rsidRDefault="005D2096" w:rsidP="005D2096">
      <w:pPr>
        <w:widowControl w:val="0"/>
        <w:spacing w:after="120"/>
        <w:ind w:right="-28"/>
        <w:rPr>
          <w:rFonts w:ascii="Times New Roman" w:hAnsi="Times New Roman"/>
          <w:bCs/>
          <w:szCs w:val="24"/>
          <w:lang w:val="fr-BE"/>
        </w:rPr>
      </w:pPr>
      <w:r w:rsidRPr="00176D53">
        <w:rPr>
          <w:rFonts w:ascii="Times New Roman" w:hAnsi="Times New Roman"/>
          <w:lang w:val="fr-BE"/>
        </w:rPr>
        <w:t>La résolution indique que la Commission devrait se donner comme objectifs prioritaires d’éviter que les produits chimiques dangereux n’entrent dans le cycle des matières, de rendre parfaitement cohérentes les lois qui transposent les politiques adoptées en matière de déchets et de substances chimiques, et de veiller à une meilleure application de la législation en vigueur tout en remédiant aux lacunes de la réglementation, notamment concernant les articles importés, qui pourraient faire obstacle à la mise en place d’une économie circulaire durable dans l’Union. Elle invite la Commission à mettre en œuvre ces objectifs en élaborant une stratégie de l’Union pour un environnement non toxique et, en coopération avec les États membres, à renforcer les activités de type réglementaire de ceux-ci dans le cadre du règlement REACH (règlement concernant l’enregistrement, l’évaluation et l’autorisation des substances chimiques, ainsi que les restrictions applicables à ces substances) et d'autres textes législatifs propres à certains secteurs ou produits, pour faire en sorte que les déchets recyclés puissent constituer une source importante et fiable de matières premières dans l’Union. La résolution invite également la Commission à présenter une stratégie sur les perturbateurs endocriniens; à veiller à ce que, d’ici </w:t>
      </w:r>
      <w:r w:rsidRPr="003408AC">
        <w:rPr>
          <w:rFonts w:ascii="Times New Roman" w:hAnsi="Times New Roman"/>
          <w:lang w:val="fr-BE"/>
        </w:rPr>
        <w:t>2020</w:t>
      </w:r>
      <w:r w:rsidRPr="00176D53">
        <w:rPr>
          <w:rFonts w:ascii="Times New Roman" w:hAnsi="Times New Roman"/>
          <w:lang w:val="fr-BE"/>
        </w:rPr>
        <w:t>, toutes les substances extrêmement préoccupantes (SVHC) concernées soient inscrites sur la liste des substances candidates du règlement REACH; à coopérer pleinement avec les États membres pour la mise au point de critères relatifs à la fin du statut de déchet; à préciser l’interprétation correcte des règles de classification applicables aux déchets contenant des substances préoccupantes; et à mettre à jour la liste européenne des déchets.</w:t>
      </w:r>
    </w:p>
    <w:p w:rsidR="005D2096" w:rsidRPr="00176D53" w:rsidRDefault="005D2096" w:rsidP="005D2096">
      <w:pPr>
        <w:widowControl w:val="0"/>
        <w:spacing w:after="120"/>
        <w:ind w:right="-28"/>
        <w:rPr>
          <w:rFonts w:ascii="Times New Roman" w:hAnsi="Times New Roman"/>
          <w:szCs w:val="24"/>
          <w:lang w:val="fr-BE"/>
        </w:rPr>
      </w:pPr>
      <w:r w:rsidRPr="00176D53">
        <w:rPr>
          <w:rFonts w:ascii="Times New Roman" w:hAnsi="Times New Roman"/>
          <w:lang w:val="fr-BE"/>
        </w:rPr>
        <w:t xml:space="preserve">La Commission a déjà entrepris des travaux pour répondre à certaines des demandes formulées par le Parlement. Par exemple, elle a publié des lignes directrices afin de </w:t>
      </w:r>
      <w:r w:rsidRPr="00176D53">
        <w:rPr>
          <w:rFonts w:ascii="Times New Roman" w:hAnsi="Times New Roman"/>
          <w:lang w:val="fr-BE"/>
        </w:rPr>
        <w:lastRenderedPageBreak/>
        <w:t xml:space="preserve">promouvoir une approche plus cohérente de la classification des déchets et a également lancé plusieurs études, dont une sur les pratiques des États membres relatives à la mise en œuvre et à la vérification des dispositions concernant la fin du statut de déchet, une autre sur la mise au point d’une méthode destinée à faciliter la prise de décision par les régulateurs sur la question des substances préoccupantes présentes dans les matières recyclées, et une troisième sur la possibilité d’utiliser des outils permettant de gérer les flux d’information, depuis les chaînes d’approvisionnement des produits jusqu'aux entreprises de traitement des déchets. En outre, conformément à la feuille de route sur les substances extrêmement préoccupantes (février </w:t>
      </w:r>
      <w:r w:rsidRPr="003408AC">
        <w:rPr>
          <w:rFonts w:ascii="Times New Roman" w:hAnsi="Times New Roman"/>
          <w:lang w:val="fr-BE"/>
        </w:rPr>
        <w:t>2013</w:t>
      </w:r>
      <w:r w:rsidRPr="00176D53">
        <w:rPr>
          <w:rFonts w:ascii="Times New Roman" w:hAnsi="Times New Roman"/>
          <w:lang w:val="fr-BE"/>
        </w:rPr>
        <w:t>), la Commission est en bonne voie pour pouvoir garantir que toutes les substances extrêmement préoccupantes pertinentes connues figureront sur la liste des substances candidates d’ici à </w:t>
      </w:r>
      <w:r w:rsidRPr="003408AC">
        <w:rPr>
          <w:rFonts w:ascii="Times New Roman" w:hAnsi="Times New Roman"/>
          <w:lang w:val="fr-BE"/>
        </w:rPr>
        <w:t>2020</w:t>
      </w:r>
      <w:r w:rsidRPr="00176D53">
        <w:rPr>
          <w:rFonts w:ascii="Times New Roman" w:hAnsi="Times New Roman"/>
          <w:lang w:val="fr-BE"/>
        </w:rPr>
        <w:t xml:space="preserve">. La Commission a également adopté, le </w:t>
      </w:r>
      <w:r w:rsidRPr="003408AC">
        <w:rPr>
          <w:rFonts w:ascii="Times New Roman" w:hAnsi="Times New Roman"/>
          <w:lang w:val="fr-BE"/>
        </w:rPr>
        <w:t>7</w:t>
      </w:r>
      <w:r w:rsidRPr="00176D53">
        <w:rPr>
          <w:rFonts w:ascii="Times New Roman" w:hAnsi="Times New Roman"/>
          <w:lang w:val="fr-BE"/>
        </w:rPr>
        <w:t> novembre </w:t>
      </w:r>
      <w:r w:rsidRPr="003408AC">
        <w:rPr>
          <w:rFonts w:ascii="Times New Roman" w:hAnsi="Times New Roman"/>
          <w:lang w:val="fr-BE"/>
        </w:rPr>
        <w:t>2018</w:t>
      </w:r>
      <w:r w:rsidRPr="00176D53">
        <w:rPr>
          <w:rFonts w:ascii="Times New Roman" w:hAnsi="Times New Roman"/>
          <w:lang w:val="fr-BE"/>
        </w:rPr>
        <w:t>, une communication</w:t>
      </w:r>
      <w:r>
        <w:rPr>
          <w:rStyle w:val="FootnoteReference"/>
          <w:rFonts w:ascii="Times New Roman" w:hAnsi="Times New Roman"/>
        </w:rPr>
        <w:footnoteReference w:id="1"/>
      </w:r>
      <w:r w:rsidRPr="00176D53">
        <w:rPr>
          <w:rFonts w:ascii="Times New Roman" w:hAnsi="Times New Roman"/>
          <w:lang w:val="fr-BE"/>
        </w:rPr>
        <w:t xml:space="preserve"> qui décrit l'approche stratégique de l’Union en matière de perturbateurs endocriniens pour les années à venir. Toutefois, le Parlement évoque également d’autres mesures pour lesquelles les travaux de la Commission ne sont pas aussi avancés - par exemple, l'élaboration de la stratégie de l’Union sur l’environnement non toxique.</w:t>
      </w:r>
    </w:p>
    <w:p w:rsidR="005D2096" w:rsidRPr="00176D53" w:rsidRDefault="005D2096" w:rsidP="00DA1A96">
      <w:pPr>
        <w:widowControl w:val="0"/>
        <w:spacing w:before="240"/>
        <w:ind w:left="567" w:right="-30" w:hanging="567"/>
        <w:rPr>
          <w:rFonts w:ascii="Times New Roman" w:hAnsi="Times New Roman"/>
          <w:b/>
          <w:szCs w:val="24"/>
          <w:lang w:val="fr-BE"/>
        </w:rPr>
      </w:pPr>
      <w:r w:rsidRPr="003408AC">
        <w:rPr>
          <w:rFonts w:ascii="Times New Roman" w:hAnsi="Times New Roman"/>
          <w:b/>
          <w:lang w:val="fr-BE"/>
        </w:rPr>
        <w:t>7</w:t>
      </w:r>
      <w:r w:rsidRPr="00176D53">
        <w:rPr>
          <w:rFonts w:ascii="Times New Roman" w:hAnsi="Times New Roman"/>
          <w:b/>
          <w:lang w:val="fr-BE"/>
        </w:rPr>
        <w:t>.</w:t>
      </w:r>
      <w:r w:rsidRPr="00176D53">
        <w:rPr>
          <w:lang w:val="fr-BE"/>
        </w:rPr>
        <w:tab/>
      </w:r>
      <w:bookmarkStart w:id="0" w:name="_GoBack"/>
      <w:bookmarkEnd w:id="0"/>
      <w:r w:rsidRPr="00176D53">
        <w:rPr>
          <w:rFonts w:ascii="Times New Roman" w:hAnsi="Times New Roman"/>
          <w:b/>
          <w:lang w:val="fr-BE"/>
        </w:rPr>
        <w:t>Réponse à ces demandes et aperçu des mesures que la Commission a prises ou envisage de prendre</w:t>
      </w:r>
    </w:p>
    <w:p w:rsidR="005D2096" w:rsidRPr="00176D53" w:rsidRDefault="005D2096" w:rsidP="005D2096">
      <w:pPr>
        <w:widowControl w:val="0"/>
        <w:spacing w:after="120"/>
        <w:ind w:right="-30"/>
        <w:rPr>
          <w:rFonts w:ascii="Times New Roman" w:hAnsi="Times New Roman"/>
          <w:szCs w:val="24"/>
          <w:lang w:val="fr-BE"/>
        </w:rPr>
      </w:pPr>
      <w:r w:rsidRPr="00176D53">
        <w:rPr>
          <w:rFonts w:ascii="Times New Roman" w:hAnsi="Times New Roman"/>
          <w:lang w:val="fr-BE"/>
        </w:rPr>
        <w:t xml:space="preserve">Le </w:t>
      </w:r>
      <w:r w:rsidRPr="003408AC">
        <w:rPr>
          <w:rFonts w:ascii="Times New Roman" w:hAnsi="Times New Roman"/>
          <w:lang w:val="fr-BE"/>
        </w:rPr>
        <w:t>13</w:t>
      </w:r>
      <w:r w:rsidRPr="00176D53">
        <w:rPr>
          <w:rFonts w:ascii="Times New Roman" w:hAnsi="Times New Roman"/>
          <w:lang w:val="fr-BE"/>
        </w:rPr>
        <w:t> septembre </w:t>
      </w:r>
      <w:r w:rsidRPr="003408AC">
        <w:rPr>
          <w:rFonts w:ascii="Times New Roman" w:hAnsi="Times New Roman"/>
          <w:lang w:val="fr-BE"/>
        </w:rPr>
        <w:t>2018</w:t>
      </w:r>
      <w:r w:rsidRPr="00176D53">
        <w:rPr>
          <w:rFonts w:ascii="Times New Roman" w:hAnsi="Times New Roman"/>
          <w:lang w:val="fr-BE"/>
        </w:rPr>
        <w:t xml:space="preserve">, à Strasbourg, le vice-président </w:t>
      </w:r>
      <w:proofErr w:type="spellStart"/>
      <w:r w:rsidRPr="00176D53">
        <w:rPr>
          <w:rFonts w:ascii="Times New Roman" w:hAnsi="Times New Roman"/>
          <w:lang w:val="fr-BE"/>
        </w:rPr>
        <w:t>Katainen</w:t>
      </w:r>
      <w:proofErr w:type="spellEnd"/>
      <w:r w:rsidRPr="00176D53">
        <w:rPr>
          <w:rFonts w:ascii="Times New Roman" w:hAnsi="Times New Roman"/>
          <w:lang w:val="fr-BE"/>
        </w:rPr>
        <w:t xml:space="preserve"> (remplaçant le commissaire Vella) a répondu en séance plénière à une question orale sur l’interface et a présenté la position de la Commission sur certaines des questions soulevées dans la résolution.</w:t>
      </w:r>
    </w:p>
    <w:p w:rsidR="005D2096" w:rsidRPr="00176D53" w:rsidRDefault="005D2096" w:rsidP="005D2096">
      <w:pPr>
        <w:widowControl w:val="0"/>
        <w:spacing w:after="120"/>
        <w:ind w:right="-30"/>
        <w:rPr>
          <w:rFonts w:ascii="Times New Roman" w:hAnsi="Times New Roman"/>
          <w:b/>
          <w:szCs w:val="24"/>
          <w:lang w:val="fr-BE"/>
        </w:rPr>
      </w:pPr>
      <w:r w:rsidRPr="00176D53">
        <w:rPr>
          <w:rFonts w:ascii="Times New Roman" w:hAnsi="Times New Roman"/>
          <w:b/>
          <w:lang w:val="fr-BE"/>
        </w:rPr>
        <w:t xml:space="preserve">Réponse à des </w:t>
      </w:r>
      <w:r w:rsidRPr="00176D53">
        <w:rPr>
          <w:rFonts w:ascii="Times New Roman" w:hAnsi="Times New Roman"/>
          <w:b/>
          <w:u w:val="single"/>
          <w:lang w:val="fr-BE"/>
        </w:rPr>
        <w:t>points particuliers</w:t>
      </w:r>
      <w:r w:rsidRPr="00176D53">
        <w:rPr>
          <w:rFonts w:ascii="Times New Roman" w:hAnsi="Times New Roman"/>
          <w:b/>
          <w:lang w:val="fr-BE"/>
        </w:rPr>
        <w:t xml:space="preserve"> de la résolution</w:t>
      </w:r>
    </w:p>
    <w:p w:rsidR="005D2096" w:rsidRPr="00176D53" w:rsidRDefault="005D2096" w:rsidP="005D2096">
      <w:pPr>
        <w:widowControl w:val="0"/>
        <w:spacing w:after="120"/>
        <w:ind w:right="-30"/>
        <w:rPr>
          <w:rFonts w:ascii="Times New Roman" w:hAnsi="Times New Roman"/>
          <w:szCs w:val="24"/>
          <w:lang w:val="fr-BE"/>
        </w:rPr>
      </w:pPr>
      <w:r w:rsidRPr="00176D53">
        <w:rPr>
          <w:rFonts w:ascii="Times New Roman" w:hAnsi="Times New Roman"/>
          <w:lang w:val="fr-BE"/>
        </w:rPr>
        <w:t xml:space="preserve">En ce qui concerne la demande formulée au </w:t>
      </w:r>
      <w:r w:rsidRPr="00176D53">
        <w:rPr>
          <w:rFonts w:ascii="Times New Roman" w:hAnsi="Times New Roman"/>
          <w:b/>
          <w:lang w:val="fr-BE"/>
        </w:rPr>
        <w:t>paragraphe </w:t>
      </w:r>
      <w:r w:rsidRPr="003408AC">
        <w:rPr>
          <w:rFonts w:ascii="Times New Roman" w:hAnsi="Times New Roman"/>
          <w:b/>
          <w:lang w:val="fr-BE"/>
        </w:rPr>
        <w:t>5</w:t>
      </w:r>
      <w:r w:rsidRPr="00176D53">
        <w:rPr>
          <w:rFonts w:ascii="Times New Roman" w:hAnsi="Times New Roman"/>
          <w:lang w:val="fr-BE"/>
        </w:rPr>
        <w:t>, qui invite la Commission à élaborer une stratégie de l’Union pour un environnement non toxique, la Commission s'emploie actuellement à finaliser le</w:t>
      </w:r>
      <w:proofErr w:type="gramStart"/>
      <w:r w:rsidRPr="00176D53">
        <w:rPr>
          <w:rFonts w:ascii="Times New Roman" w:hAnsi="Times New Roman"/>
          <w:lang w:val="fr-BE"/>
        </w:rPr>
        <w:t xml:space="preserve"> «bilan</w:t>
      </w:r>
      <w:proofErr w:type="gramEnd"/>
      <w:r w:rsidRPr="00176D53">
        <w:rPr>
          <w:rFonts w:ascii="Times New Roman" w:hAnsi="Times New Roman"/>
          <w:lang w:val="fr-BE"/>
        </w:rPr>
        <w:t xml:space="preserve"> de qualité» des dispositions législatives les plus pertinentes de l’Union en matière de produits chimiques, à l’exclusion de REACH. La Commission examinera ensuite si, et de quelle manière, il convient de faire le point sur les résultats du bilan de qualité, sur la </w:t>
      </w:r>
      <w:r w:rsidRPr="003408AC">
        <w:rPr>
          <w:rFonts w:ascii="Times New Roman" w:hAnsi="Times New Roman"/>
          <w:lang w:val="fr-BE"/>
        </w:rPr>
        <w:t>2</w:t>
      </w:r>
      <w:r w:rsidRPr="00176D53">
        <w:rPr>
          <w:rFonts w:ascii="Times New Roman" w:hAnsi="Times New Roman"/>
          <w:vertAlign w:val="superscript"/>
          <w:lang w:val="fr-BE"/>
        </w:rPr>
        <w:t>e</w:t>
      </w:r>
      <w:r w:rsidRPr="00176D53">
        <w:rPr>
          <w:rFonts w:ascii="Times New Roman" w:hAnsi="Times New Roman"/>
          <w:lang w:val="fr-BE"/>
        </w:rPr>
        <w:t xml:space="preserve"> évaluation de REACH de mars </w:t>
      </w:r>
      <w:r w:rsidRPr="003408AC">
        <w:rPr>
          <w:rFonts w:ascii="Times New Roman" w:hAnsi="Times New Roman"/>
          <w:lang w:val="fr-BE"/>
        </w:rPr>
        <w:t>2018</w:t>
      </w:r>
      <w:r w:rsidRPr="00176D53">
        <w:rPr>
          <w:rFonts w:ascii="Times New Roman" w:hAnsi="Times New Roman"/>
          <w:lang w:val="fr-BE"/>
        </w:rPr>
        <w:t xml:space="preserve"> et sur la communication de janvier </w:t>
      </w:r>
      <w:r w:rsidRPr="003408AC">
        <w:rPr>
          <w:rFonts w:ascii="Times New Roman" w:hAnsi="Times New Roman"/>
          <w:lang w:val="fr-BE"/>
        </w:rPr>
        <w:t>2018</w:t>
      </w:r>
      <w:r w:rsidRPr="00176D53">
        <w:rPr>
          <w:rFonts w:ascii="Times New Roman" w:hAnsi="Times New Roman"/>
          <w:lang w:val="fr-BE"/>
        </w:rPr>
        <w:t xml:space="preserve"> relative à l'interface substances chimiques-produits-déchets, qui, ensemble, fournissent une évaluation globale de la situation dans le domaine des substances chimiques. Cette évaluation préparera le terrain pour la prochaine Commission et permettra aux futurs décideurs de choisir la meilleure voie à suivre, tandis que se poursuivront l'acquisition de connaissances (par exemple, grâce à l’étude de la Commission intitulée</w:t>
      </w:r>
      <w:proofErr w:type="gramStart"/>
      <w:r w:rsidRPr="00176D53">
        <w:rPr>
          <w:rFonts w:ascii="Times New Roman" w:hAnsi="Times New Roman"/>
          <w:lang w:val="fr-BE"/>
        </w:rPr>
        <w:t xml:space="preserve"> «Vers</w:t>
      </w:r>
      <w:proofErr w:type="gramEnd"/>
      <w:r w:rsidRPr="00176D53">
        <w:rPr>
          <w:rFonts w:ascii="Times New Roman" w:hAnsi="Times New Roman"/>
          <w:lang w:val="fr-BE"/>
        </w:rPr>
        <w:t xml:space="preserve"> une stratégie pour un environnement non toxique», achevée en août </w:t>
      </w:r>
      <w:r w:rsidRPr="003408AC">
        <w:rPr>
          <w:rFonts w:ascii="Times New Roman" w:hAnsi="Times New Roman"/>
          <w:lang w:val="fr-BE"/>
        </w:rPr>
        <w:t>2017</w:t>
      </w:r>
      <w:r w:rsidRPr="00176D53">
        <w:rPr>
          <w:rFonts w:ascii="Times New Roman" w:hAnsi="Times New Roman"/>
          <w:lang w:val="fr-BE"/>
        </w:rPr>
        <w:t>) et les discussions avec les parties prenantes ainsi que d’autres travaux préparatoires.</w:t>
      </w:r>
    </w:p>
    <w:p w:rsidR="005D2096" w:rsidRPr="00176D53" w:rsidRDefault="005D2096" w:rsidP="005D2096">
      <w:pPr>
        <w:widowControl w:val="0"/>
        <w:spacing w:after="120"/>
        <w:ind w:right="-30"/>
        <w:rPr>
          <w:rFonts w:ascii="Times New Roman" w:hAnsi="Times New Roman"/>
          <w:szCs w:val="24"/>
          <w:lang w:val="fr-BE"/>
        </w:rPr>
      </w:pPr>
      <w:r w:rsidRPr="00176D53">
        <w:rPr>
          <w:rFonts w:ascii="Times New Roman" w:hAnsi="Times New Roman"/>
          <w:lang w:val="fr-BE"/>
        </w:rPr>
        <w:t xml:space="preserve">En ce qui concerne les demandes formulées aux </w:t>
      </w:r>
      <w:r w:rsidRPr="00176D53">
        <w:rPr>
          <w:rFonts w:ascii="Times New Roman" w:hAnsi="Times New Roman"/>
          <w:b/>
          <w:lang w:val="fr-BE"/>
        </w:rPr>
        <w:t>paragraphes </w:t>
      </w:r>
      <w:r w:rsidRPr="003408AC">
        <w:rPr>
          <w:rFonts w:ascii="Times New Roman" w:hAnsi="Times New Roman"/>
          <w:b/>
          <w:lang w:val="fr-BE"/>
        </w:rPr>
        <w:t>6</w:t>
      </w:r>
      <w:r w:rsidRPr="00176D53">
        <w:rPr>
          <w:rFonts w:ascii="Times New Roman" w:hAnsi="Times New Roman"/>
          <w:b/>
          <w:lang w:val="fr-BE"/>
        </w:rPr>
        <w:t xml:space="preserve"> et </w:t>
      </w:r>
      <w:r w:rsidRPr="003408AC">
        <w:rPr>
          <w:rFonts w:ascii="Times New Roman" w:hAnsi="Times New Roman"/>
          <w:b/>
          <w:lang w:val="fr-BE"/>
        </w:rPr>
        <w:t>27</w:t>
      </w:r>
      <w:r w:rsidRPr="00176D53">
        <w:rPr>
          <w:rFonts w:ascii="Times New Roman" w:hAnsi="Times New Roman"/>
          <w:lang w:val="fr-BE"/>
        </w:rPr>
        <w:t xml:space="preserve">, qui invitent la Commission et les États membres à renforcer les activités en matière réglementaire dans le but de favoriser le remplacement des substances extrêmement préoccupantes, et à limiter les substances qui présentent des risques inacceptables pour la santé humaine ou l’environnement, la révision du règlement REACH a permis de constater que la situation pouvait encore être améliorée, notamment pour recenser les substances susceptibles de faire l'objet de restrictions et pour renforcer la participation des États membres. Dans sa communication sur l’interface, la Commission a indiqué qu'il était prévu d'élaborer des procédures de travail pour garantir que les articles importés sont exempts de substances dont l’utilisation n’est pas autorisée dans l’Union pour la fabrication d’articles, ainsi que des procédures simplifiées pour limiter l’utilisation de substances cancérogènes, mutagènes ou toxiques pour la reproduction dans les </w:t>
      </w:r>
      <w:r w:rsidRPr="00176D53">
        <w:rPr>
          <w:rFonts w:ascii="Times New Roman" w:hAnsi="Times New Roman"/>
          <w:lang w:val="fr-BE"/>
        </w:rPr>
        <w:lastRenderedPageBreak/>
        <w:t>articles de consommation.</w:t>
      </w:r>
    </w:p>
    <w:p w:rsidR="005D2096" w:rsidRPr="00176D53" w:rsidRDefault="005D2096" w:rsidP="005D2096">
      <w:pPr>
        <w:spacing w:after="120"/>
        <w:rPr>
          <w:rFonts w:ascii="Times New Roman" w:hAnsi="Times New Roman"/>
          <w:szCs w:val="24"/>
          <w:lang w:val="fr-BE"/>
        </w:rPr>
      </w:pPr>
      <w:r w:rsidRPr="00176D53">
        <w:rPr>
          <w:rFonts w:ascii="Times New Roman" w:hAnsi="Times New Roman"/>
          <w:b/>
          <w:lang w:val="fr-BE"/>
        </w:rPr>
        <w:t xml:space="preserve">Le paragraphe </w:t>
      </w:r>
      <w:r w:rsidRPr="003408AC">
        <w:rPr>
          <w:rFonts w:ascii="Times New Roman" w:hAnsi="Times New Roman"/>
          <w:b/>
          <w:lang w:val="fr-BE"/>
        </w:rPr>
        <w:t>13</w:t>
      </w:r>
      <w:r w:rsidRPr="00176D53">
        <w:rPr>
          <w:rFonts w:ascii="Times New Roman" w:hAnsi="Times New Roman"/>
          <w:lang w:val="fr-BE"/>
        </w:rPr>
        <w:t xml:space="preserve"> indique qu'il est attendu de la Commission qu’elle présente sa stratégie relative aux perturbateurs endocriniens afin de limiter l’exposition à ces substances, en plus de l'exposition aux pesticides et aux biocides. À cet égard, la Commission a adopté, le </w:t>
      </w:r>
      <w:r w:rsidRPr="003408AC">
        <w:rPr>
          <w:rFonts w:ascii="Times New Roman" w:hAnsi="Times New Roman"/>
          <w:lang w:val="fr-BE"/>
        </w:rPr>
        <w:t>7</w:t>
      </w:r>
      <w:r w:rsidRPr="00176D53">
        <w:rPr>
          <w:rFonts w:ascii="Times New Roman" w:hAnsi="Times New Roman"/>
          <w:lang w:val="fr-BE"/>
        </w:rPr>
        <w:t> novembre </w:t>
      </w:r>
      <w:r w:rsidRPr="003408AC">
        <w:rPr>
          <w:rFonts w:ascii="Times New Roman" w:hAnsi="Times New Roman"/>
          <w:lang w:val="fr-BE"/>
        </w:rPr>
        <w:t>2018</w:t>
      </w:r>
      <w:r w:rsidRPr="00176D53">
        <w:rPr>
          <w:rFonts w:ascii="Times New Roman" w:hAnsi="Times New Roman"/>
          <w:lang w:val="fr-BE"/>
        </w:rPr>
        <w:t>, une communication qui décrit l'approche stratégique de l’Union européenne en matière de perturbateurs endocriniens pour les années à venir. Cette approche, fondée sur l’application du principe de précaution, vise à réduire le plus possible l’exposition globale des êtres humains et de l’environnement aux perturbateurs endocriniens en établissant une base de recherche approfondie pour une prise de décision efficace et tournée vers l’avenir et en encourageant un dialogue actif permettant à toutes les parties intéressées d’être entendues et de travailler ensemble.</w:t>
      </w:r>
    </w:p>
    <w:p w:rsidR="005D2096" w:rsidRPr="00176D53" w:rsidRDefault="005D2096" w:rsidP="005D2096">
      <w:pPr>
        <w:keepNext/>
        <w:keepLines/>
        <w:spacing w:after="120"/>
        <w:ind w:right="-28"/>
        <w:rPr>
          <w:rFonts w:ascii="Times New Roman" w:hAnsi="Times New Roman"/>
          <w:szCs w:val="24"/>
          <w:lang w:val="fr-BE"/>
        </w:rPr>
      </w:pPr>
      <w:r w:rsidRPr="00176D53">
        <w:rPr>
          <w:rFonts w:ascii="Times New Roman" w:hAnsi="Times New Roman"/>
          <w:lang w:val="fr-BE"/>
        </w:rPr>
        <w:t xml:space="preserve">Au </w:t>
      </w:r>
      <w:r w:rsidRPr="00176D53">
        <w:rPr>
          <w:rFonts w:ascii="Times New Roman" w:hAnsi="Times New Roman"/>
          <w:b/>
          <w:lang w:val="fr-BE"/>
        </w:rPr>
        <w:t xml:space="preserve">paragraphe </w:t>
      </w:r>
      <w:r w:rsidRPr="003408AC">
        <w:rPr>
          <w:rFonts w:ascii="Times New Roman" w:hAnsi="Times New Roman"/>
          <w:b/>
          <w:lang w:val="fr-BE"/>
        </w:rPr>
        <w:t>15</w:t>
      </w:r>
      <w:r w:rsidRPr="00176D53">
        <w:rPr>
          <w:rFonts w:ascii="Times New Roman" w:hAnsi="Times New Roman"/>
          <w:lang w:val="fr-BE"/>
        </w:rPr>
        <w:t>, la Commission et les États membres sont invités à faire en sorte que les toutes les substances extrêmement préoccupantes concernées soient inscrites d'ici à </w:t>
      </w:r>
      <w:r w:rsidRPr="003408AC">
        <w:rPr>
          <w:rFonts w:ascii="Times New Roman" w:hAnsi="Times New Roman"/>
          <w:lang w:val="fr-BE"/>
        </w:rPr>
        <w:t>2020</w:t>
      </w:r>
      <w:r w:rsidRPr="00176D53">
        <w:rPr>
          <w:rFonts w:ascii="Times New Roman" w:hAnsi="Times New Roman"/>
          <w:lang w:val="fr-BE"/>
        </w:rPr>
        <w:t xml:space="preserve"> sur la liste des substances candidates du règlement REACH. Le rapport sur la révision du règlement REACH indique que, conformément à la feuille de route sur les substances extrêmement préoccupantes (février </w:t>
      </w:r>
      <w:r w:rsidRPr="003408AC">
        <w:rPr>
          <w:rFonts w:ascii="Times New Roman" w:hAnsi="Times New Roman"/>
          <w:lang w:val="fr-BE"/>
        </w:rPr>
        <w:t>2013</w:t>
      </w:r>
      <w:r w:rsidRPr="00176D53">
        <w:rPr>
          <w:rFonts w:ascii="Times New Roman" w:hAnsi="Times New Roman"/>
          <w:lang w:val="fr-BE"/>
        </w:rPr>
        <w:t>), la plupart des substances présentant des propriétés extrêmement préoccupantes ont été à présent évaluées. D’autres substances font actuellement l'objet d'évaluations, sur la base des informations fournies dans le cadre des processus d'enregistrement et d'évaluation au titre de REACH, afin de recenser de nouvelles substances potentiellement extrêmement préoccupantes.</w:t>
      </w:r>
    </w:p>
    <w:p w:rsidR="005D2096" w:rsidRPr="00176D53" w:rsidRDefault="005D2096" w:rsidP="005D2096">
      <w:pPr>
        <w:widowControl w:val="0"/>
        <w:spacing w:after="120"/>
        <w:ind w:right="-30"/>
        <w:rPr>
          <w:rFonts w:ascii="Times New Roman" w:hAnsi="Times New Roman"/>
          <w:szCs w:val="24"/>
          <w:lang w:val="fr-BE"/>
        </w:rPr>
      </w:pPr>
      <w:r w:rsidRPr="00176D53">
        <w:rPr>
          <w:rFonts w:ascii="Times New Roman" w:hAnsi="Times New Roman"/>
          <w:lang w:val="fr-BE"/>
        </w:rPr>
        <w:t xml:space="preserve">En ce qui concerne la demande formulée au </w:t>
      </w:r>
      <w:r w:rsidRPr="00176D53">
        <w:rPr>
          <w:rFonts w:ascii="Times New Roman" w:hAnsi="Times New Roman"/>
          <w:b/>
          <w:lang w:val="fr-BE"/>
        </w:rPr>
        <w:t>paragraphe </w:t>
      </w:r>
      <w:r w:rsidRPr="003408AC">
        <w:rPr>
          <w:rFonts w:ascii="Times New Roman" w:hAnsi="Times New Roman"/>
          <w:b/>
          <w:lang w:val="fr-BE"/>
        </w:rPr>
        <w:t>32</w:t>
      </w:r>
      <w:r w:rsidRPr="00176D53">
        <w:rPr>
          <w:rFonts w:ascii="Times New Roman" w:hAnsi="Times New Roman"/>
          <w:lang w:val="fr-BE"/>
        </w:rPr>
        <w:t>, invitant la Commission et les États membres à coopérer pleinement en ce qui concerne les critères relatifs à la fin du statut de déchet, la Commission fait observer que les dispositions de l’Union relatives à la fin du statut de déchet ont été récemment mises à jour par la directive (UE) </w:t>
      </w:r>
      <w:r w:rsidRPr="003408AC">
        <w:rPr>
          <w:rFonts w:ascii="Times New Roman" w:hAnsi="Times New Roman"/>
          <w:lang w:val="fr-BE"/>
        </w:rPr>
        <w:t>2018</w:t>
      </w:r>
      <w:r w:rsidRPr="00176D53">
        <w:rPr>
          <w:rFonts w:ascii="Times New Roman" w:hAnsi="Times New Roman"/>
          <w:lang w:val="fr-BE"/>
        </w:rPr>
        <w:t>/</w:t>
      </w:r>
      <w:r w:rsidRPr="003408AC">
        <w:rPr>
          <w:rFonts w:ascii="Times New Roman" w:hAnsi="Times New Roman"/>
          <w:lang w:val="fr-BE"/>
        </w:rPr>
        <w:t>851</w:t>
      </w:r>
      <w:r w:rsidRPr="00176D53">
        <w:rPr>
          <w:rFonts w:ascii="Times New Roman" w:hAnsi="Times New Roman"/>
          <w:lang w:val="fr-BE"/>
        </w:rPr>
        <w:t xml:space="preserve"> du Parlement européen et du Conseil modifiant la directive </w:t>
      </w:r>
      <w:r w:rsidRPr="003408AC">
        <w:rPr>
          <w:rFonts w:ascii="Times New Roman" w:hAnsi="Times New Roman"/>
          <w:lang w:val="fr-BE"/>
        </w:rPr>
        <w:t>2008</w:t>
      </w:r>
      <w:r w:rsidRPr="00176D53">
        <w:rPr>
          <w:rFonts w:ascii="Times New Roman" w:hAnsi="Times New Roman"/>
          <w:lang w:val="fr-BE"/>
        </w:rPr>
        <w:t>/</w:t>
      </w:r>
      <w:r w:rsidRPr="003408AC">
        <w:rPr>
          <w:rFonts w:ascii="Times New Roman" w:hAnsi="Times New Roman"/>
          <w:lang w:val="fr-BE"/>
        </w:rPr>
        <w:t>98</w:t>
      </w:r>
      <w:r w:rsidRPr="00176D53">
        <w:rPr>
          <w:rFonts w:ascii="Times New Roman" w:hAnsi="Times New Roman"/>
          <w:lang w:val="fr-BE"/>
        </w:rPr>
        <w:t>/CE relative aux déchets (la</w:t>
      </w:r>
      <w:proofErr w:type="gramStart"/>
      <w:r w:rsidRPr="00176D53">
        <w:rPr>
          <w:rFonts w:ascii="Times New Roman" w:hAnsi="Times New Roman"/>
          <w:lang w:val="fr-BE"/>
        </w:rPr>
        <w:t xml:space="preserve"> «directive</w:t>
      </w:r>
      <w:proofErr w:type="gramEnd"/>
      <w:r w:rsidRPr="00176D53">
        <w:rPr>
          <w:rFonts w:ascii="Times New Roman" w:hAnsi="Times New Roman"/>
          <w:lang w:val="fr-BE"/>
        </w:rPr>
        <w:t>-cadre relative aux déchets»). Afin de faciliter la transposition de ces dispositions dans le droit national et de sensibiliser l’opinion sur la manière dont elles sont mises en œuvre dans tous les États membres, y compris sous la forme de meilleures pratiques, la Commission mène actuellement une étude sur les pratiques en vigueur dans les États membres concernant la mise en œuvre et la vérification des dispositions relatives à la fin du statut de déchet. Les résultats de cette étude devraient être disponibles d’ici à la fin de l’année </w:t>
      </w:r>
      <w:r w:rsidRPr="003408AC">
        <w:rPr>
          <w:rFonts w:ascii="Times New Roman" w:hAnsi="Times New Roman"/>
          <w:lang w:val="fr-BE"/>
        </w:rPr>
        <w:t>2019</w:t>
      </w:r>
      <w:r w:rsidRPr="00176D53">
        <w:rPr>
          <w:rFonts w:ascii="Times New Roman" w:hAnsi="Times New Roman"/>
          <w:lang w:val="fr-BE"/>
        </w:rPr>
        <w:t>. Un ensemble de données en ligne regroupant les critères nationaux relatifs à la fin du statut de déchet et les critères applicables aux sous-produits est déjà accessible au public par l'intermédiaire de la base de données TRIS</w:t>
      </w:r>
      <w:r>
        <w:rPr>
          <w:rStyle w:val="FootnoteReference"/>
          <w:rFonts w:ascii="Times New Roman" w:hAnsi="Times New Roman"/>
        </w:rPr>
        <w:footnoteReference w:id="2"/>
      </w:r>
      <w:r w:rsidRPr="00176D53">
        <w:rPr>
          <w:lang w:val="fr-BE"/>
        </w:rPr>
        <w:t>.</w:t>
      </w:r>
    </w:p>
    <w:p w:rsidR="005D2096" w:rsidRPr="00176D53" w:rsidRDefault="005D2096" w:rsidP="005D2096">
      <w:pPr>
        <w:widowControl w:val="0"/>
        <w:spacing w:after="120"/>
        <w:ind w:right="-30"/>
        <w:rPr>
          <w:rFonts w:ascii="Times New Roman" w:hAnsi="Times New Roman"/>
          <w:szCs w:val="24"/>
          <w:lang w:val="fr-BE"/>
        </w:rPr>
      </w:pPr>
      <w:r w:rsidRPr="00176D53">
        <w:rPr>
          <w:rFonts w:ascii="Times New Roman" w:hAnsi="Times New Roman"/>
          <w:lang w:val="fr-BE"/>
        </w:rPr>
        <w:t xml:space="preserve">En ce qui concerne la demande formulée au </w:t>
      </w:r>
      <w:r w:rsidRPr="00176D53">
        <w:rPr>
          <w:rFonts w:ascii="Times New Roman" w:hAnsi="Times New Roman"/>
          <w:b/>
          <w:lang w:val="fr-BE"/>
        </w:rPr>
        <w:t xml:space="preserve">paragraphe </w:t>
      </w:r>
      <w:r w:rsidRPr="003408AC">
        <w:rPr>
          <w:rFonts w:ascii="Times New Roman" w:hAnsi="Times New Roman"/>
          <w:b/>
          <w:lang w:val="fr-BE"/>
        </w:rPr>
        <w:t>34</w:t>
      </w:r>
      <w:r w:rsidRPr="00176D53">
        <w:rPr>
          <w:rFonts w:ascii="Times New Roman" w:hAnsi="Times New Roman"/>
          <w:lang w:val="fr-BE"/>
        </w:rPr>
        <w:t xml:space="preserve">, qui invite la Commission à préciser l’interprétation correcte du règlement CLP (classification, étiquetage et emballage) en qui concerne la classification des flux de déchets, la Commission confirme que des lignes directrices visant à promouvoir une approche plus cohérente de la classification des déchets et expliquant notamment les liens entre le règlement CLP, la directive-cadre sur les déchets et la liste des déchets ont été publiées le </w:t>
      </w:r>
      <w:r w:rsidRPr="003408AC">
        <w:rPr>
          <w:rFonts w:ascii="Times New Roman" w:hAnsi="Times New Roman"/>
          <w:lang w:val="fr-BE"/>
        </w:rPr>
        <w:t>9</w:t>
      </w:r>
      <w:r w:rsidRPr="00176D53">
        <w:rPr>
          <w:rFonts w:ascii="Times New Roman" w:hAnsi="Times New Roman"/>
          <w:lang w:val="fr-BE"/>
        </w:rPr>
        <w:t> avril </w:t>
      </w:r>
      <w:r w:rsidRPr="003408AC">
        <w:rPr>
          <w:rFonts w:ascii="Times New Roman" w:hAnsi="Times New Roman"/>
          <w:lang w:val="fr-BE"/>
        </w:rPr>
        <w:t>2018</w:t>
      </w:r>
      <w:r w:rsidRPr="00176D53">
        <w:rPr>
          <w:rFonts w:ascii="Times New Roman" w:hAnsi="Times New Roman"/>
          <w:lang w:val="fr-BE"/>
        </w:rPr>
        <w:t xml:space="preserve"> (</w:t>
      </w:r>
      <w:r w:rsidRPr="003408AC">
        <w:rPr>
          <w:rFonts w:ascii="Times New Roman" w:hAnsi="Times New Roman"/>
          <w:lang w:val="fr-BE"/>
        </w:rPr>
        <w:t>2018</w:t>
      </w:r>
      <w:r w:rsidRPr="00176D53">
        <w:rPr>
          <w:rFonts w:ascii="Times New Roman" w:hAnsi="Times New Roman"/>
          <w:lang w:val="fr-BE"/>
        </w:rPr>
        <w:t xml:space="preserve">/C </w:t>
      </w:r>
      <w:r w:rsidRPr="003408AC">
        <w:rPr>
          <w:rFonts w:ascii="Times New Roman" w:hAnsi="Times New Roman"/>
          <w:lang w:val="fr-BE"/>
        </w:rPr>
        <w:t>124</w:t>
      </w:r>
      <w:r w:rsidRPr="00176D53">
        <w:rPr>
          <w:rFonts w:ascii="Times New Roman" w:hAnsi="Times New Roman"/>
          <w:lang w:val="fr-BE"/>
        </w:rPr>
        <w:t>/</w:t>
      </w:r>
      <w:r w:rsidRPr="003408AC">
        <w:rPr>
          <w:rFonts w:ascii="Times New Roman" w:hAnsi="Times New Roman"/>
          <w:lang w:val="fr-BE"/>
        </w:rPr>
        <w:t>01</w:t>
      </w:r>
      <w:r w:rsidRPr="00176D53">
        <w:rPr>
          <w:rFonts w:ascii="Times New Roman" w:hAnsi="Times New Roman"/>
          <w:lang w:val="fr-BE"/>
        </w:rPr>
        <w:t>). Ces lignes directrices offrent une vue d'ensemble de la législation applicable de l’Union, donnent des exemples de types de déchets dont la classification est jugée difficile par les parties concernées, et expliquent, étape par étape, comment déterminer si un déchet présente des propriétés dangereuses et, le cas échéant, comment le classer.</w:t>
      </w:r>
    </w:p>
    <w:p w:rsidR="005D2096" w:rsidRPr="00176D53" w:rsidRDefault="005D2096" w:rsidP="005D2096">
      <w:pPr>
        <w:widowControl w:val="0"/>
        <w:spacing w:after="120"/>
        <w:ind w:right="-30"/>
        <w:rPr>
          <w:rFonts w:ascii="Times New Roman" w:hAnsi="Times New Roman"/>
          <w:szCs w:val="24"/>
          <w:lang w:val="fr-BE"/>
        </w:rPr>
      </w:pPr>
      <w:r w:rsidRPr="00176D53">
        <w:rPr>
          <w:rFonts w:ascii="Times New Roman" w:hAnsi="Times New Roman"/>
          <w:lang w:val="fr-BE"/>
        </w:rPr>
        <w:t xml:space="preserve">En ce qui concerne la demande formulée au </w:t>
      </w:r>
      <w:r w:rsidRPr="00176D53">
        <w:rPr>
          <w:rFonts w:ascii="Times New Roman" w:hAnsi="Times New Roman"/>
          <w:b/>
          <w:lang w:val="fr-BE"/>
        </w:rPr>
        <w:t>paragraphe </w:t>
      </w:r>
      <w:r w:rsidRPr="003408AC">
        <w:rPr>
          <w:rFonts w:ascii="Times New Roman" w:hAnsi="Times New Roman"/>
          <w:b/>
          <w:lang w:val="fr-BE"/>
        </w:rPr>
        <w:t>36</w:t>
      </w:r>
      <w:r w:rsidRPr="00176D53">
        <w:rPr>
          <w:rFonts w:ascii="Times New Roman" w:hAnsi="Times New Roman"/>
          <w:lang w:val="fr-BE"/>
        </w:rPr>
        <w:t>, invitant la Commission à mettre à jour la liste européenne des déchets (décision </w:t>
      </w:r>
      <w:r w:rsidRPr="003408AC">
        <w:rPr>
          <w:rFonts w:ascii="Times New Roman" w:hAnsi="Times New Roman"/>
          <w:lang w:val="fr-BE"/>
        </w:rPr>
        <w:t>2000</w:t>
      </w:r>
      <w:r w:rsidRPr="00176D53">
        <w:rPr>
          <w:rFonts w:ascii="Times New Roman" w:hAnsi="Times New Roman"/>
          <w:lang w:val="fr-BE"/>
        </w:rPr>
        <w:t>/</w:t>
      </w:r>
      <w:r w:rsidRPr="003408AC">
        <w:rPr>
          <w:rFonts w:ascii="Times New Roman" w:hAnsi="Times New Roman"/>
          <w:lang w:val="fr-BE"/>
        </w:rPr>
        <w:t>532</w:t>
      </w:r>
      <w:r w:rsidRPr="00176D53">
        <w:rPr>
          <w:rFonts w:ascii="Times New Roman" w:hAnsi="Times New Roman"/>
          <w:lang w:val="fr-BE"/>
        </w:rPr>
        <w:t xml:space="preserve">/CE de la Commission), la </w:t>
      </w:r>
      <w:r w:rsidRPr="00176D53">
        <w:rPr>
          <w:rFonts w:ascii="Times New Roman" w:hAnsi="Times New Roman"/>
          <w:lang w:val="fr-BE"/>
        </w:rPr>
        <w:lastRenderedPageBreak/>
        <w:t>Commission fait observer que la liste des déchets a déjà été revue en </w:t>
      </w:r>
      <w:r w:rsidRPr="003408AC">
        <w:rPr>
          <w:rFonts w:ascii="Times New Roman" w:hAnsi="Times New Roman"/>
          <w:lang w:val="fr-BE"/>
        </w:rPr>
        <w:t>2014</w:t>
      </w:r>
      <w:r w:rsidRPr="00176D53">
        <w:rPr>
          <w:rFonts w:ascii="Times New Roman" w:hAnsi="Times New Roman"/>
          <w:lang w:val="fr-BE"/>
        </w:rPr>
        <w:t xml:space="preserve"> et que sa cohérence par rapport aux principes du règlement CLP a été évaluée. Par conséquent, la Commission estime qu’il n’est pas opportun, pour le moment, d'actualiser à nouveau cette liste.</w:t>
      </w:r>
    </w:p>
    <w:p w:rsidR="00680EFD" w:rsidRPr="005D2096" w:rsidRDefault="00680EFD">
      <w:pPr>
        <w:rPr>
          <w:lang w:val="fr-BE"/>
        </w:rPr>
      </w:pPr>
    </w:p>
    <w:sectPr w:rsidR="00680EFD" w:rsidRPr="005D20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96" w:rsidRDefault="005D2096" w:rsidP="005D2096">
      <w:pPr>
        <w:spacing w:after="0"/>
      </w:pPr>
      <w:r>
        <w:separator/>
      </w:r>
    </w:p>
  </w:endnote>
  <w:endnote w:type="continuationSeparator" w:id="0">
    <w:p w:rsidR="005D2096" w:rsidRDefault="005D2096" w:rsidP="005D2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96" w:rsidRDefault="005D2096" w:rsidP="005D2096">
      <w:pPr>
        <w:spacing w:after="0"/>
      </w:pPr>
      <w:r>
        <w:separator/>
      </w:r>
    </w:p>
  </w:footnote>
  <w:footnote w:type="continuationSeparator" w:id="0">
    <w:p w:rsidR="005D2096" w:rsidRDefault="005D2096" w:rsidP="005D2096">
      <w:pPr>
        <w:spacing w:after="0"/>
      </w:pPr>
      <w:r>
        <w:continuationSeparator/>
      </w:r>
    </w:p>
  </w:footnote>
  <w:footnote w:id="1">
    <w:p w:rsidR="005D2096" w:rsidRPr="005D2096" w:rsidRDefault="005D2096" w:rsidP="005D2096">
      <w:pPr>
        <w:pStyle w:val="FootnotesymbolCarZchn"/>
        <w:spacing w:after="0" w:line="240" w:lineRule="auto"/>
        <w:ind w:left="357" w:hanging="357"/>
        <w:rPr>
          <w:lang w:val="fr-BE"/>
        </w:rPr>
      </w:pPr>
      <w:r w:rsidRPr="005D2096">
        <w:rPr>
          <w:rStyle w:val="FootnoteReference"/>
        </w:rPr>
        <w:footnoteRef/>
      </w:r>
      <w:r w:rsidRPr="005D2096">
        <w:rPr>
          <w:lang w:val="fr-BE"/>
        </w:rPr>
        <w:t xml:space="preserve"> </w:t>
      </w:r>
      <w:r w:rsidRPr="005D2096">
        <w:rPr>
          <w:lang w:val="fr-BE"/>
        </w:rPr>
        <w:tab/>
        <w:t>COMMUNICATION DE LA COMMISSION AU PARLEMENT EUROPÉEN, AU CONSEIL, AU COMITÉ ÉCONOMIQUE ET SOCIAL EUROPÉEN, ET AU COMITÉ DES RÉGIONS</w:t>
      </w:r>
      <w:proofErr w:type="gramStart"/>
      <w:r w:rsidRPr="005D2096">
        <w:rPr>
          <w:lang w:val="fr-BE"/>
        </w:rPr>
        <w:t xml:space="preserve"> </w:t>
      </w:r>
      <w:r w:rsidRPr="005D2096">
        <w:rPr>
          <w:rStyle w:val="FootnoteTextChar2"/>
          <w:rFonts w:ascii="Times New Roman" w:hAnsi="Times New Roman"/>
          <w:lang w:val="fr-BE"/>
        </w:rPr>
        <w:t>«Vers</w:t>
      </w:r>
      <w:proofErr w:type="gramEnd"/>
      <w:r w:rsidRPr="005D2096">
        <w:rPr>
          <w:rStyle w:val="FootnoteTextChar2"/>
          <w:rFonts w:ascii="Times New Roman" w:hAnsi="Times New Roman"/>
          <w:lang w:val="fr-BE"/>
        </w:rPr>
        <w:t xml:space="preserve"> un cadre complet de l'Union européenne en matière de perturbateurs endocriniens»</w:t>
      </w:r>
    </w:p>
  </w:footnote>
  <w:footnote w:id="2">
    <w:p w:rsidR="005D2096" w:rsidRPr="005D2096" w:rsidRDefault="005D2096" w:rsidP="005D2096">
      <w:pPr>
        <w:pStyle w:val="FootnoteText"/>
        <w:spacing w:after="0"/>
        <w:rPr>
          <w:rFonts w:ascii="Times New Roman" w:hAnsi="Times New Roman"/>
          <w:lang w:val="fr-BE"/>
        </w:rPr>
      </w:pPr>
      <w:r w:rsidRPr="005D2096">
        <w:rPr>
          <w:rStyle w:val="FootnoteReference"/>
          <w:rFonts w:ascii="Times New Roman" w:hAnsi="Times New Roman"/>
        </w:rPr>
        <w:footnoteRef/>
      </w:r>
      <w:r w:rsidRPr="005D2096">
        <w:rPr>
          <w:rFonts w:ascii="Times New Roman" w:hAnsi="Times New Roman"/>
          <w:lang w:val="fr-BE"/>
        </w:rPr>
        <w:t xml:space="preserve"> </w:t>
      </w:r>
      <w:r w:rsidRPr="005D2096">
        <w:rPr>
          <w:lang w:val="fr-BE"/>
        </w:rPr>
        <w:tab/>
      </w:r>
      <w:r w:rsidRPr="005D2096">
        <w:rPr>
          <w:rFonts w:ascii="Times New Roman" w:hAnsi="Times New Roman"/>
          <w:lang w:val="fr-BE"/>
        </w:rPr>
        <w:t xml:space="preserve">Disponible à l'adresse suivante: </w:t>
      </w:r>
      <w:hyperlink r:id="rId1" w:history="1">
        <w:r w:rsidRPr="005D2096">
          <w:rPr>
            <w:rStyle w:val="Hyperlink"/>
            <w:rFonts w:ascii="Times New Roman" w:hAnsi="Times New Roman"/>
            <w:color w:val="auto"/>
            <w:lang w:val="fr-BE"/>
          </w:rPr>
          <w:t>http://ec.europa.eu/growth/tools-databases/tris/fr/search/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D6E97"/>
    <w:multiLevelType w:val="hybridMultilevel"/>
    <w:tmpl w:val="DE2AA9D8"/>
    <w:lvl w:ilvl="0" w:tplc="6D98C0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96"/>
    <w:rsid w:val="00131AC6"/>
    <w:rsid w:val="005D2096"/>
    <w:rsid w:val="00680EFD"/>
    <w:rsid w:val="00B34A98"/>
    <w:rsid w:val="00C54B90"/>
    <w:rsid w:val="00DA1A96"/>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BEFA1-DD25-49B1-8255-034522C0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96"/>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qFormat/>
    <w:rsid w:val="005D2096"/>
    <w:pPr>
      <w:ind w:left="357" w:hanging="357"/>
    </w:pPr>
    <w:rPr>
      <w:sz w:val="20"/>
    </w:rPr>
  </w:style>
  <w:style w:type="character" w:customStyle="1" w:styleId="FootnoteTextChar">
    <w:name w:val="Footnote Text Char"/>
    <w:basedOn w:val="DefaultParagraphFont"/>
    <w:uiPriority w:val="99"/>
    <w:semiHidden/>
    <w:rsid w:val="005D2096"/>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sid w:val="005D2096"/>
    <w:rPr>
      <w:vertAlign w:val="superscript"/>
    </w:rPr>
  </w:style>
  <w:style w:type="character" w:styleId="Hyperlink">
    <w:name w:val="Hyperlink"/>
    <w:aliases w:val="Char1"/>
    <w:uiPriority w:val="99"/>
    <w:rsid w:val="005D2096"/>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rsid w:val="005D2096"/>
    <w:rPr>
      <w:rFonts w:ascii="Courier New" w:eastAsia="Times New Roman" w:hAnsi="Courier New" w:cs="Times New Roman"/>
      <w:sz w:val="20"/>
      <w:szCs w:val="20"/>
      <w:lang w:eastAsia="en-GB"/>
    </w:rPr>
  </w:style>
  <w:style w:type="paragraph" w:customStyle="1" w:styleId="Default">
    <w:name w:val="Default"/>
    <w:rsid w:val="005D2096"/>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5D2096"/>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uiPriority w:val="99"/>
    <w:rsid w:val="005D2096"/>
    <w:pPr>
      <w:spacing w:after="0" w:line="360" w:lineRule="auto"/>
    </w:pPr>
    <w:rPr>
      <w:rFonts w:ascii="Verdana" w:hAnsi="Verdana"/>
      <w:sz w:val="20"/>
      <w:lang w:val="pl-PL" w:eastAsia="pl-P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5D2096"/>
    <w:pPr>
      <w:spacing w:after="160" w:line="240" w:lineRule="exact"/>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tools-databases/tris/fr/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9799</Characters>
  <Application>Microsoft Office Word</Application>
  <DocSecurity>0</DocSecurity>
  <Lines>136</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3</cp:revision>
  <dcterms:created xsi:type="dcterms:W3CDTF">2019-03-06T13:00:00Z</dcterms:created>
  <dcterms:modified xsi:type="dcterms:W3CDTF">2019-03-11T14:05:00Z</dcterms:modified>
</cp:coreProperties>
</file>