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A5" w:rsidRPr="001827A5" w:rsidRDefault="001827A5" w:rsidP="001827A5">
      <w:pPr>
        <w:spacing w:after="240"/>
        <w:jc w:val="center"/>
        <w:rPr>
          <w:rFonts w:eastAsia="Times New Roman"/>
          <w:szCs w:val="20"/>
          <w:lang w:eastAsia="en-GB"/>
        </w:rPr>
      </w:pPr>
      <w:r w:rsidRPr="001827A5">
        <w:rPr>
          <w:rFonts w:eastAsia="Times New Roman"/>
          <w:b/>
          <w:szCs w:val="20"/>
          <w:lang w:eastAsia="en-GB"/>
        </w:rPr>
        <w:t xml:space="preserve">ORDINARY LEGISLATIVE </w:t>
      </w:r>
      <w:r w:rsidRPr="001827A5">
        <w:rPr>
          <w:rFonts w:eastAsia="Times New Roman"/>
          <w:b/>
          <w:caps/>
          <w:szCs w:val="20"/>
          <w:lang w:eastAsia="en-GB"/>
        </w:rPr>
        <w:t>procedure</w:t>
      </w:r>
      <w:r w:rsidRPr="001827A5">
        <w:rPr>
          <w:rFonts w:eastAsia="Times New Roman"/>
          <w:b/>
          <w:szCs w:val="20"/>
          <w:lang w:eastAsia="en-GB"/>
        </w:rPr>
        <w:t xml:space="preserve"> – First reading</w:t>
      </w:r>
    </w:p>
    <w:p w:rsidR="001827A5" w:rsidRPr="001827A5" w:rsidRDefault="001827A5" w:rsidP="001827A5">
      <w:pPr>
        <w:spacing w:after="720" w:line="240" w:lineRule="atLeast"/>
        <w:jc w:val="center"/>
        <w:rPr>
          <w:rFonts w:eastAsia="Times New Roman"/>
          <w:lang w:eastAsia="en-GB"/>
        </w:rPr>
      </w:pPr>
      <w:bookmarkStart w:id="0" w:name="WIKSTRÖM"/>
      <w:r w:rsidRPr="001827A5">
        <w:rPr>
          <w:rFonts w:eastAsia="Times New Roman"/>
          <w:b/>
          <w:bCs/>
          <w:lang w:eastAsia="en-GB"/>
        </w:rPr>
        <w:t xml:space="preserve">Follow up to the </w:t>
      </w:r>
      <w:r w:rsidRPr="001827A5">
        <w:rPr>
          <w:rFonts w:eastAsia="Times New Roman"/>
          <w:b/>
          <w:szCs w:val="20"/>
          <w:lang w:eastAsia="en-GB"/>
        </w:rPr>
        <w:t xml:space="preserve">European Parliament legislative resolution </w:t>
      </w:r>
      <w:r w:rsidRPr="001827A5">
        <w:rPr>
          <w:rFonts w:eastAsia="Times New Roman"/>
          <w:b/>
          <w:bCs/>
          <w:lang w:eastAsia="en-GB"/>
        </w:rPr>
        <w:t>on the proposal for a regulation of the European Parliament and of the Council amending Regulation (EC) No 862/2007 of the European Parliament and of the Council on Community statistics on migration and international protection</w:t>
      </w:r>
    </w:p>
    <w:bookmarkEnd w:id="0"/>
    <w:p w:rsidR="001827A5" w:rsidRPr="001827A5" w:rsidRDefault="001827A5" w:rsidP="001827A5">
      <w:pPr>
        <w:shd w:val="clear" w:color="auto" w:fill="FFFFFF"/>
        <w:spacing w:line="288" w:lineRule="atLeast"/>
        <w:jc w:val="left"/>
        <w:textAlignment w:val="center"/>
        <w:rPr>
          <w:rFonts w:eastAsia="Times New Roman"/>
          <w:szCs w:val="20"/>
          <w:lang w:val="fr-BE" w:eastAsia="en-GB"/>
        </w:rPr>
      </w:pPr>
      <w:r w:rsidRPr="001827A5">
        <w:rPr>
          <w:rFonts w:eastAsia="Times New Roman"/>
          <w:b/>
          <w:szCs w:val="20"/>
          <w:lang w:val="fr-BE" w:eastAsia="en-GB"/>
        </w:rPr>
        <w:t>1.</w:t>
      </w:r>
      <w:r w:rsidRPr="001827A5">
        <w:rPr>
          <w:rFonts w:eastAsia="Times New Roman"/>
          <w:b/>
          <w:szCs w:val="20"/>
          <w:lang w:val="fr-BE" w:eastAsia="en-GB"/>
        </w:rPr>
        <w:tab/>
        <w:t xml:space="preserve">Rapporteur: </w:t>
      </w:r>
      <w:r w:rsidRPr="001827A5">
        <w:rPr>
          <w:rFonts w:eastAsia="Times New Roman"/>
          <w:bdr w:val="none" w:sz="0" w:space="0" w:color="auto" w:frame="1"/>
          <w:lang w:val="fr-BE" w:eastAsia="en-GB"/>
        </w:rPr>
        <w:t>Cecilia WIKSTRÖM</w:t>
      </w:r>
      <w:r w:rsidRPr="001827A5">
        <w:rPr>
          <w:rFonts w:eastAsia="Times New Roman"/>
          <w:szCs w:val="20"/>
          <w:lang w:val="fr-BE" w:eastAsia="en-GB"/>
        </w:rPr>
        <w:t xml:space="preserve"> (ALDE / SE)</w:t>
      </w:r>
    </w:p>
    <w:p w:rsidR="001827A5" w:rsidRPr="001827A5" w:rsidRDefault="001827A5" w:rsidP="001827A5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1827A5">
        <w:rPr>
          <w:rFonts w:eastAsia="Times New Roman"/>
          <w:b/>
          <w:szCs w:val="20"/>
          <w:lang w:eastAsia="en-GB"/>
        </w:rPr>
        <w:t>2.</w:t>
      </w:r>
      <w:r w:rsidRPr="001827A5">
        <w:rPr>
          <w:rFonts w:eastAsia="Times New Roman"/>
          <w:b/>
          <w:szCs w:val="20"/>
          <w:lang w:eastAsia="en-GB"/>
        </w:rPr>
        <w:tab/>
        <w:t>Reference numbers:</w:t>
      </w:r>
      <w:r w:rsidRPr="001827A5">
        <w:rPr>
          <w:rFonts w:eastAsia="Times New Roman"/>
          <w:szCs w:val="20"/>
          <w:lang w:eastAsia="en-GB"/>
        </w:rPr>
        <w:t xml:space="preserve"> 2018/0154 (COD) / A8-0395/2018 / P8_TA-</w:t>
      </w:r>
      <w:proofErr w:type="gramStart"/>
      <w:r w:rsidRPr="001827A5">
        <w:rPr>
          <w:rFonts w:eastAsia="Times New Roman"/>
          <w:szCs w:val="20"/>
          <w:lang w:eastAsia="en-GB"/>
        </w:rPr>
        <w:t>PROV(</w:t>
      </w:r>
      <w:proofErr w:type="gramEnd"/>
      <w:r w:rsidRPr="001827A5">
        <w:rPr>
          <w:rFonts w:eastAsia="Times New Roman"/>
          <w:szCs w:val="20"/>
          <w:lang w:eastAsia="en-GB"/>
        </w:rPr>
        <w:t>2019)0359</w:t>
      </w:r>
    </w:p>
    <w:p w:rsidR="001827A5" w:rsidRPr="001827A5" w:rsidRDefault="001827A5" w:rsidP="001827A5">
      <w:pPr>
        <w:spacing w:line="240" w:lineRule="atLeast"/>
        <w:ind w:left="720" w:hanging="720"/>
        <w:jc w:val="left"/>
        <w:rPr>
          <w:rFonts w:eastAsia="Times New Roman"/>
          <w:szCs w:val="20"/>
          <w:lang w:eastAsia="en-GB"/>
        </w:rPr>
      </w:pPr>
      <w:r w:rsidRPr="001827A5">
        <w:rPr>
          <w:rFonts w:eastAsia="Times New Roman"/>
          <w:b/>
          <w:szCs w:val="20"/>
          <w:lang w:eastAsia="en-GB"/>
        </w:rPr>
        <w:t>3.</w:t>
      </w:r>
      <w:r w:rsidRPr="001827A5">
        <w:rPr>
          <w:rFonts w:eastAsia="Times New Roman"/>
          <w:b/>
          <w:szCs w:val="20"/>
          <w:lang w:eastAsia="en-GB"/>
        </w:rPr>
        <w:tab/>
        <w:t xml:space="preserve">Date of adoption of the resolution: </w:t>
      </w:r>
      <w:r w:rsidRPr="001827A5">
        <w:rPr>
          <w:rFonts w:eastAsia="Times New Roman"/>
          <w:szCs w:val="20"/>
          <w:lang w:eastAsia="en-GB"/>
        </w:rPr>
        <w:t>16 April 2019</w:t>
      </w:r>
    </w:p>
    <w:p w:rsidR="001827A5" w:rsidRPr="001827A5" w:rsidRDefault="001827A5" w:rsidP="001827A5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1827A5">
        <w:rPr>
          <w:rFonts w:eastAsia="Times New Roman"/>
          <w:b/>
          <w:szCs w:val="20"/>
          <w:lang w:eastAsia="en-GB"/>
        </w:rPr>
        <w:t>4.</w:t>
      </w:r>
      <w:r w:rsidRPr="001827A5">
        <w:rPr>
          <w:rFonts w:eastAsia="Times New Roman"/>
          <w:b/>
          <w:szCs w:val="20"/>
          <w:lang w:eastAsia="en-GB"/>
        </w:rPr>
        <w:tab/>
        <w:t xml:space="preserve">Legal basis: </w:t>
      </w:r>
      <w:r w:rsidRPr="001827A5">
        <w:rPr>
          <w:rFonts w:eastAsia="Times New Roman"/>
          <w:lang w:eastAsia="en-GB"/>
        </w:rPr>
        <w:t>Article 338(1) of the Treaty on the Functioning of the European Union</w:t>
      </w:r>
    </w:p>
    <w:p w:rsidR="001827A5" w:rsidRPr="001827A5" w:rsidRDefault="001827A5" w:rsidP="001827A5">
      <w:pPr>
        <w:spacing w:before="100" w:beforeAutospacing="1" w:after="100" w:afterAutospacing="1" w:line="240" w:lineRule="atLeast"/>
        <w:ind w:left="720" w:hanging="720"/>
        <w:rPr>
          <w:rFonts w:eastAsia="Times New Roman"/>
          <w:i/>
          <w:szCs w:val="20"/>
          <w:lang w:eastAsia="en-GB"/>
        </w:rPr>
      </w:pPr>
      <w:r w:rsidRPr="001827A5">
        <w:rPr>
          <w:rFonts w:eastAsia="Times New Roman"/>
          <w:b/>
          <w:szCs w:val="20"/>
          <w:lang w:eastAsia="en-GB"/>
        </w:rPr>
        <w:t>5.</w:t>
      </w:r>
      <w:r w:rsidRPr="001827A5">
        <w:rPr>
          <w:rFonts w:eastAsia="Times New Roman"/>
          <w:b/>
          <w:szCs w:val="20"/>
          <w:lang w:eastAsia="en-GB"/>
        </w:rPr>
        <w:tab/>
        <w:t xml:space="preserve">Competent Parliamentary Committee: </w:t>
      </w:r>
      <w:r w:rsidRPr="001827A5">
        <w:rPr>
          <w:rFonts w:eastAsia="Times New Roman"/>
          <w:szCs w:val="20"/>
          <w:lang w:eastAsia="en-GB"/>
        </w:rPr>
        <w:t>Committee on Civil Liberties, Justice and Home Affairs (LIBE)</w:t>
      </w:r>
    </w:p>
    <w:p w:rsidR="001827A5" w:rsidRPr="001827A5" w:rsidRDefault="001827A5" w:rsidP="001827A5">
      <w:pPr>
        <w:spacing w:before="100" w:beforeAutospacing="1" w:after="100" w:afterAutospacing="1" w:line="240" w:lineRule="atLeast"/>
        <w:ind w:left="720" w:hanging="720"/>
        <w:rPr>
          <w:rFonts w:eastAsia="Times New Roman"/>
          <w:color w:val="000000"/>
          <w:sz w:val="22"/>
          <w:szCs w:val="22"/>
          <w:lang w:eastAsia="en-GB"/>
        </w:rPr>
      </w:pPr>
      <w:r w:rsidRPr="001827A5">
        <w:rPr>
          <w:rFonts w:eastAsia="Times New Roman"/>
          <w:b/>
          <w:szCs w:val="20"/>
          <w:lang w:eastAsia="en-GB"/>
        </w:rPr>
        <w:t>6.</w:t>
      </w:r>
      <w:r w:rsidRPr="001827A5">
        <w:rPr>
          <w:rFonts w:eastAsia="Times New Roman"/>
          <w:b/>
          <w:szCs w:val="20"/>
          <w:lang w:eastAsia="en-GB"/>
        </w:rPr>
        <w:tab/>
        <w:t>Commission's position:</w:t>
      </w:r>
      <w:r w:rsidRPr="001827A5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</w:p>
    <w:p w:rsidR="001827A5" w:rsidRPr="001827A5" w:rsidRDefault="001827A5" w:rsidP="001827A5">
      <w:pPr>
        <w:spacing w:before="120" w:after="120"/>
        <w:rPr>
          <w:rFonts w:eastAsia="Times New Roman"/>
          <w:szCs w:val="20"/>
        </w:rPr>
      </w:pPr>
      <w:r w:rsidRPr="001827A5">
        <w:rPr>
          <w:rFonts w:eastAsia="Times New Roman"/>
        </w:rPr>
        <w:t>The Commission takes note of the position of the European Parliament</w:t>
      </w:r>
      <w:r w:rsidRPr="001827A5">
        <w:rPr>
          <w:rFonts w:eastAsia="Times New Roman"/>
          <w:b/>
          <w:szCs w:val="20"/>
        </w:rPr>
        <w:t>.</w:t>
      </w:r>
    </w:p>
    <w:p w:rsidR="001827A5" w:rsidRPr="001827A5" w:rsidRDefault="001827A5" w:rsidP="001827A5">
      <w:pPr>
        <w:spacing w:after="240" w:line="240" w:lineRule="atLeast"/>
        <w:rPr>
          <w:rFonts w:eastAsia="Times New Roman"/>
          <w:szCs w:val="20"/>
          <w:lang w:val="en-US" w:eastAsia="en-GB"/>
        </w:rPr>
      </w:pPr>
      <w:r w:rsidRPr="001827A5">
        <w:rPr>
          <w:rFonts w:eastAsia="Times New Roman"/>
          <w:color w:val="000000"/>
          <w:lang w:eastAsia="en-GB"/>
        </w:rPr>
        <w:t xml:space="preserve">The </w:t>
      </w:r>
      <w:r w:rsidRPr="001827A5">
        <w:rPr>
          <w:rFonts w:eastAsia="Times New Roman"/>
          <w:szCs w:val="20"/>
          <w:lang w:val="en-US" w:eastAsia="en-GB"/>
        </w:rPr>
        <w:t>Commission reserves its position in view of the future negotiations with the new European Parliament and the Council in second reading.</w:t>
      </w:r>
    </w:p>
    <w:p w:rsidR="001827A5" w:rsidRPr="001827A5" w:rsidRDefault="001827A5" w:rsidP="001827A5">
      <w:pPr>
        <w:spacing w:after="240" w:line="240" w:lineRule="atLeast"/>
        <w:rPr>
          <w:rFonts w:eastAsia="Times New Roman"/>
          <w:lang w:val="en-US" w:eastAsia="en-GB"/>
        </w:rPr>
      </w:pPr>
      <w:r w:rsidRPr="001827A5">
        <w:rPr>
          <w:rFonts w:eastAsia="Times New Roman"/>
          <w:lang w:val="en-US" w:eastAsia="en-GB"/>
        </w:rPr>
        <w:t>Nevertheless, the Commission would like to highlight, as examples, certain amendments that, in its opinion, could lead to undesirable effects.</w:t>
      </w:r>
    </w:p>
    <w:p w:rsidR="001827A5" w:rsidRPr="001827A5" w:rsidRDefault="001827A5" w:rsidP="001827A5">
      <w:pPr>
        <w:spacing w:after="120"/>
        <w:rPr>
          <w:rFonts w:eastAsia="Times New Roman"/>
        </w:rPr>
      </w:pPr>
      <w:r w:rsidRPr="001827A5">
        <w:rPr>
          <w:rFonts w:eastAsia="Times New Roman"/>
          <w:b/>
        </w:rPr>
        <w:t xml:space="preserve">Amendments concerning the replacement of the statistical term 'sex' by the term 'gender' or introducing new </w:t>
      </w:r>
      <w:proofErr w:type="spellStart"/>
      <w:r w:rsidRPr="001827A5">
        <w:rPr>
          <w:rFonts w:eastAsia="Times New Roman"/>
          <w:b/>
        </w:rPr>
        <w:t>disaggregations</w:t>
      </w:r>
      <w:proofErr w:type="spellEnd"/>
      <w:r w:rsidRPr="001827A5">
        <w:rPr>
          <w:rFonts w:eastAsia="Times New Roman"/>
          <w:b/>
        </w:rPr>
        <w:t xml:space="preserve"> using ‘gender’ instead of ‘sex’</w:t>
      </w:r>
      <w:r w:rsidRPr="001827A5">
        <w:rPr>
          <w:rFonts w:eastAsia="Times New Roman"/>
        </w:rPr>
        <w:t xml:space="preserve"> could be problematic notably in terms of feasibility and comparability, as the term 'sex' is a standard and internationally recognised concept defined in demographic statistics. This concept </w:t>
      </w:r>
      <w:proofErr w:type="gramStart"/>
      <w:r w:rsidRPr="001827A5">
        <w:rPr>
          <w:rFonts w:eastAsia="Times New Roman"/>
        </w:rPr>
        <w:t>is commonly used</w:t>
      </w:r>
      <w:proofErr w:type="gramEnd"/>
      <w:r w:rsidRPr="001827A5">
        <w:rPr>
          <w:rFonts w:eastAsia="Times New Roman"/>
        </w:rPr>
        <w:t xml:space="preserve"> for collection of population and migration statistics in Eurostat and in the statistical system of the United Nations.</w:t>
      </w:r>
    </w:p>
    <w:p w:rsidR="001827A5" w:rsidRPr="001827A5" w:rsidRDefault="001827A5" w:rsidP="001827A5">
      <w:pPr>
        <w:spacing w:after="120"/>
        <w:rPr>
          <w:rFonts w:eastAsia="Times New Roman"/>
        </w:rPr>
      </w:pPr>
      <w:r w:rsidRPr="001827A5">
        <w:rPr>
          <w:rFonts w:eastAsia="Times New Roman"/>
          <w:b/>
        </w:rPr>
        <w:t>Amendments replacing the term 'illegal' with the term 'irregular'</w:t>
      </w:r>
      <w:r w:rsidRPr="001827A5">
        <w:rPr>
          <w:rFonts w:eastAsia="Times New Roman"/>
        </w:rPr>
        <w:t xml:space="preserve"> could generate a consistency issue with the terminology used in the EU law, in particular Directive 2008/115/EC (Return Directive).</w:t>
      </w:r>
    </w:p>
    <w:p w:rsidR="001827A5" w:rsidRPr="001827A5" w:rsidRDefault="001827A5" w:rsidP="001827A5">
      <w:pPr>
        <w:spacing w:after="120"/>
        <w:rPr>
          <w:rFonts w:eastAsia="Times New Roman"/>
        </w:rPr>
      </w:pPr>
      <w:r w:rsidRPr="001827A5">
        <w:rPr>
          <w:rFonts w:eastAsia="Times New Roman"/>
        </w:rPr>
        <w:t xml:space="preserve">The production or quality of </w:t>
      </w:r>
      <w:r w:rsidRPr="001827A5">
        <w:rPr>
          <w:rFonts w:eastAsia="Times New Roman"/>
          <w:b/>
        </w:rPr>
        <w:t xml:space="preserve">additional statistics or </w:t>
      </w:r>
      <w:proofErr w:type="spellStart"/>
      <w:r w:rsidRPr="001827A5">
        <w:rPr>
          <w:rFonts w:eastAsia="Times New Roman"/>
          <w:b/>
        </w:rPr>
        <w:t>disaggregations</w:t>
      </w:r>
      <w:proofErr w:type="spellEnd"/>
      <w:r w:rsidRPr="001827A5">
        <w:rPr>
          <w:rFonts w:eastAsia="Times New Roman"/>
        </w:rPr>
        <w:t xml:space="preserve"> requested by the European Parliament </w:t>
      </w:r>
      <w:proofErr w:type="gramStart"/>
      <w:r w:rsidRPr="001827A5">
        <w:rPr>
          <w:rFonts w:eastAsia="Times New Roman"/>
        </w:rPr>
        <w:t>could be hampered</w:t>
      </w:r>
      <w:proofErr w:type="gramEnd"/>
      <w:r w:rsidRPr="001827A5">
        <w:rPr>
          <w:rFonts w:eastAsia="Times New Roman"/>
        </w:rPr>
        <w:t xml:space="preserve"> by differences in definitions between countries, or could significantly increase the burden on the Member States.</w:t>
      </w:r>
    </w:p>
    <w:p w:rsidR="001827A5" w:rsidRPr="001827A5" w:rsidRDefault="001827A5" w:rsidP="001827A5">
      <w:pPr>
        <w:rPr>
          <w:rFonts w:eastAsia="Times New Roman"/>
          <w:color w:val="000000"/>
          <w:lang w:eastAsia="en-GB"/>
        </w:rPr>
      </w:pPr>
      <w:r w:rsidRPr="001827A5">
        <w:rPr>
          <w:rFonts w:eastAsia="Times New Roman"/>
          <w:b/>
          <w:lang w:eastAsia="en-GB"/>
        </w:rPr>
        <w:t xml:space="preserve">Amendments related to Commission empowerments </w:t>
      </w:r>
      <w:r w:rsidRPr="001827A5">
        <w:rPr>
          <w:rFonts w:eastAsia="Times New Roman"/>
          <w:lang w:eastAsia="en-GB"/>
        </w:rPr>
        <w:t>need to ensure</w:t>
      </w:r>
      <w:r w:rsidRPr="001827A5">
        <w:rPr>
          <w:rFonts w:eastAsia="Times New Roman"/>
          <w:b/>
          <w:lang w:eastAsia="en-GB"/>
        </w:rPr>
        <w:t xml:space="preserve"> </w:t>
      </w:r>
      <w:r w:rsidRPr="001827A5">
        <w:rPr>
          <w:rFonts w:eastAsia="Times New Roman"/>
          <w:lang w:eastAsia="en-GB"/>
        </w:rPr>
        <w:t>the alignment of provisions providing for Regulatory procedure with scrutiny (RPS) to the system of delegated and implementing acts introduced by the Treaty of Lisbon.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A5"/>
    <w:rsid w:val="000F3C25"/>
    <w:rsid w:val="001827A5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4C37-2B18-4339-9784-A4FCD2E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European Parliament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2019-09-03T13:48:00Z</dcterms:created>
  <dcterms:modified xsi:type="dcterms:W3CDTF">2019-09-03T13:48:00Z</dcterms:modified>
</cp:coreProperties>
</file>