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10" w:rsidRPr="00766010" w:rsidRDefault="00766010" w:rsidP="00766010">
      <w:pPr>
        <w:spacing w:after="240"/>
        <w:jc w:val="center"/>
        <w:rPr>
          <w:rFonts w:eastAsia="Times New Roman"/>
          <w:szCs w:val="20"/>
          <w:lang w:eastAsia="en-GB"/>
        </w:rPr>
      </w:pPr>
      <w:r w:rsidRPr="00766010">
        <w:rPr>
          <w:rFonts w:eastAsia="Times New Roman"/>
          <w:b/>
          <w:szCs w:val="20"/>
          <w:lang w:eastAsia="en-GB"/>
        </w:rPr>
        <w:t xml:space="preserve">ORDINARY LEGISLATIVE </w:t>
      </w:r>
      <w:r w:rsidRPr="00766010">
        <w:rPr>
          <w:rFonts w:eastAsia="Times New Roman"/>
          <w:b/>
          <w:caps/>
          <w:szCs w:val="20"/>
          <w:lang w:eastAsia="en-GB"/>
        </w:rPr>
        <w:t>procedure</w:t>
      </w:r>
      <w:r w:rsidRPr="00766010">
        <w:rPr>
          <w:rFonts w:eastAsia="Times New Roman"/>
          <w:b/>
          <w:szCs w:val="20"/>
          <w:lang w:eastAsia="en-GB"/>
        </w:rPr>
        <w:t xml:space="preserve"> – First reading</w:t>
      </w:r>
    </w:p>
    <w:p w:rsidR="00766010" w:rsidRPr="00766010" w:rsidRDefault="00766010" w:rsidP="00766010">
      <w:pPr>
        <w:spacing w:after="720" w:line="240" w:lineRule="atLeast"/>
        <w:jc w:val="center"/>
        <w:rPr>
          <w:rFonts w:eastAsia="Times New Roman"/>
          <w:lang w:eastAsia="en-GB"/>
        </w:rPr>
      </w:pPr>
      <w:bookmarkStart w:id="0" w:name="NICA"/>
      <w:r w:rsidRPr="00766010">
        <w:rPr>
          <w:rFonts w:eastAsia="Times New Roman"/>
          <w:b/>
          <w:bCs/>
          <w:lang w:eastAsia="en-GB"/>
        </w:rPr>
        <w:t xml:space="preserve">Follow up to the </w:t>
      </w:r>
      <w:r w:rsidRPr="00766010">
        <w:rPr>
          <w:rFonts w:eastAsia="Times New Roman"/>
          <w:b/>
          <w:szCs w:val="20"/>
          <w:lang w:eastAsia="en-GB"/>
        </w:rPr>
        <w:t xml:space="preserve">European Parliament legislative resolution </w:t>
      </w:r>
      <w:r w:rsidRPr="00766010">
        <w:rPr>
          <w:rFonts w:eastAsia="Times New Roman"/>
          <w:b/>
          <w:bCs/>
          <w:lang w:eastAsia="en-GB"/>
        </w:rPr>
        <w:t>on the proposal for a regulation of the European Parliament and of the Council establishing Horizon Europe – the Framework Programme for Research and Innovation, laying down its rules for participation and dissemination</w:t>
      </w:r>
    </w:p>
    <w:bookmarkEnd w:id="0"/>
    <w:p w:rsidR="00766010" w:rsidRPr="00766010" w:rsidRDefault="00766010" w:rsidP="00766010">
      <w:pPr>
        <w:shd w:val="clear" w:color="auto" w:fill="FFFFFF"/>
        <w:spacing w:line="288" w:lineRule="atLeast"/>
        <w:jc w:val="left"/>
        <w:textAlignment w:val="center"/>
        <w:rPr>
          <w:rFonts w:eastAsia="Times New Roman"/>
          <w:szCs w:val="20"/>
          <w:lang w:val="fr-BE" w:eastAsia="en-GB"/>
        </w:rPr>
      </w:pPr>
      <w:r w:rsidRPr="00766010">
        <w:rPr>
          <w:rFonts w:eastAsia="Times New Roman"/>
          <w:b/>
          <w:szCs w:val="20"/>
          <w:lang w:val="fr-BE" w:eastAsia="en-GB"/>
        </w:rPr>
        <w:t>1.</w:t>
      </w:r>
      <w:r w:rsidRPr="00766010">
        <w:rPr>
          <w:rFonts w:eastAsia="Times New Roman"/>
          <w:b/>
          <w:szCs w:val="20"/>
          <w:lang w:val="fr-BE" w:eastAsia="en-GB"/>
        </w:rPr>
        <w:tab/>
        <w:t xml:space="preserve">Rapporteur: </w:t>
      </w:r>
      <w:r w:rsidRPr="00766010">
        <w:rPr>
          <w:rFonts w:eastAsia="Times New Roman"/>
          <w:bdr w:val="none" w:sz="0" w:space="0" w:color="auto" w:frame="1"/>
          <w:lang w:val="fr-BE" w:eastAsia="en-GB"/>
        </w:rPr>
        <w:t>Dan NICA</w:t>
      </w:r>
      <w:r w:rsidRPr="00766010">
        <w:rPr>
          <w:rFonts w:eastAsia="Times New Roman"/>
          <w:szCs w:val="20"/>
          <w:lang w:val="fr-BE" w:eastAsia="en-GB"/>
        </w:rPr>
        <w:t xml:space="preserve"> (S&amp;D / RO)</w:t>
      </w:r>
    </w:p>
    <w:p w:rsidR="00766010" w:rsidRPr="00766010" w:rsidRDefault="00766010" w:rsidP="00766010">
      <w:pPr>
        <w:spacing w:before="100" w:beforeAutospacing="1" w:after="100" w:afterAutospacing="1" w:line="240" w:lineRule="atLeast"/>
        <w:ind w:left="720" w:hanging="720"/>
        <w:rPr>
          <w:rFonts w:eastAsia="Times New Roman"/>
          <w:szCs w:val="20"/>
          <w:lang w:eastAsia="en-GB"/>
        </w:rPr>
      </w:pPr>
      <w:r w:rsidRPr="00766010">
        <w:rPr>
          <w:rFonts w:eastAsia="Times New Roman"/>
          <w:b/>
          <w:szCs w:val="20"/>
          <w:lang w:eastAsia="en-GB"/>
        </w:rPr>
        <w:t>2.</w:t>
      </w:r>
      <w:r w:rsidRPr="00766010">
        <w:rPr>
          <w:rFonts w:eastAsia="Times New Roman"/>
          <w:b/>
          <w:szCs w:val="20"/>
          <w:lang w:eastAsia="en-GB"/>
        </w:rPr>
        <w:tab/>
        <w:t>Reference numbers:</w:t>
      </w:r>
      <w:r w:rsidRPr="00766010">
        <w:rPr>
          <w:rFonts w:eastAsia="Times New Roman"/>
          <w:szCs w:val="20"/>
          <w:lang w:eastAsia="en-GB"/>
        </w:rPr>
        <w:t xml:space="preserve"> 2018/0224 (COD) / A8-0401/2018 / P8_TA-PROV(2019)0395</w:t>
      </w:r>
    </w:p>
    <w:p w:rsidR="00766010" w:rsidRPr="00766010" w:rsidRDefault="00766010" w:rsidP="00766010">
      <w:pPr>
        <w:spacing w:line="240" w:lineRule="atLeast"/>
        <w:ind w:left="720" w:hanging="720"/>
        <w:jc w:val="left"/>
        <w:rPr>
          <w:rFonts w:eastAsia="Times New Roman"/>
          <w:szCs w:val="20"/>
          <w:lang w:eastAsia="en-GB"/>
        </w:rPr>
      </w:pPr>
      <w:r w:rsidRPr="00766010">
        <w:rPr>
          <w:rFonts w:eastAsia="Times New Roman"/>
          <w:b/>
          <w:szCs w:val="20"/>
          <w:lang w:eastAsia="en-GB"/>
        </w:rPr>
        <w:t>3.</w:t>
      </w:r>
      <w:r w:rsidRPr="00766010">
        <w:rPr>
          <w:rFonts w:eastAsia="Times New Roman"/>
          <w:b/>
          <w:szCs w:val="20"/>
          <w:lang w:eastAsia="en-GB"/>
        </w:rPr>
        <w:tab/>
        <w:t xml:space="preserve">Date of adoption of the resolution: </w:t>
      </w:r>
      <w:r w:rsidRPr="00766010">
        <w:rPr>
          <w:rFonts w:eastAsia="Times New Roman"/>
          <w:szCs w:val="20"/>
          <w:lang w:eastAsia="en-GB"/>
        </w:rPr>
        <w:t>17 April 2019</w:t>
      </w:r>
    </w:p>
    <w:p w:rsidR="00766010" w:rsidRPr="00766010" w:rsidRDefault="00766010" w:rsidP="00766010">
      <w:pPr>
        <w:spacing w:before="100" w:beforeAutospacing="1" w:after="100" w:afterAutospacing="1" w:line="240" w:lineRule="atLeast"/>
        <w:ind w:left="720" w:hanging="720"/>
        <w:rPr>
          <w:rFonts w:eastAsia="Times New Roman"/>
          <w:szCs w:val="20"/>
          <w:lang w:eastAsia="en-GB"/>
        </w:rPr>
      </w:pPr>
      <w:r w:rsidRPr="00766010">
        <w:rPr>
          <w:rFonts w:eastAsia="Times New Roman"/>
          <w:b/>
          <w:szCs w:val="20"/>
          <w:lang w:eastAsia="en-GB"/>
        </w:rPr>
        <w:t>4.</w:t>
      </w:r>
      <w:r w:rsidRPr="00766010">
        <w:rPr>
          <w:rFonts w:eastAsia="Times New Roman"/>
          <w:b/>
          <w:szCs w:val="20"/>
          <w:lang w:eastAsia="en-GB"/>
        </w:rPr>
        <w:tab/>
        <w:t xml:space="preserve">Legal basis: </w:t>
      </w:r>
      <w:r w:rsidRPr="00766010">
        <w:rPr>
          <w:rFonts w:eastAsia="Times New Roman"/>
          <w:lang w:eastAsia="en-GB"/>
        </w:rPr>
        <w:t>Articles 173(3), 182(1), 183 and 188 of the Treaty on the Functioning of the European Union</w:t>
      </w:r>
    </w:p>
    <w:p w:rsidR="00766010" w:rsidRPr="00766010" w:rsidRDefault="00766010" w:rsidP="00766010">
      <w:pPr>
        <w:spacing w:before="100" w:beforeAutospacing="1" w:after="100" w:afterAutospacing="1" w:line="240" w:lineRule="atLeast"/>
        <w:ind w:left="720" w:hanging="720"/>
        <w:rPr>
          <w:rFonts w:eastAsia="Times New Roman"/>
          <w:i/>
          <w:szCs w:val="20"/>
          <w:lang w:eastAsia="en-GB"/>
        </w:rPr>
      </w:pPr>
      <w:r w:rsidRPr="00766010">
        <w:rPr>
          <w:rFonts w:eastAsia="Times New Roman"/>
          <w:b/>
          <w:szCs w:val="20"/>
          <w:lang w:eastAsia="en-GB"/>
        </w:rPr>
        <w:t>5.</w:t>
      </w:r>
      <w:r w:rsidRPr="00766010">
        <w:rPr>
          <w:rFonts w:eastAsia="Times New Roman"/>
          <w:b/>
          <w:szCs w:val="20"/>
          <w:lang w:eastAsia="en-GB"/>
        </w:rPr>
        <w:tab/>
        <w:t xml:space="preserve">Competent Parliamentary Committee: </w:t>
      </w:r>
      <w:r w:rsidRPr="00766010">
        <w:rPr>
          <w:rFonts w:eastAsia="Times New Roman"/>
          <w:szCs w:val="20"/>
          <w:lang w:eastAsia="en-GB"/>
        </w:rPr>
        <w:t>Committee on Industry, Research and Energy (ITRE)</w:t>
      </w:r>
    </w:p>
    <w:p w:rsidR="00766010" w:rsidRPr="00766010" w:rsidRDefault="00766010" w:rsidP="00766010">
      <w:pPr>
        <w:spacing w:before="100" w:beforeAutospacing="1" w:after="100" w:afterAutospacing="1" w:line="240" w:lineRule="atLeast"/>
        <w:ind w:left="720" w:hanging="720"/>
        <w:rPr>
          <w:rFonts w:eastAsia="Times New Roman"/>
          <w:color w:val="000000"/>
          <w:lang w:eastAsia="en-GB"/>
        </w:rPr>
      </w:pPr>
      <w:r w:rsidRPr="00766010">
        <w:rPr>
          <w:rFonts w:eastAsia="Times New Roman"/>
          <w:b/>
          <w:szCs w:val="20"/>
          <w:lang w:eastAsia="en-GB"/>
        </w:rPr>
        <w:t>6.</w:t>
      </w:r>
      <w:r w:rsidRPr="00766010">
        <w:rPr>
          <w:rFonts w:eastAsia="Times New Roman"/>
          <w:b/>
          <w:szCs w:val="20"/>
          <w:lang w:eastAsia="en-GB"/>
        </w:rPr>
        <w:tab/>
        <w:t>Commission's position:</w:t>
      </w:r>
      <w:r w:rsidRPr="00766010">
        <w:rPr>
          <w:rFonts w:eastAsia="Times New Roman"/>
          <w:color w:val="000000"/>
          <w:sz w:val="22"/>
          <w:szCs w:val="22"/>
          <w:lang w:eastAsia="en-GB"/>
        </w:rPr>
        <w:t xml:space="preserve"> </w:t>
      </w:r>
      <w:r w:rsidRPr="00766010">
        <w:rPr>
          <w:rFonts w:eastAsia="Times New Roman"/>
          <w:color w:val="000000"/>
          <w:lang w:eastAsia="en-GB"/>
        </w:rPr>
        <w:t xml:space="preserve">The Commission welcomes the </w:t>
      </w:r>
      <w:r w:rsidRPr="00766010">
        <w:rPr>
          <w:rFonts w:eastAsia="Times New Roman"/>
          <w:lang w:eastAsia="en-GB"/>
        </w:rPr>
        <w:t xml:space="preserve">European Parliament’s position adopted at first reading on </w:t>
      </w:r>
      <w:r w:rsidRPr="00766010">
        <w:rPr>
          <w:rFonts w:eastAsia="Times New Roman"/>
          <w:color w:val="000000"/>
          <w:lang w:eastAsia="en-GB"/>
        </w:rPr>
        <w:t>the partial agreement reached by the co-legislators during the last trilogue on 19 March 2019. The Commission accepts all amendments that have been subject to interinstitutional negotiations and reserves its position on the budgetary aspects and some horizontal provisions, which are subject to the overall agreement on the EU's next long-term budget.</w:t>
      </w:r>
    </w:p>
    <w:p w:rsidR="00766010" w:rsidRPr="00766010" w:rsidRDefault="00766010" w:rsidP="00766010">
      <w:pPr>
        <w:spacing w:after="120" w:line="240" w:lineRule="atLeast"/>
        <w:rPr>
          <w:rFonts w:eastAsia="Times New Roman"/>
          <w:szCs w:val="20"/>
          <w:lang w:eastAsia="en-GB"/>
        </w:rPr>
      </w:pPr>
      <w:r w:rsidRPr="00766010">
        <w:rPr>
          <w:rFonts w:eastAsia="Times New Roman"/>
          <w:szCs w:val="20"/>
          <w:lang w:eastAsia="en-GB"/>
        </w:rPr>
        <w:t>During the interinstitutional negotiations, t</w:t>
      </w:r>
      <w:r w:rsidRPr="00766010">
        <w:rPr>
          <w:rFonts w:eastAsia="Times New Roman"/>
          <w:color w:val="000000"/>
          <w:lang w:eastAsia="en-GB"/>
        </w:rPr>
        <w:t xml:space="preserve">he Commission presented the </w:t>
      </w:r>
      <w:r w:rsidRPr="00766010">
        <w:rPr>
          <w:rFonts w:eastAsia="Times New Roman"/>
          <w:szCs w:val="20"/>
          <w:lang w:eastAsia="en-GB"/>
        </w:rPr>
        <w:t xml:space="preserve">following statements in response to the text of the </w:t>
      </w:r>
      <w:r w:rsidRPr="00766010">
        <w:rPr>
          <w:rFonts w:eastAsia="Times New Roman"/>
          <w:color w:val="000000"/>
          <w:lang w:eastAsia="en-GB"/>
        </w:rPr>
        <w:t>common understanding</w:t>
      </w:r>
      <w:r w:rsidRPr="00766010">
        <w:rPr>
          <w:rFonts w:eastAsia="Times New Roman"/>
          <w:szCs w:val="20"/>
          <w:lang w:eastAsia="en-GB"/>
        </w:rPr>
        <w:t>:</w:t>
      </w:r>
    </w:p>
    <w:p w:rsidR="00766010" w:rsidRPr="00766010" w:rsidRDefault="00766010" w:rsidP="00766010">
      <w:pPr>
        <w:spacing w:after="120"/>
        <w:rPr>
          <w:rFonts w:eastAsia="Times New Roman"/>
          <w:szCs w:val="20"/>
        </w:rPr>
      </w:pPr>
      <w:r w:rsidRPr="00766010">
        <w:rPr>
          <w:rFonts w:eastAsia="Times New Roman"/>
          <w:i/>
          <w:szCs w:val="20"/>
        </w:rPr>
        <w:t xml:space="preserve">“Upon request, the Commission intends to exchange views with the responsible Committee in the European Parliament on: (i) the list of potential partnerships candidates based on the Articles 185 and 187 </w:t>
      </w:r>
      <w:r w:rsidRPr="00766010">
        <w:rPr>
          <w:rFonts w:eastAsia="Times New Roman"/>
          <w:i/>
          <w:lang w:eastAsia="en-GB"/>
        </w:rPr>
        <w:t>of the Treaty on the Functioning of the European Union</w:t>
      </w:r>
      <w:r w:rsidRPr="00766010">
        <w:rPr>
          <w:rFonts w:eastAsia="Times New Roman"/>
          <w:i/>
          <w:szCs w:val="20"/>
        </w:rPr>
        <w:t xml:space="preserve"> which will be covered by (inception) impact assessments; (ii) the list of tentative missions identified by the Mission boards; (iii )the results of the Strategic Plan before its formal adoption, and to present and share with that Committee documents related to work programmes.”</w:t>
      </w:r>
    </w:p>
    <w:p w:rsidR="00766010" w:rsidRPr="00766010" w:rsidRDefault="00766010" w:rsidP="00766010">
      <w:pPr>
        <w:spacing w:after="120"/>
        <w:rPr>
          <w:rFonts w:eastAsia="Times New Roman"/>
          <w:szCs w:val="20"/>
        </w:rPr>
      </w:pPr>
      <w:r w:rsidRPr="00766010">
        <w:rPr>
          <w:rFonts w:eastAsia="Times New Roman"/>
          <w:i/>
          <w:szCs w:val="20"/>
        </w:rPr>
        <w:t>“The Commission takes note of the compromise reached by the co-legislators on the wording of Article 5. In the Commission’s understanding the specific programme on defence research mentioned in Article 1(3)(b) is limited only to the research actions under the future European Defence Fund while the development actions are considered outside the scope of this regulation”</w:t>
      </w:r>
    </w:p>
    <w:p w:rsidR="00766010" w:rsidRPr="00766010" w:rsidRDefault="00766010" w:rsidP="00766010">
      <w:pPr>
        <w:spacing w:after="120"/>
        <w:rPr>
          <w:rFonts w:eastAsia="Calibri"/>
          <w:i/>
          <w:szCs w:val="20"/>
        </w:rPr>
      </w:pPr>
      <w:r w:rsidRPr="00766010">
        <w:rPr>
          <w:rFonts w:eastAsia="Calibri"/>
          <w:i/>
          <w:szCs w:val="20"/>
        </w:rPr>
        <w:t xml:space="preserve">“The Commission intends to implement the </w:t>
      </w:r>
      <w:r w:rsidRPr="00766010">
        <w:rPr>
          <w:rFonts w:eastAsia="Calibri"/>
          <w:i/>
        </w:rPr>
        <w:t>European Innovation Council</w:t>
      </w:r>
      <w:r w:rsidRPr="00766010">
        <w:rPr>
          <w:rFonts w:eastAsia="Calibri"/>
          <w:i/>
          <w:szCs w:val="20"/>
        </w:rPr>
        <w:t xml:space="preserve"> (EIC) Accelerator budget in a way to ensure that the grant-only support to SMEs, including start-ups, corresponds to the support provided under the SME instrument budget of the Horizon 2020 Programme, in accordance with the terms established in Article 43, paragraph and recital X of the Horizon Europe Regulation”.</w:t>
      </w:r>
    </w:p>
    <w:p w:rsidR="008765BE" w:rsidRPr="00766010" w:rsidRDefault="00766010" w:rsidP="00766010">
      <w:pPr>
        <w:spacing w:after="120"/>
        <w:rPr>
          <w:rFonts w:eastAsia="Calibri"/>
          <w:i/>
          <w:szCs w:val="20"/>
        </w:rPr>
      </w:pPr>
      <w:r w:rsidRPr="00766010">
        <w:rPr>
          <w:rFonts w:eastAsia="Calibri"/>
          <w:i/>
          <w:szCs w:val="20"/>
        </w:rPr>
        <w:t>“Furthermore, the Commission will repeat the declaration on ethics/ stem cell research as in Horizon 2020.”</w:t>
      </w:r>
      <w:bookmarkStart w:id="1" w:name="_GoBack"/>
      <w:bookmarkEnd w:id="1"/>
    </w:p>
    <w:sectPr w:rsidR="008765BE" w:rsidRPr="00766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10"/>
    <w:rsid w:val="000F3C25"/>
    <w:rsid w:val="005762E3"/>
    <w:rsid w:val="00766010"/>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CA5E"/>
  <w15:chartTrackingRefBased/>
  <w15:docId w15:val="{4F494E34-1ED3-477D-9B57-765940D0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Company>European Parliament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Ales</dc:creator>
  <cp:keywords/>
  <dc:description/>
  <cp:lastModifiedBy>RUS Ales</cp:lastModifiedBy>
  <cp:revision>1</cp:revision>
  <dcterms:created xsi:type="dcterms:W3CDTF">2019-09-03T14:02:00Z</dcterms:created>
  <dcterms:modified xsi:type="dcterms:W3CDTF">2019-09-03T14:02:00Z</dcterms:modified>
</cp:coreProperties>
</file>