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9B" w:rsidRPr="00C2221C" w:rsidRDefault="004D759B" w:rsidP="004D759B">
      <w:pPr>
        <w:spacing w:after="600"/>
        <w:jc w:val="center"/>
        <w:rPr>
          <w:rFonts w:ascii="Times New Roman" w:eastAsia="Calibri" w:hAnsi="Times New Roman"/>
          <w:b/>
          <w:bCs/>
          <w:szCs w:val="24"/>
          <w:lang w:val="fr-BE"/>
        </w:rPr>
      </w:pPr>
      <w:r w:rsidRPr="00C2221C">
        <w:rPr>
          <w:rFonts w:ascii="Times New Roman" w:hAnsi="Times New Roman"/>
          <w:b/>
          <w:lang w:val="fr-BE"/>
        </w:rPr>
        <w:t>Suite donnée à la résolution non législative du Parlement européen sur le projet de décision d’exécution de la Commission accordant une autorisation pour certaines utilisations du dichromate de sodium en vertu du règlement (CE) nº </w:t>
      </w:r>
      <w:r w:rsidRPr="005C1999">
        <w:rPr>
          <w:rFonts w:ascii="Times New Roman" w:hAnsi="Times New Roman"/>
          <w:b/>
          <w:lang w:val="fr-BE"/>
        </w:rPr>
        <w:t>1907</w:t>
      </w:r>
      <w:r w:rsidRPr="00C2221C">
        <w:rPr>
          <w:rFonts w:ascii="Times New Roman" w:hAnsi="Times New Roman"/>
          <w:b/>
          <w:lang w:val="fr-BE"/>
        </w:rPr>
        <w:t>/</w:t>
      </w:r>
      <w:r w:rsidRPr="005C1999">
        <w:rPr>
          <w:rFonts w:ascii="Times New Roman" w:hAnsi="Times New Roman"/>
          <w:b/>
          <w:lang w:val="fr-BE"/>
        </w:rPr>
        <w:t>2006</w:t>
      </w:r>
      <w:r w:rsidRPr="00C2221C">
        <w:rPr>
          <w:rFonts w:ascii="Times New Roman" w:hAnsi="Times New Roman"/>
          <w:b/>
          <w:lang w:val="fr-BE"/>
        </w:rPr>
        <w:t xml:space="preserve"> du Parlement européen et du Conseil (</w:t>
      </w:r>
      <w:proofErr w:type="spellStart"/>
      <w:r w:rsidRPr="00C2221C">
        <w:rPr>
          <w:rFonts w:ascii="Times New Roman" w:hAnsi="Times New Roman"/>
          <w:b/>
          <w:lang w:val="fr-BE"/>
        </w:rPr>
        <w:t>Ilario</w:t>
      </w:r>
      <w:proofErr w:type="spellEnd"/>
      <w:r w:rsidRPr="00C2221C">
        <w:rPr>
          <w:rFonts w:ascii="Times New Roman" w:hAnsi="Times New Roman"/>
          <w:b/>
          <w:lang w:val="fr-BE"/>
        </w:rPr>
        <w:t xml:space="preserve"> </w:t>
      </w:r>
      <w:proofErr w:type="spellStart"/>
      <w:r w:rsidRPr="00C2221C">
        <w:rPr>
          <w:rFonts w:ascii="Times New Roman" w:hAnsi="Times New Roman"/>
          <w:b/>
          <w:lang w:val="fr-BE"/>
        </w:rPr>
        <w:t>Ormezzano</w:t>
      </w:r>
      <w:proofErr w:type="spellEnd"/>
      <w:r w:rsidRPr="00C2221C">
        <w:rPr>
          <w:rFonts w:ascii="Times New Roman" w:hAnsi="Times New Roman"/>
          <w:b/>
          <w:lang w:val="fr-BE"/>
        </w:rPr>
        <w:t xml:space="preserve"> Sai S.R.L.)</w:t>
      </w:r>
    </w:p>
    <w:p w:rsidR="004D759B" w:rsidRPr="00C2221C" w:rsidRDefault="004D759B" w:rsidP="004D759B">
      <w:pPr>
        <w:numPr>
          <w:ilvl w:val="0"/>
          <w:numId w:val="1"/>
        </w:numPr>
        <w:ind w:left="567" w:hanging="567"/>
        <w:rPr>
          <w:rFonts w:ascii="Times New Roman" w:hAnsi="Times New Roman"/>
          <w:i/>
          <w:szCs w:val="24"/>
          <w:lang w:val="fr-BE"/>
        </w:rPr>
      </w:pPr>
      <w:r w:rsidRPr="00C2221C">
        <w:rPr>
          <w:rFonts w:ascii="Times New Roman" w:hAnsi="Times New Roman"/>
          <w:b/>
          <w:lang w:val="fr-BE"/>
        </w:rPr>
        <w:t>Résolution présentée, conformément à l’article </w:t>
      </w:r>
      <w:r w:rsidRPr="005C1999">
        <w:rPr>
          <w:rFonts w:ascii="Times New Roman" w:hAnsi="Times New Roman"/>
          <w:b/>
          <w:lang w:val="fr-BE"/>
        </w:rPr>
        <w:t>106</w:t>
      </w:r>
      <w:r w:rsidRPr="00C2221C">
        <w:rPr>
          <w:rFonts w:ascii="Times New Roman" w:hAnsi="Times New Roman"/>
          <w:b/>
          <w:lang w:val="fr-BE"/>
        </w:rPr>
        <w:t>, paragraphes </w:t>
      </w:r>
      <w:r w:rsidRPr="005C1999">
        <w:rPr>
          <w:rFonts w:ascii="Times New Roman" w:hAnsi="Times New Roman"/>
          <w:b/>
          <w:lang w:val="fr-BE"/>
        </w:rPr>
        <w:t>2</w:t>
      </w:r>
      <w:r w:rsidRPr="00C2221C">
        <w:rPr>
          <w:rFonts w:ascii="Times New Roman" w:hAnsi="Times New Roman"/>
          <w:b/>
          <w:lang w:val="fr-BE"/>
        </w:rPr>
        <w:t xml:space="preserve"> et </w:t>
      </w:r>
      <w:r w:rsidRPr="005C1999">
        <w:rPr>
          <w:rFonts w:ascii="Times New Roman" w:hAnsi="Times New Roman"/>
          <w:b/>
          <w:lang w:val="fr-BE"/>
        </w:rPr>
        <w:t>3</w:t>
      </w:r>
      <w:r w:rsidRPr="00C2221C">
        <w:rPr>
          <w:rFonts w:ascii="Times New Roman" w:hAnsi="Times New Roman"/>
          <w:b/>
          <w:lang w:val="fr-BE"/>
        </w:rPr>
        <w:t>, du règlement intérieur du Parlement européen, par la commission de l’environnement, de la santé publique et de la sécurité alimentaire</w:t>
      </w:r>
    </w:p>
    <w:p w:rsidR="004D759B" w:rsidRPr="002D2789" w:rsidRDefault="004D759B" w:rsidP="004D759B">
      <w:pPr>
        <w:pStyle w:val="Default"/>
        <w:numPr>
          <w:ilvl w:val="0"/>
          <w:numId w:val="1"/>
        </w:numPr>
        <w:spacing w:after="240"/>
        <w:ind w:left="567" w:hanging="567"/>
        <w:jc w:val="both"/>
        <w:rPr>
          <w:color w:val="auto"/>
        </w:rPr>
      </w:pPr>
      <w:r w:rsidRPr="002D2789">
        <w:rPr>
          <w:b/>
          <w:color w:val="auto"/>
        </w:rPr>
        <w:t>Numéros de référence:</w:t>
      </w:r>
      <w:r w:rsidRPr="0095769F">
        <w:rPr>
          <w:color w:val="auto"/>
        </w:rPr>
        <w:t xml:space="preserve"> </w:t>
      </w:r>
      <w:r w:rsidRPr="005C1999">
        <w:rPr>
          <w:color w:val="auto"/>
        </w:rPr>
        <w:t>2018</w:t>
      </w:r>
      <w:r w:rsidRPr="002D2789">
        <w:rPr>
          <w:color w:val="auto"/>
        </w:rPr>
        <w:t>/</w:t>
      </w:r>
      <w:r w:rsidRPr="005C1999">
        <w:rPr>
          <w:color w:val="auto"/>
        </w:rPr>
        <w:t>2929</w:t>
      </w:r>
      <w:r w:rsidRPr="002D2789">
        <w:rPr>
          <w:color w:val="auto"/>
        </w:rPr>
        <w:t xml:space="preserve"> (RSP) /</w:t>
      </w:r>
      <w:r w:rsidRPr="002D2789">
        <w:rPr>
          <w:b/>
          <w:color w:val="auto"/>
        </w:rPr>
        <w:t xml:space="preserve"> </w:t>
      </w:r>
      <w:bookmarkStart w:id="0" w:name="_GoBack"/>
      <w:r w:rsidRPr="002D2789">
        <w:t>B</w:t>
      </w:r>
      <w:r w:rsidRPr="005C1999">
        <w:t>8</w:t>
      </w:r>
      <w:r w:rsidRPr="002D2789">
        <w:t>-</w:t>
      </w:r>
      <w:r w:rsidRPr="005C1999">
        <w:t>0548</w:t>
      </w:r>
      <w:r w:rsidRPr="002D2789">
        <w:t>/</w:t>
      </w:r>
      <w:r w:rsidRPr="005C1999">
        <w:t>2018</w:t>
      </w:r>
      <w:r w:rsidRPr="002D2789">
        <w:t xml:space="preserve"> </w:t>
      </w:r>
      <w:bookmarkEnd w:id="0"/>
      <w:r w:rsidRPr="002D2789">
        <w:t>/ P</w:t>
      </w:r>
      <w:r w:rsidRPr="005C1999">
        <w:t>8</w:t>
      </w:r>
      <w:r w:rsidRPr="002D2789">
        <w:t>_TA-</w:t>
      </w:r>
      <w:proofErr w:type="gramStart"/>
      <w:r w:rsidRPr="002D2789">
        <w:t>PROV(</w:t>
      </w:r>
      <w:proofErr w:type="gramEnd"/>
      <w:r w:rsidRPr="005C1999">
        <w:t>2018</w:t>
      </w:r>
      <w:r w:rsidRPr="002D2789">
        <w:t>)</w:t>
      </w:r>
      <w:r w:rsidRPr="005C1999">
        <w:t>0474</w:t>
      </w:r>
    </w:p>
    <w:p w:rsidR="004D759B" w:rsidRPr="00C2221C" w:rsidRDefault="004D759B" w:rsidP="004D759B">
      <w:pPr>
        <w:numPr>
          <w:ilvl w:val="0"/>
          <w:numId w:val="1"/>
        </w:numPr>
        <w:ind w:left="567" w:hanging="567"/>
        <w:rPr>
          <w:rFonts w:ascii="Times New Roman" w:hAnsi="Times New Roman"/>
          <w:szCs w:val="24"/>
          <w:lang w:val="fr-BE"/>
        </w:rPr>
      </w:pPr>
      <w:r w:rsidRPr="00C2221C">
        <w:rPr>
          <w:rFonts w:ascii="Times New Roman" w:hAnsi="Times New Roman"/>
          <w:b/>
          <w:lang w:val="fr-BE"/>
        </w:rPr>
        <w:t>Date d’adoption de la résolution:</w:t>
      </w:r>
      <w:r w:rsidRPr="00C2221C">
        <w:rPr>
          <w:rFonts w:ascii="Times New Roman" w:hAnsi="Times New Roman"/>
          <w:lang w:val="fr-BE"/>
        </w:rPr>
        <w:t xml:space="preserve"> </w:t>
      </w:r>
      <w:r w:rsidRPr="005C1999">
        <w:rPr>
          <w:rFonts w:ascii="Times New Roman" w:hAnsi="Times New Roman"/>
          <w:color w:val="000000"/>
          <w:lang w:val="fr-BE"/>
        </w:rPr>
        <w:t>21</w:t>
      </w:r>
      <w:r w:rsidRPr="00C2221C">
        <w:rPr>
          <w:rFonts w:ascii="Times New Roman" w:hAnsi="Times New Roman"/>
          <w:color w:val="000000"/>
          <w:lang w:val="fr-BE"/>
        </w:rPr>
        <w:t> novembre </w:t>
      </w:r>
      <w:r w:rsidRPr="005C1999">
        <w:rPr>
          <w:rFonts w:ascii="Times New Roman" w:hAnsi="Times New Roman"/>
          <w:color w:val="000000"/>
          <w:lang w:val="fr-BE"/>
        </w:rPr>
        <w:t>2018</w:t>
      </w:r>
    </w:p>
    <w:p w:rsidR="004D759B" w:rsidRPr="00C2221C" w:rsidRDefault="004D759B" w:rsidP="004D759B">
      <w:pPr>
        <w:numPr>
          <w:ilvl w:val="0"/>
          <w:numId w:val="1"/>
        </w:numPr>
        <w:ind w:left="567" w:hanging="567"/>
        <w:rPr>
          <w:rFonts w:ascii="Times New Roman" w:hAnsi="Times New Roman"/>
          <w:szCs w:val="24"/>
          <w:lang w:val="fr-BE"/>
        </w:rPr>
      </w:pPr>
      <w:r w:rsidRPr="00C2221C">
        <w:rPr>
          <w:rFonts w:ascii="Times New Roman" w:hAnsi="Times New Roman"/>
          <w:b/>
          <w:lang w:val="fr-BE"/>
        </w:rPr>
        <w:t xml:space="preserve">Commission parlementaire compétente: </w:t>
      </w:r>
      <w:r w:rsidRPr="00C2221C">
        <w:rPr>
          <w:rFonts w:ascii="Times New Roman" w:hAnsi="Times New Roman"/>
          <w:lang w:val="fr-BE"/>
        </w:rPr>
        <w:t>commission de l’environnement, de la santé publique et de la sécurité alimentaire (ENVI)</w:t>
      </w:r>
    </w:p>
    <w:p w:rsidR="004D759B" w:rsidRPr="00C2221C" w:rsidRDefault="004D759B" w:rsidP="004D759B">
      <w:pPr>
        <w:numPr>
          <w:ilvl w:val="0"/>
          <w:numId w:val="1"/>
        </w:numPr>
        <w:ind w:left="567" w:hanging="567"/>
        <w:rPr>
          <w:rFonts w:ascii="Times New Roman" w:hAnsi="Times New Roman"/>
          <w:szCs w:val="24"/>
          <w:lang w:val="fr-BE"/>
        </w:rPr>
      </w:pPr>
      <w:r w:rsidRPr="00C2221C">
        <w:rPr>
          <w:rFonts w:ascii="Times New Roman" w:hAnsi="Times New Roman"/>
          <w:lang w:val="fr-BE"/>
        </w:rPr>
        <w:t xml:space="preserve"> </w:t>
      </w:r>
      <w:r w:rsidRPr="00C2221C">
        <w:rPr>
          <w:rFonts w:ascii="Times New Roman" w:hAnsi="Times New Roman"/>
          <w:b/>
          <w:lang w:val="fr-BE"/>
        </w:rPr>
        <w:t>Analyse/évaluation succincte de la résolution et des demandes qu’elle contient:</w:t>
      </w:r>
    </w:p>
    <w:p w:rsidR="004D759B" w:rsidRPr="00C2221C" w:rsidRDefault="004D759B" w:rsidP="004D759B">
      <w:pPr>
        <w:rPr>
          <w:rFonts w:ascii="Times New Roman" w:hAnsi="Times New Roman"/>
          <w:szCs w:val="24"/>
          <w:lang w:val="fr-BE"/>
        </w:rPr>
      </w:pPr>
      <w:r w:rsidRPr="00C2221C">
        <w:rPr>
          <w:rFonts w:ascii="Times New Roman" w:hAnsi="Times New Roman"/>
          <w:lang w:val="fr-BE"/>
        </w:rPr>
        <w:t>La résolution du Parlement européen s’oppose à un projet de décision d’exécution de la Commission au titre du règlement (CE) nº </w:t>
      </w:r>
      <w:r w:rsidRPr="005C1999">
        <w:rPr>
          <w:rFonts w:ascii="Times New Roman" w:hAnsi="Times New Roman"/>
          <w:lang w:val="fr-BE"/>
        </w:rPr>
        <w:t>1907</w:t>
      </w:r>
      <w:r w:rsidRPr="00C2221C">
        <w:rPr>
          <w:rFonts w:ascii="Times New Roman" w:hAnsi="Times New Roman"/>
          <w:lang w:val="fr-BE"/>
        </w:rPr>
        <w:t>/</w:t>
      </w:r>
      <w:r w:rsidRPr="005C1999">
        <w:rPr>
          <w:rFonts w:ascii="Times New Roman" w:hAnsi="Times New Roman"/>
          <w:lang w:val="fr-BE"/>
        </w:rPr>
        <w:t>2006</w:t>
      </w:r>
      <w:r w:rsidRPr="00C2221C">
        <w:rPr>
          <w:rFonts w:ascii="Times New Roman" w:hAnsi="Times New Roman"/>
          <w:lang w:val="fr-BE"/>
        </w:rPr>
        <w:t xml:space="preserve"> (REACH) accordant une autorisation pour le reconditionnement du dichromate de sodium comme mordant et pour l’utilisation de ce mordant pour la teinture de laine en couleurs sombres. La résolution considère que le projet de décision excède les compétences d’exécution conférées à la Commission par le règlement REACH car, selon l’avis du Parlement européen, il ne respecte pas les conditions énoncées à l’article </w:t>
      </w:r>
      <w:r w:rsidRPr="005C1999">
        <w:rPr>
          <w:rFonts w:ascii="Times New Roman" w:hAnsi="Times New Roman"/>
          <w:lang w:val="fr-BE"/>
        </w:rPr>
        <w:t>60</w:t>
      </w:r>
      <w:r w:rsidRPr="00C2221C">
        <w:rPr>
          <w:rFonts w:ascii="Times New Roman" w:hAnsi="Times New Roman"/>
          <w:lang w:val="fr-BE"/>
        </w:rPr>
        <w:t>, paragraphe </w:t>
      </w:r>
      <w:r w:rsidRPr="005C1999">
        <w:rPr>
          <w:rFonts w:ascii="Times New Roman" w:hAnsi="Times New Roman"/>
          <w:lang w:val="fr-BE"/>
        </w:rPr>
        <w:t>4</w:t>
      </w:r>
      <w:r w:rsidRPr="00C2221C">
        <w:rPr>
          <w:rFonts w:ascii="Times New Roman" w:hAnsi="Times New Roman"/>
          <w:lang w:val="fr-BE"/>
        </w:rPr>
        <w:t>, dudit règlement pour l’octroi d’une autorisation. Par conséquent, le Parlement européen demande à la Commission de retirer son projet de décision d’exécution et de présenter un nouveau projet rejetant la demande d’autorisation.</w:t>
      </w:r>
    </w:p>
    <w:p w:rsidR="004D759B" w:rsidRPr="00C2221C" w:rsidRDefault="004D759B" w:rsidP="004D759B">
      <w:pPr>
        <w:widowControl w:val="0"/>
        <w:numPr>
          <w:ilvl w:val="0"/>
          <w:numId w:val="1"/>
        </w:numPr>
        <w:ind w:left="567" w:hanging="567"/>
        <w:rPr>
          <w:rFonts w:ascii="Times New Roman" w:hAnsi="Times New Roman"/>
          <w:b/>
          <w:szCs w:val="24"/>
          <w:lang w:val="fr-BE"/>
        </w:rPr>
      </w:pPr>
      <w:r w:rsidRPr="00C2221C">
        <w:rPr>
          <w:rFonts w:ascii="Times New Roman" w:hAnsi="Times New Roman"/>
          <w:b/>
          <w:lang w:val="fr-BE"/>
        </w:rPr>
        <w:t>Réponse à ces demandes et aperçu des mesures que la Commission a prises ou envisage de prendre:</w:t>
      </w:r>
    </w:p>
    <w:p w:rsidR="004D759B" w:rsidRPr="00C2221C" w:rsidRDefault="004D759B" w:rsidP="004D759B">
      <w:pPr>
        <w:autoSpaceDE w:val="0"/>
        <w:autoSpaceDN w:val="0"/>
        <w:adjustRightInd w:val="0"/>
        <w:rPr>
          <w:rFonts w:ascii="Times New Roman" w:eastAsia="Calibri" w:hAnsi="Times New Roman"/>
          <w:szCs w:val="24"/>
          <w:lang w:val="fr-BE"/>
        </w:rPr>
      </w:pPr>
      <w:r w:rsidRPr="00C2221C">
        <w:rPr>
          <w:rFonts w:ascii="Times New Roman" w:hAnsi="Times New Roman"/>
          <w:lang w:val="fr-BE"/>
        </w:rPr>
        <w:t>Le projet de décision en question doit être adopté conformément à la procédure d’examen prévue à l’article </w:t>
      </w:r>
      <w:r w:rsidRPr="005C1999">
        <w:rPr>
          <w:rFonts w:ascii="Times New Roman" w:hAnsi="Times New Roman"/>
          <w:lang w:val="fr-BE"/>
        </w:rPr>
        <w:t>5</w:t>
      </w:r>
      <w:r w:rsidRPr="00C2221C">
        <w:rPr>
          <w:rFonts w:ascii="Times New Roman" w:hAnsi="Times New Roman"/>
          <w:lang w:val="fr-BE"/>
        </w:rPr>
        <w:t xml:space="preserve"> du règlement (UE) nº </w:t>
      </w:r>
      <w:r w:rsidRPr="005C1999">
        <w:rPr>
          <w:rFonts w:ascii="Times New Roman" w:hAnsi="Times New Roman"/>
          <w:lang w:val="fr-BE"/>
        </w:rPr>
        <w:t>182</w:t>
      </w:r>
      <w:r w:rsidRPr="00C2221C">
        <w:rPr>
          <w:rFonts w:ascii="Times New Roman" w:hAnsi="Times New Roman"/>
          <w:lang w:val="fr-BE"/>
        </w:rPr>
        <w:t>/</w:t>
      </w:r>
      <w:r w:rsidRPr="005C1999">
        <w:rPr>
          <w:rFonts w:ascii="Times New Roman" w:hAnsi="Times New Roman"/>
          <w:lang w:val="fr-BE"/>
        </w:rPr>
        <w:t>2011</w:t>
      </w:r>
      <w:r w:rsidRPr="00C2221C">
        <w:rPr>
          <w:rFonts w:ascii="Times New Roman" w:hAnsi="Times New Roman"/>
          <w:lang w:val="fr-BE"/>
        </w:rPr>
        <w:t>. La Commission rappelle que, conformément à l’article </w:t>
      </w:r>
      <w:r w:rsidRPr="005C1999">
        <w:rPr>
          <w:rFonts w:ascii="Times New Roman" w:hAnsi="Times New Roman"/>
          <w:lang w:val="fr-BE"/>
        </w:rPr>
        <w:t>11</w:t>
      </w:r>
      <w:r w:rsidRPr="00C2221C">
        <w:rPr>
          <w:rFonts w:ascii="Times New Roman" w:hAnsi="Times New Roman"/>
          <w:lang w:val="fr-BE"/>
        </w:rPr>
        <w:t xml:space="preserve"> dudit règlement, le droit de regard du Parlement européen et du Conseil est limité à la question de savoir si le projet d’acte d’exécution excède les compétences d’exécution prévues dans l’acte de base [en l’occurrence le règlement (CE) nº </w:t>
      </w:r>
      <w:r w:rsidRPr="005C1999">
        <w:rPr>
          <w:rFonts w:ascii="Times New Roman" w:hAnsi="Times New Roman"/>
          <w:lang w:val="fr-BE"/>
        </w:rPr>
        <w:t>1907</w:t>
      </w:r>
      <w:r w:rsidRPr="00C2221C">
        <w:rPr>
          <w:rFonts w:ascii="Times New Roman" w:hAnsi="Times New Roman"/>
          <w:lang w:val="fr-BE"/>
        </w:rPr>
        <w:t>/</w:t>
      </w:r>
      <w:r w:rsidRPr="005C1999">
        <w:rPr>
          <w:rFonts w:ascii="Times New Roman" w:hAnsi="Times New Roman"/>
          <w:lang w:val="fr-BE"/>
        </w:rPr>
        <w:t>2006</w:t>
      </w:r>
      <w:r w:rsidRPr="00C2221C">
        <w:rPr>
          <w:rFonts w:ascii="Times New Roman" w:hAnsi="Times New Roman"/>
          <w:lang w:val="fr-BE"/>
        </w:rPr>
        <w:t xml:space="preserve"> (REACH)].</w:t>
      </w:r>
    </w:p>
    <w:p w:rsidR="004D759B" w:rsidRPr="00C2221C" w:rsidRDefault="004D759B" w:rsidP="004D759B">
      <w:pPr>
        <w:autoSpaceDE w:val="0"/>
        <w:autoSpaceDN w:val="0"/>
        <w:adjustRightInd w:val="0"/>
        <w:rPr>
          <w:rFonts w:ascii="Times New Roman" w:eastAsia="Calibri" w:hAnsi="Times New Roman"/>
          <w:szCs w:val="24"/>
          <w:lang w:val="fr-BE"/>
        </w:rPr>
      </w:pPr>
      <w:r w:rsidRPr="00C2221C">
        <w:rPr>
          <w:rFonts w:ascii="Times New Roman" w:hAnsi="Times New Roman"/>
          <w:lang w:val="fr-BE"/>
        </w:rPr>
        <w:t>Lors de l’élaboration du projet de décision d’exécution, la Commission a agi dans le cadre des compétences d’exécution que lui confère l’article </w:t>
      </w:r>
      <w:r w:rsidRPr="005C1999">
        <w:rPr>
          <w:rFonts w:ascii="Times New Roman" w:hAnsi="Times New Roman"/>
          <w:lang w:val="fr-BE"/>
        </w:rPr>
        <w:t>64</w:t>
      </w:r>
      <w:r w:rsidRPr="00C2221C">
        <w:rPr>
          <w:rFonts w:ascii="Times New Roman" w:hAnsi="Times New Roman"/>
          <w:lang w:val="fr-BE"/>
        </w:rPr>
        <w:t>, paragraphe </w:t>
      </w:r>
      <w:r w:rsidRPr="005C1999">
        <w:rPr>
          <w:rFonts w:ascii="Times New Roman" w:hAnsi="Times New Roman"/>
          <w:lang w:val="fr-BE"/>
        </w:rPr>
        <w:t>8</w:t>
      </w:r>
      <w:r w:rsidRPr="00C2221C">
        <w:rPr>
          <w:rFonts w:ascii="Times New Roman" w:hAnsi="Times New Roman"/>
          <w:lang w:val="fr-BE"/>
        </w:rPr>
        <w:t>, de REACH puisqu’elle a respecté toutes les exigences énoncées dans ce règlement, notamment l’article </w:t>
      </w:r>
      <w:r w:rsidRPr="005C1999">
        <w:rPr>
          <w:rFonts w:ascii="Times New Roman" w:hAnsi="Times New Roman"/>
          <w:lang w:val="fr-BE"/>
        </w:rPr>
        <w:t>60</w:t>
      </w:r>
      <w:r w:rsidRPr="00C2221C">
        <w:rPr>
          <w:rFonts w:ascii="Times New Roman" w:hAnsi="Times New Roman"/>
          <w:lang w:val="fr-BE"/>
        </w:rPr>
        <w:t>, paragraphes </w:t>
      </w:r>
      <w:r w:rsidRPr="005C1999">
        <w:rPr>
          <w:rFonts w:ascii="Times New Roman" w:hAnsi="Times New Roman"/>
          <w:lang w:val="fr-BE"/>
        </w:rPr>
        <w:t>4</w:t>
      </w:r>
      <w:r w:rsidRPr="00C2221C">
        <w:rPr>
          <w:rFonts w:ascii="Times New Roman" w:hAnsi="Times New Roman"/>
          <w:lang w:val="fr-BE"/>
        </w:rPr>
        <w:t xml:space="preserve">, </w:t>
      </w:r>
      <w:r w:rsidRPr="005C1999">
        <w:rPr>
          <w:rFonts w:ascii="Times New Roman" w:hAnsi="Times New Roman"/>
          <w:lang w:val="fr-BE"/>
        </w:rPr>
        <w:t>5</w:t>
      </w:r>
      <w:r w:rsidRPr="00C2221C">
        <w:rPr>
          <w:rFonts w:ascii="Times New Roman" w:hAnsi="Times New Roman"/>
          <w:lang w:val="fr-BE"/>
        </w:rPr>
        <w:t xml:space="preserve"> et </w:t>
      </w:r>
      <w:r w:rsidRPr="005C1999">
        <w:rPr>
          <w:rFonts w:ascii="Times New Roman" w:hAnsi="Times New Roman"/>
          <w:lang w:val="fr-BE"/>
        </w:rPr>
        <w:t>8</w:t>
      </w:r>
      <w:r w:rsidRPr="00C2221C">
        <w:rPr>
          <w:rFonts w:ascii="Times New Roman" w:hAnsi="Times New Roman"/>
          <w:lang w:val="fr-BE"/>
        </w:rPr>
        <w:t>. Le fait que le Parlement ne soit pas d’accord avec l’évaluation factuelle faite par le comité d’analyse socio-économique (CASE) de l’Agence européenne des produits chimiques et, par la suite, avec la conclusion de la Commission va au-delà du droit de regard du Parlement européen en ce qui concerne les projets d’actes d’exécution.</w:t>
      </w:r>
    </w:p>
    <w:p w:rsidR="004D759B" w:rsidRPr="00C2221C" w:rsidRDefault="004D759B" w:rsidP="004D759B">
      <w:pPr>
        <w:autoSpaceDE w:val="0"/>
        <w:autoSpaceDN w:val="0"/>
        <w:adjustRightInd w:val="0"/>
        <w:rPr>
          <w:rFonts w:ascii="Times New Roman" w:eastAsia="Calibri" w:hAnsi="Times New Roman"/>
          <w:szCs w:val="24"/>
          <w:lang w:val="fr-BE"/>
        </w:rPr>
      </w:pPr>
      <w:r w:rsidRPr="00C2221C">
        <w:rPr>
          <w:rFonts w:ascii="Times New Roman" w:hAnsi="Times New Roman"/>
          <w:lang w:val="fr-BE"/>
        </w:rPr>
        <w:t>Néanmoins, la Commission prend note de la position du Parlement et souhaite donc expliquer sa position sur les préoccupations exprimées dans la résolution:</w:t>
      </w:r>
    </w:p>
    <w:p w:rsidR="004D759B" w:rsidRPr="00C2221C" w:rsidRDefault="004D759B" w:rsidP="004D759B">
      <w:pPr>
        <w:ind w:left="320" w:hanging="320"/>
        <w:rPr>
          <w:rFonts w:ascii="Times New Roman" w:hAnsi="Times New Roman"/>
          <w:szCs w:val="24"/>
          <w:lang w:val="fr-BE"/>
        </w:rPr>
      </w:pPr>
      <w:r w:rsidRPr="00C2221C">
        <w:rPr>
          <w:rFonts w:ascii="Times New Roman" w:hAnsi="Times New Roman"/>
          <w:lang w:val="fr-BE"/>
        </w:rPr>
        <w:lastRenderedPageBreak/>
        <w:t>i)</w:t>
      </w:r>
      <w:r w:rsidRPr="00C2221C">
        <w:rPr>
          <w:rFonts w:ascii="Times New Roman" w:hAnsi="Times New Roman"/>
          <w:lang w:val="fr-BE"/>
        </w:rPr>
        <w:tab/>
        <w:t xml:space="preserve">la Commission rejette l’allégation selon laquelle le CASE et la Commission n’ont pas tenu compte des informations pertinentes sur la disponibilité de solutions de remplacement appropriées provenant d’une demande d’autorisation similaire déposée par la société </w:t>
      </w:r>
      <w:proofErr w:type="spellStart"/>
      <w:r w:rsidRPr="00C2221C">
        <w:rPr>
          <w:rFonts w:ascii="Times New Roman" w:hAnsi="Times New Roman"/>
          <w:lang w:val="fr-BE"/>
        </w:rPr>
        <w:t>Gruppo</w:t>
      </w:r>
      <w:proofErr w:type="spellEnd"/>
      <w:r w:rsidRPr="00C2221C">
        <w:rPr>
          <w:rFonts w:ascii="Times New Roman" w:hAnsi="Times New Roman"/>
          <w:lang w:val="fr-BE"/>
        </w:rPr>
        <w:t xml:space="preserve"> Colle S.R.L. et se référant aux informations fournies par l’ONG </w:t>
      </w:r>
      <w:proofErr w:type="spellStart"/>
      <w:r w:rsidRPr="00C2221C">
        <w:rPr>
          <w:rFonts w:ascii="Times New Roman" w:hAnsi="Times New Roman"/>
          <w:lang w:val="fr-BE"/>
        </w:rPr>
        <w:t>Chemsec</w:t>
      </w:r>
      <w:proofErr w:type="spellEnd"/>
      <w:r w:rsidRPr="002D2789">
        <w:rPr>
          <w:rStyle w:val="FootnoteReference"/>
          <w:rFonts w:ascii="Times New Roman" w:hAnsi="Times New Roman"/>
          <w:color w:val="000000"/>
        </w:rPr>
        <w:footnoteReference w:id="1"/>
      </w:r>
      <w:r w:rsidRPr="00C2221C">
        <w:rPr>
          <w:rFonts w:ascii="Times New Roman" w:hAnsi="Times New Roman"/>
          <w:lang w:val="fr-BE"/>
        </w:rPr>
        <w:t>. Les informations pertinentes contenues dans cette demande ont été vérifiées auprès de l’Agence européenne des produits chimiques (ECHA), de même que pour la demande d’</w:t>
      </w:r>
      <w:proofErr w:type="spellStart"/>
      <w:r w:rsidRPr="00C2221C">
        <w:rPr>
          <w:rFonts w:ascii="Times New Roman" w:hAnsi="Times New Roman"/>
          <w:lang w:val="fr-BE"/>
        </w:rPr>
        <w:t>Ilario</w:t>
      </w:r>
      <w:proofErr w:type="spellEnd"/>
      <w:r w:rsidRPr="00C2221C">
        <w:rPr>
          <w:rFonts w:ascii="Times New Roman" w:hAnsi="Times New Roman"/>
          <w:lang w:val="fr-BE"/>
        </w:rPr>
        <w:t xml:space="preserve"> </w:t>
      </w:r>
      <w:proofErr w:type="spellStart"/>
      <w:r w:rsidRPr="00C2221C">
        <w:rPr>
          <w:rFonts w:ascii="Times New Roman" w:hAnsi="Times New Roman"/>
          <w:lang w:val="fr-BE"/>
        </w:rPr>
        <w:t>Ormezzano</w:t>
      </w:r>
      <w:proofErr w:type="spellEnd"/>
      <w:r w:rsidRPr="00C2221C">
        <w:rPr>
          <w:rFonts w:ascii="Times New Roman" w:hAnsi="Times New Roman"/>
          <w:lang w:val="fr-BE"/>
        </w:rPr>
        <w:t>.</w:t>
      </w:r>
    </w:p>
    <w:p w:rsidR="004D759B" w:rsidRPr="00C2221C" w:rsidRDefault="004D759B" w:rsidP="004D759B">
      <w:pPr>
        <w:ind w:left="320"/>
        <w:rPr>
          <w:rFonts w:ascii="Times New Roman" w:hAnsi="Times New Roman"/>
          <w:szCs w:val="24"/>
          <w:lang w:val="fr-BE"/>
        </w:rPr>
      </w:pPr>
      <w:r w:rsidRPr="00C2221C">
        <w:rPr>
          <w:rFonts w:ascii="Times New Roman" w:hAnsi="Times New Roman"/>
          <w:lang w:val="fr-BE"/>
        </w:rPr>
        <w:t>L’analyse des solutions de remplacement effectuée par le demandeur et la conclusion du CASE indiquent que les échantillons teints avec des colorants réactifs ont été systématiquement rejetés par les clients des utilisateurs en aval du demandeur, ce qui renforce la conclusion qu’aucune des solutions de remplacement évaluées ne répondrait aux exigences des clients et ne serait donc appropriée. Dans sa conclusion, le CASE a confirmé qu’il ne semblait pas y avoir de solution de rechange appropriée en termes de faisabilité technique et économique pour le demandeur. La Commission n’a aucune raison de s’écarter de l’évaluation socio-économique faite par le CASE, y compris la conclusion sur l’absence d’alternative appropriée.</w:t>
      </w:r>
    </w:p>
    <w:p w:rsidR="004D759B" w:rsidRPr="00C2221C" w:rsidRDefault="004D759B" w:rsidP="004D759B">
      <w:pPr>
        <w:ind w:left="320"/>
        <w:rPr>
          <w:rFonts w:ascii="Times New Roman" w:hAnsi="Times New Roman"/>
          <w:szCs w:val="24"/>
          <w:lang w:val="fr-BE"/>
        </w:rPr>
      </w:pPr>
      <w:r w:rsidRPr="00C2221C">
        <w:rPr>
          <w:rFonts w:ascii="Times New Roman" w:hAnsi="Times New Roman"/>
          <w:lang w:val="fr-BE"/>
        </w:rPr>
        <w:t xml:space="preserve">La résolution du Parlement remet également en question la conclusion selon laquelle il n’existe pas d’alternatives appropriées car, sur l’ensemble des opérateurs du marché textile, seules deux sociétés ont demandé une autorisation. Cet argument est également sans fondement. Le demandeur de l’autorisation, </w:t>
      </w:r>
      <w:proofErr w:type="spellStart"/>
      <w:r w:rsidRPr="00C2221C">
        <w:rPr>
          <w:rFonts w:ascii="Times New Roman" w:hAnsi="Times New Roman"/>
          <w:lang w:val="fr-BE"/>
        </w:rPr>
        <w:t>Ilario</w:t>
      </w:r>
      <w:proofErr w:type="spellEnd"/>
      <w:r w:rsidRPr="00C2221C">
        <w:rPr>
          <w:rFonts w:ascii="Times New Roman" w:hAnsi="Times New Roman"/>
          <w:lang w:val="fr-BE"/>
        </w:rPr>
        <w:t xml:space="preserve"> </w:t>
      </w:r>
      <w:proofErr w:type="spellStart"/>
      <w:r w:rsidRPr="00C2221C">
        <w:rPr>
          <w:rFonts w:ascii="Times New Roman" w:hAnsi="Times New Roman"/>
          <w:lang w:val="fr-BE"/>
        </w:rPr>
        <w:t>Ormezzano</w:t>
      </w:r>
      <w:proofErr w:type="spellEnd"/>
      <w:r w:rsidRPr="00C2221C">
        <w:rPr>
          <w:rFonts w:ascii="Times New Roman" w:hAnsi="Times New Roman"/>
          <w:lang w:val="fr-BE"/>
        </w:rPr>
        <w:t xml:space="preserve"> Sai S.R.L., n’est pas un producteur textile, mais une entreprise chimique qui utilise la substance pour préparer des mélanges et les fournit à des opérateurs qui effectuent le processus de teinture (teinturiers et fabricants textiles) et fournissent ensuite les produits en laine au secteur de la mode. En outre, indépendamment de l’autorisation, les entreprises situées en dehors de l’Union européenne peuvent également utiliser des colorants à base de chrome dans la production de produits en laine et les exporter vers l’Union européenne, puisque l’obligation d’autorisation ne s’applique pas aux articles importés et que la substance n’est plus présente dans le produit final et ne pose donc aucun risque pour les consommateurs. Par conséquent, ne pas accorder l’autorisation, comme le suggère la résolution, aurait des implications importantes pour le demandeur et sa chaîne d’approvisionnement et ne tiendrait pas compte du fait que les incidences socio-économiques l’emportent sur les risques pour la santé humaine liés à la poursuite de l’utilisation. Dans le même temps, les articles teints avec les colorants à base de chrome pourraient continuer à être importés dans l’Union européenne;</w:t>
      </w:r>
    </w:p>
    <w:p w:rsidR="004D759B" w:rsidRPr="00C2221C" w:rsidRDefault="004D759B" w:rsidP="004D759B">
      <w:pPr>
        <w:ind w:left="320" w:hanging="320"/>
        <w:rPr>
          <w:rFonts w:ascii="Times New Roman" w:eastAsia="Calibri" w:hAnsi="Times New Roman"/>
          <w:szCs w:val="24"/>
          <w:lang w:val="fr-BE"/>
        </w:rPr>
      </w:pPr>
      <w:r w:rsidRPr="00C2221C">
        <w:rPr>
          <w:rFonts w:ascii="Times New Roman" w:hAnsi="Times New Roman"/>
          <w:lang w:val="fr-BE"/>
        </w:rPr>
        <w:t>ii)</w:t>
      </w:r>
      <w:r w:rsidRPr="00C2221C">
        <w:rPr>
          <w:rFonts w:ascii="Times New Roman" w:hAnsi="Times New Roman"/>
          <w:lang w:val="fr-BE"/>
        </w:rPr>
        <w:tab/>
        <w:t>même si la question technique concernant la qualité était résolue, il faudrait plus de temps et d’investissements pour l’adaptation du processus de production et la qualification des produits par les clients finals. Le refus de délivrer l’autorisation aurait donc de graves conséquences socio-économiques pour les entreprises concernées et leurs travailleurs.</w:t>
      </w:r>
    </w:p>
    <w:p w:rsidR="004D759B" w:rsidRPr="00C2221C" w:rsidRDefault="004D759B" w:rsidP="004D759B">
      <w:pPr>
        <w:ind w:left="320"/>
        <w:rPr>
          <w:rFonts w:ascii="Times New Roman" w:hAnsi="Times New Roman"/>
          <w:szCs w:val="24"/>
          <w:lang w:val="fr-BE"/>
        </w:rPr>
      </w:pPr>
      <w:r w:rsidRPr="00C2221C">
        <w:rPr>
          <w:rFonts w:ascii="Times New Roman" w:hAnsi="Times New Roman"/>
          <w:lang w:val="fr-BE"/>
        </w:rPr>
        <w:t xml:space="preserve">Néanmoins, la Commission estime que toute alternative possible devrait être mise en œuvre sans délai. Afin de s’assurer que toutes les solutions de remplacement possibles sont utilisées le plus tôt possible compte tenu des incertitudes constatées par le CASE, la Commission a proposé de ramener la période de révision de sept ans (recommandation du CASE) à quatre ans à compter de la date d’expiration (projet de décision de la </w:t>
      </w:r>
      <w:r w:rsidRPr="00C2221C">
        <w:rPr>
          <w:rFonts w:ascii="Times New Roman" w:hAnsi="Times New Roman"/>
          <w:lang w:val="fr-BE"/>
        </w:rPr>
        <w:lastRenderedPageBreak/>
        <w:t xml:space="preserve">Commission). Cela signifie que l’autorisation expirerait le </w:t>
      </w:r>
      <w:r w:rsidRPr="005C1999">
        <w:rPr>
          <w:rFonts w:ascii="Times New Roman" w:hAnsi="Times New Roman"/>
          <w:lang w:val="fr-BE"/>
        </w:rPr>
        <w:t>21</w:t>
      </w:r>
      <w:r w:rsidRPr="00C2221C">
        <w:rPr>
          <w:rFonts w:ascii="Times New Roman" w:hAnsi="Times New Roman"/>
          <w:lang w:val="fr-BE"/>
        </w:rPr>
        <w:t xml:space="preserve"> septembre </w:t>
      </w:r>
      <w:r w:rsidRPr="005C1999">
        <w:rPr>
          <w:rFonts w:ascii="Times New Roman" w:hAnsi="Times New Roman"/>
          <w:lang w:val="fr-BE"/>
        </w:rPr>
        <w:t>2021</w:t>
      </w:r>
      <w:r w:rsidRPr="00C2221C">
        <w:rPr>
          <w:rFonts w:ascii="Times New Roman" w:hAnsi="Times New Roman"/>
          <w:lang w:val="fr-BE"/>
        </w:rPr>
        <w:t xml:space="preserve"> et que l’entreprise n’aurait que jusqu’au </w:t>
      </w:r>
      <w:r w:rsidRPr="005C1999">
        <w:rPr>
          <w:rFonts w:ascii="Times New Roman" w:hAnsi="Times New Roman"/>
          <w:lang w:val="fr-BE"/>
        </w:rPr>
        <w:t>21</w:t>
      </w:r>
      <w:r w:rsidRPr="00C2221C">
        <w:rPr>
          <w:rFonts w:ascii="Times New Roman" w:hAnsi="Times New Roman"/>
          <w:lang w:val="fr-BE"/>
        </w:rPr>
        <w:t xml:space="preserve"> mars </w:t>
      </w:r>
      <w:r w:rsidRPr="005C1999">
        <w:rPr>
          <w:rFonts w:ascii="Times New Roman" w:hAnsi="Times New Roman"/>
          <w:lang w:val="fr-BE"/>
        </w:rPr>
        <w:t>2020</w:t>
      </w:r>
      <w:r w:rsidRPr="00C2221C">
        <w:rPr>
          <w:rFonts w:ascii="Times New Roman" w:hAnsi="Times New Roman"/>
          <w:lang w:val="fr-BE"/>
        </w:rPr>
        <w:t xml:space="preserve"> pour soumettre un rapport de révision (</w:t>
      </w:r>
      <w:r w:rsidRPr="005C1999">
        <w:rPr>
          <w:rFonts w:ascii="Times New Roman" w:hAnsi="Times New Roman"/>
          <w:lang w:val="fr-BE"/>
        </w:rPr>
        <w:t>18</w:t>
      </w:r>
      <w:r w:rsidRPr="00C2221C">
        <w:rPr>
          <w:rFonts w:ascii="Times New Roman" w:hAnsi="Times New Roman"/>
          <w:lang w:val="fr-BE"/>
        </w:rPr>
        <w:t> mois avant la date de révision). En d’autres termes, l’entreprise et ses utilisateurs en aval doivent réévaluer, dans les mois suivant la réception de la décision, s’ils peuvent remplacer la substance ou si le titulaire de l’autorisation doit préparer un rapport de révision démontrant les raisons pour lesquelles la substance ne peut être remplacée;</w:t>
      </w:r>
    </w:p>
    <w:p w:rsidR="004D759B" w:rsidRPr="00C2221C" w:rsidRDefault="004D759B" w:rsidP="004D759B">
      <w:pPr>
        <w:ind w:left="320" w:hanging="320"/>
        <w:rPr>
          <w:rFonts w:ascii="Times New Roman" w:eastAsia="Calibri" w:hAnsi="Times New Roman"/>
          <w:szCs w:val="24"/>
          <w:lang w:val="fr-BE"/>
        </w:rPr>
      </w:pPr>
      <w:r w:rsidRPr="00C2221C">
        <w:rPr>
          <w:rFonts w:ascii="Times New Roman" w:hAnsi="Times New Roman"/>
          <w:lang w:val="fr-BE"/>
        </w:rPr>
        <w:t>iii)</w:t>
      </w:r>
      <w:r w:rsidRPr="00C2221C">
        <w:rPr>
          <w:rFonts w:ascii="Times New Roman" w:hAnsi="Times New Roman"/>
          <w:lang w:val="fr-BE"/>
        </w:rPr>
        <w:tab/>
        <w:t xml:space="preserve">le projet de décision concernant </w:t>
      </w:r>
      <w:proofErr w:type="spellStart"/>
      <w:r w:rsidRPr="00C2221C">
        <w:rPr>
          <w:rFonts w:ascii="Times New Roman" w:hAnsi="Times New Roman"/>
          <w:lang w:val="fr-BE"/>
        </w:rPr>
        <w:t>Ilario</w:t>
      </w:r>
      <w:proofErr w:type="spellEnd"/>
      <w:r w:rsidRPr="00C2221C">
        <w:rPr>
          <w:rFonts w:ascii="Times New Roman" w:hAnsi="Times New Roman"/>
          <w:lang w:val="fr-BE"/>
        </w:rPr>
        <w:t xml:space="preserve"> </w:t>
      </w:r>
      <w:proofErr w:type="spellStart"/>
      <w:r w:rsidRPr="00C2221C">
        <w:rPr>
          <w:rFonts w:ascii="Times New Roman" w:hAnsi="Times New Roman"/>
          <w:lang w:val="fr-BE"/>
        </w:rPr>
        <w:t>Ormezzano</w:t>
      </w:r>
      <w:proofErr w:type="spellEnd"/>
      <w:r w:rsidRPr="00C2221C">
        <w:rPr>
          <w:rFonts w:ascii="Times New Roman" w:hAnsi="Times New Roman"/>
          <w:lang w:val="fr-BE"/>
        </w:rPr>
        <w:t xml:space="preserve"> Sai S.R.L. porte sur des utilisations très similaires de la même substance que la décision d’autorisation concernant </w:t>
      </w:r>
      <w:proofErr w:type="spellStart"/>
      <w:r w:rsidRPr="00C2221C">
        <w:rPr>
          <w:rFonts w:ascii="Times New Roman" w:hAnsi="Times New Roman"/>
          <w:lang w:val="fr-BE"/>
        </w:rPr>
        <w:t>Gruppo</w:t>
      </w:r>
      <w:proofErr w:type="spellEnd"/>
      <w:r w:rsidRPr="00C2221C">
        <w:rPr>
          <w:rFonts w:ascii="Times New Roman" w:hAnsi="Times New Roman"/>
          <w:lang w:val="fr-BE"/>
        </w:rPr>
        <w:t xml:space="preserve"> Colle S.R.L. adoptée le </w:t>
      </w:r>
      <w:r w:rsidRPr="005C1999">
        <w:rPr>
          <w:rFonts w:ascii="Times New Roman" w:hAnsi="Times New Roman"/>
          <w:lang w:val="fr-BE"/>
        </w:rPr>
        <w:t>15</w:t>
      </w:r>
      <w:r w:rsidRPr="00C2221C">
        <w:rPr>
          <w:rFonts w:ascii="Times New Roman" w:hAnsi="Times New Roman"/>
          <w:lang w:val="fr-BE"/>
        </w:rPr>
        <w:t xml:space="preserve"> décembre </w:t>
      </w:r>
      <w:r w:rsidRPr="005C1999">
        <w:rPr>
          <w:rFonts w:ascii="Times New Roman" w:hAnsi="Times New Roman"/>
          <w:lang w:val="fr-BE"/>
        </w:rPr>
        <w:t>2017</w:t>
      </w:r>
      <w:r w:rsidRPr="00C2221C">
        <w:rPr>
          <w:rFonts w:ascii="Times New Roman" w:hAnsi="Times New Roman"/>
          <w:lang w:val="fr-BE"/>
        </w:rPr>
        <w:t xml:space="preserve">. La décision relative à </w:t>
      </w:r>
      <w:proofErr w:type="spellStart"/>
      <w:r w:rsidRPr="00C2221C">
        <w:rPr>
          <w:rFonts w:ascii="Times New Roman" w:hAnsi="Times New Roman"/>
          <w:lang w:val="fr-BE"/>
        </w:rPr>
        <w:t>Gruppo</w:t>
      </w:r>
      <w:proofErr w:type="spellEnd"/>
      <w:r w:rsidRPr="00C2221C">
        <w:rPr>
          <w:rFonts w:ascii="Times New Roman" w:hAnsi="Times New Roman"/>
          <w:lang w:val="fr-BE"/>
        </w:rPr>
        <w:t xml:space="preserve"> Colle S.R.L. a accordé une autorisation pour quatre ans et a été soutenue par une majorité qualifiée d’experts des États membres au sein du comité. Il convient de noter que le Parlement n’a pas contesté la décision de la Commission concernant </w:t>
      </w:r>
      <w:proofErr w:type="spellStart"/>
      <w:r w:rsidRPr="00C2221C">
        <w:rPr>
          <w:rFonts w:ascii="Times New Roman" w:hAnsi="Times New Roman"/>
          <w:lang w:val="fr-BE"/>
        </w:rPr>
        <w:t>Gruppo</w:t>
      </w:r>
      <w:proofErr w:type="spellEnd"/>
      <w:r w:rsidRPr="00C2221C">
        <w:rPr>
          <w:rFonts w:ascii="Times New Roman" w:hAnsi="Times New Roman"/>
          <w:lang w:val="fr-BE"/>
        </w:rPr>
        <w:t xml:space="preserve"> Colle S.R.L. La Commission estime qu’il serait incohérent d’accorder l’autorisation à une entreprise tandis qu’elle est refusée à une autre qui se trouve dans une situation similaire en ce qui concerne la transition vers des solutions de remplacement, et lorsque les avantages socio-économiques l’emportent également sur le risque lié à une poursuite de l’utilisation.</w:t>
      </w:r>
    </w:p>
    <w:p w:rsidR="004D759B" w:rsidRPr="00C2221C" w:rsidRDefault="004D759B" w:rsidP="004D759B">
      <w:pPr>
        <w:autoSpaceDE w:val="0"/>
        <w:autoSpaceDN w:val="0"/>
        <w:adjustRightInd w:val="0"/>
        <w:rPr>
          <w:rFonts w:ascii="Times New Roman" w:eastAsia="Calibri" w:hAnsi="Times New Roman"/>
          <w:szCs w:val="24"/>
          <w:lang w:val="fr-BE"/>
        </w:rPr>
      </w:pPr>
      <w:r w:rsidRPr="00C2221C">
        <w:rPr>
          <w:rFonts w:ascii="Times New Roman" w:hAnsi="Times New Roman"/>
          <w:lang w:val="fr-BE"/>
        </w:rPr>
        <w:t>Sur la base du raisonnement exposé, la Commission ne peut pas suivre les objections soulevées dans la résolution du Parlement et ne voit pas la nécessité de modifier ou de retirer le projet de décision d’exécution.</w:t>
      </w:r>
    </w:p>
    <w:p w:rsidR="004D759B" w:rsidRDefault="004D759B" w:rsidP="004D759B">
      <w:pPr>
        <w:autoSpaceDE w:val="0"/>
        <w:autoSpaceDN w:val="0"/>
        <w:adjustRightInd w:val="0"/>
        <w:rPr>
          <w:rFonts w:ascii="Times New Roman" w:hAnsi="Times New Roman"/>
          <w:lang w:val="fr-BE"/>
        </w:rPr>
      </w:pPr>
      <w:r w:rsidRPr="00C2221C">
        <w:rPr>
          <w:rFonts w:ascii="Times New Roman" w:hAnsi="Times New Roman"/>
          <w:lang w:val="fr-BE"/>
        </w:rPr>
        <w:t>Toutefois, la Commission a reconnu dans son récent rapport d’évaluation de REACH</w:t>
      </w:r>
      <w:r w:rsidRPr="002D2789">
        <w:rPr>
          <w:rStyle w:val="FootnoteReference"/>
          <w:rFonts w:ascii="Times New Roman" w:hAnsi="Times New Roman"/>
        </w:rPr>
        <w:footnoteReference w:id="2"/>
      </w:r>
      <w:r w:rsidRPr="00C2221C">
        <w:rPr>
          <w:rFonts w:ascii="Times New Roman" w:hAnsi="Times New Roman"/>
          <w:lang w:val="fr-BE"/>
        </w:rPr>
        <w:t xml:space="preserve"> que le processus d’autorisation au titre de REACH doit encore être amélioré (action </w:t>
      </w:r>
      <w:r w:rsidRPr="005C1999">
        <w:rPr>
          <w:rFonts w:ascii="Times New Roman" w:hAnsi="Times New Roman"/>
          <w:lang w:val="fr-BE"/>
        </w:rPr>
        <w:t>6</w:t>
      </w:r>
      <w:r w:rsidRPr="00C2221C">
        <w:rPr>
          <w:rFonts w:ascii="Times New Roman" w:hAnsi="Times New Roman"/>
          <w:lang w:val="fr-BE"/>
        </w:rPr>
        <w:t xml:space="preserve"> de la communication). Le rapport d’évaluation souligne également l’importance de disposer de substances de remplacement plus sûres et appropriées pour remplacer les substances extrêmement préoccupantes et il propose une action visant à promouvoir le remplacement de ces substances (action </w:t>
      </w:r>
      <w:r w:rsidRPr="005C1999">
        <w:rPr>
          <w:rFonts w:ascii="Times New Roman" w:hAnsi="Times New Roman"/>
          <w:lang w:val="fr-BE"/>
        </w:rPr>
        <w:t>5</w:t>
      </w:r>
      <w:r w:rsidRPr="00C2221C">
        <w:rPr>
          <w:rFonts w:ascii="Times New Roman" w:hAnsi="Times New Roman"/>
          <w:lang w:val="fr-BE"/>
        </w:rPr>
        <w:t xml:space="preserve"> de la communication). La mise en œuvre de ces mesures est en cours.</w:t>
      </w:r>
    </w:p>
    <w:p w:rsidR="00680EFD" w:rsidRPr="004D759B" w:rsidRDefault="00680EFD">
      <w:pPr>
        <w:rPr>
          <w:lang w:val="fr-BE"/>
        </w:rPr>
      </w:pPr>
    </w:p>
    <w:sectPr w:rsidR="00680EFD" w:rsidRPr="004D75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9B" w:rsidRDefault="004D759B" w:rsidP="004D759B">
      <w:pPr>
        <w:spacing w:after="0"/>
      </w:pPr>
      <w:r>
        <w:separator/>
      </w:r>
    </w:p>
  </w:endnote>
  <w:endnote w:type="continuationSeparator" w:id="0">
    <w:p w:rsidR="004D759B" w:rsidRDefault="004D759B" w:rsidP="004D7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9B" w:rsidRDefault="004D759B" w:rsidP="004D759B">
      <w:pPr>
        <w:spacing w:after="0"/>
      </w:pPr>
      <w:r>
        <w:separator/>
      </w:r>
    </w:p>
  </w:footnote>
  <w:footnote w:type="continuationSeparator" w:id="0">
    <w:p w:rsidR="004D759B" w:rsidRDefault="004D759B" w:rsidP="004D759B">
      <w:pPr>
        <w:spacing w:after="0"/>
      </w:pPr>
      <w:r>
        <w:continuationSeparator/>
      </w:r>
    </w:p>
  </w:footnote>
  <w:footnote w:id="1">
    <w:p w:rsidR="004D759B" w:rsidRPr="00C2221C" w:rsidRDefault="004D759B" w:rsidP="004D759B">
      <w:pPr>
        <w:pStyle w:val="FootnoteText"/>
        <w:rPr>
          <w:rFonts w:ascii="Times New Roman" w:hAnsi="Times New Roman"/>
          <w:lang w:val="fr-BE"/>
        </w:rPr>
      </w:pPr>
      <w:r w:rsidRPr="004D759B">
        <w:rPr>
          <w:rStyle w:val="FootnoteReference"/>
          <w:rFonts w:ascii="Times New Roman" w:hAnsi="Times New Roman"/>
        </w:rPr>
        <w:footnoteRef/>
      </w:r>
      <w:r w:rsidRPr="004D759B">
        <w:rPr>
          <w:rStyle w:val="FootnoteReference"/>
          <w:rFonts w:ascii="Times New Roman" w:hAnsi="Times New Roman"/>
          <w:lang w:val="fr-BE"/>
        </w:rPr>
        <w:t xml:space="preserve"> </w:t>
      </w:r>
      <w:r w:rsidRPr="004D759B">
        <w:rPr>
          <w:lang w:val="fr-BE"/>
        </w:rPr>
        <w:tab/>
      </w:r>
      <w:r w:rsidRPr="004D759B">
        <w:rPr>
          <w:rFonts w:ascii="Times New Roman" w:hAnsi="Times New Roman"/>
          <w:lang w:val="fr-BE"/>
        </w:rPr>
        <w:t xml:space="preserve">Considérant T de la résolution, se référant à: </w:t>
      </w:r>
      <w:hyperlink r:id="rId1">
        <w:r w:rsidRPr="004D759B">
          <w:rPr>
            <w:rStyle w:val="Hyperlink"/>
            <w:rFonts w:ascii="Times New Roman" w:hAnsi="Times New Roman"/>
            <w:color w:val="auto"/>
            <w:lang w:val="fr-BE"/>
          </w:rPr>
          <w:t>https://marketplace.chemsec.org/Alternative/LANASOL-CE-pioneering-replacement-of-chrome-dyes-since-20-years-44</w:t>
        </w:r>
      </w:hyperlink>
      <w:r w:rsidRPr="004D759B">
        <w:rPr>
          <w:rFonts w:ascii="Times New Roman" w:hAnsi="Times New Roman"/>
          <w:lang w:val="fr-BE"/>
        </w:rPr>
        <w:t xml:space="preserve"> </w:t>
      </w:r>
    </w:p>
  </w:footnote>
  <w:footnote w:id="2">
    <w:p w:rsidR="004D759B" w:rsidRPr="007A6B45" w:rsidRDefault="004D759B" w:rsidP="004D759B">
      <w:pPr>
        <w:pStyle w:val="FootnoteText"/>
        <w:rPr>
          <w:rFonts w:ascii="Times New Roman" w:hAnsi="Times New Roman"/>
          <w:lang w:val="pt-PT"/>
        </w:rPr>
      </w:pPr>
      <w:r>
        <w:rPr>
          <w:rStyle w:val="FootnoteReference"/>
          <w:rFonts w:ascii="Times New Roman" w:hAnsi="Times New Roman"/>
        </w:rPr>
        <w:footnoteRef/>
      </w:r>
      <w:r w:rsidRPr="002D2789">
        <w:rPr>
          <w:rFonts w:ascii="Times New Roman" w:hAnsi="Times New Roman"/>
          <w:lang w:val="pt-PT"/>
        </w:rPr>
        <w:t xml:space="preserve"> </w:t>
      </w:r>
      <w:r w:rsidRPr="002D2789">
        <w:rPr>
          <w:lang w:val="pt-PT"/>
        </w:rPr>
        <w:tab/>
      </w:r>
      <w:proofErr w:type="gramStart"/>
      <w:r w:rsidRPr="002D2789">
        <w:rPr>
          <w:rFonts w:ascii="Times New Roman" w:hAnsi="Times New Roman"/>
          <w:lang w:val="pt-PT"/>
        </w:rPr>
        <w:t>COM(</w:t>
      </w:r>
      <w:proofErr w:type="gramEnd"/>
      <w:r w:rsidRPr="005C1999">
        <w:rPr>
          <w:rFonts w:ascii="Times New Roman" w:hAnsi="Times New Roman"/>
          <w:lang w:val="pt-PT"/>
        </w:rPr>
        <w:t>2018</w:t>
      </w:r>
      <w:r w:rsidRPr="002D2789">
        <w:rPr>
          <w:rFonts w:ascii="Times New Roman" w:hAnsi="Times New Roman"/>
          <w:lang w:val="pt-PT"/>
        </w:rPr>
        <w:t>) </w:t>
      </w:r>
      <w:r w:rsidRPr="005C1999">
        <w:rPr>
          <w:rFonts w:ascii="Times New Roman" w:hAnsi="Times New Roman"/>
          <w:lang w:val="pt-PT"/>
        </w:rPr>
        <w:t>116</w:t>
      </w:r>
      <w:r w:rsidRPr="002D2789">
        <w:rPr>
          <w:rFonts w:ascii="Times New Roman" w:hAnsi="Times New Roman"/>
          <w:lang w:val="pt-PT"/>
        </w:rPr>
        <w:t xml:space="preserve"> final </w:t>
      </w:r>
      <w:proofErr w:type="spellStart"/>
      <w:r w:rsidRPr="002D2789">
        <w:rPr>
          <w:rFonts w:ascii="Times New Roman" w:hAnsi="Times New Roman"/>
          <w:lang w:val="pt-PT"/>
        </w:rPr>
        <w:t>du</w:t>
      </w:r>
      <w:proofErr w:type="spellEnd"/>
      <w:r w:rsidRPr="002D2789">
        <w:rPr>
          <w:rFonts w:ascii="Times New Roman" w:hAnsi="Times New Roman"/>
          <w:lang w:val="pt-PT"/>
        </w:rPr>
        <w:t xml:space="preserve"> </w:t>
      </w:r>
      <w:r w:rsidRPr="005C1999">
        <w:rPr>
          <w:rFonts w:ascii="Times New Roman" w:hAnsi="Times New Roman"/>
          <w:lang w:val="pt-PT"/>
        </w:rPr>
        <w:t>5</w:t>
      </w:r>
      <w:r w:rsidRPr="002D2789">
        <w:rPr>
          <w:rFonts w:ascii="Times New Roman" w:hAnsi="Times New Roman"/>
          <w:lang w:val="pt-PT"/>
        </w:rPr>
        <w:t>.</w:t>
      </w:r>
      <w:r w:rsidRPr="005C1999">
        <w:rPr>
          <w:rFonts w:ascii="Times New Roman" w:hAnsi="Times New Roman"/>
          <w:lang w:val="pt-PT"/>
        </w:rPr>
        <w:t>3</w:t>
      </w:r>
      <w:r w:rsidRPr="002D2789">
        <w:rPr>
          <w:rFonts w:ascii="Times New Roman" w:hAnsi="Times New Roman"/>
          <w:lang w:val="pt-PT"/>
        </w:rPr>
        <w:t>.</w:t>
      </w:r>
      <w:r w:rsidRPr="005C1999">
        <w:rPr>
          <w:rFonts w:ascii="Times New Roman" w:hAnsi="Times New Roman"/>
          <w:lang w:val="pt-PT"/>
        </w:rPr>
        <w:t>2018</w:t>
      </w:r>
      <w:r w:rsidRPr="002D2789">
        <w:rPr>
          <w:rFonts w:ascii="Times New Roman" w:hAnsi="Times New Roman"/>
          <w:lang w:val="pt-P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96461"/>
    <w:multiLevelType w:val="hybridMultilevel"/>
    <w:tmpl w:val="9DF09A94"/>
    <w:lvl w:ilvl="0" w:tplc="94A62EB0">
      <w:start w:val="1"/>
      <w:numFmt w:val="decimal"/>
      <w:lvlText w:val="%1."/>
      <w:lvlJc w:val="left"/>
      <w:pPr>
        <w:ind w:left="360" w:hanging="360"/>
      </w:pPr>
      <w:rPr>
        <w:b/>
        <w:i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9B"/>
    <w:rsid w:val="000A1623"/>
    <w:rsid w:val="00131AC6"/>
    <w:rsid w:val="001855CC"/>
    <w:rsid w:val="001C3806"/>
    <w:rsid w:val="002871F7"/>
    <w:rsid w:val="004D759B"/>
    <w:rsid w:val="00680EFD"/>
    <w:rsid w:val="006843AE"/>
    <w:rsid w:val="00B34A98"/>
    <w:rsid w:val="00B65AA4"/>
    <w:rsid w:val="00ED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BD7C1-E94F-4D92-BAB0-9102C983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9B"/>
    <w:pPr>
      <w:spacing w:after="240" w:line="240" w:lineRule="auto"/>
      <w:jc w:val="both"/>
    </w:pPr>
    <w:rPr>
      <w:rFonts w:ascii="Courier New" w:eastAsia="Times New Roman" w:hAnsi="Courier Ne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GName">
    <w:name w:val="Z_DGName"/>
    <w:basedOn w:val="Normal"/>
    <w:uiPriority w:val="99"/>
    <w:rsid w:val="000A1623"/>
    <w:pPr>
      <w:ind w:right="85"/>
    </w:pPr>
    <w:rPr>
      <w:rFonts w:ascii="Arial" w:hAnsi="Arial" w:cs="Arial"/>
      <w:color w:val="000000"/>
      <w:sz w:val="16"/>
      <w:szCs w:val="16"/>
      <w:lang w:val="fr-FR" w:eastAsia="fr-BE"/>
    </w:rPr>
  </w:style>
  <w:style w:type="paragraph" w:customStyle="1" w:styleId="NoSpacingGray-80">
    <w:name w:val="No Spacing + Gray-80%"/>
    <w:aliases w:val="Justified,Left:  0,5 cm + Left:  0,5 cm,Right:  0,08 cm"/>
    <w:basedOn w:val="NoSpacing"/>
    <w:rsid w:val="000A1623"/>
    <w:pPr>
      <w:ind w:right="707"/>
    </w:pPr>
    <w:rPr>
      <w:rFonts w:eastAsia="Times New Roman" w:cs="Times New Roman"/>
      <w:color w:val="000000"/>
    </w:rPr>
  </w:style>
  <w:style w:type="paragraph" w:styleId="NoSpacing">
    <w:name w:val="No Spacing"/>
    <w:link w:val="NoSpacingChar"/>
    <w:autoRedefine/>
    <w:uiPriority w:val="1"/>
    <w:qFormat/>
    <w:rsid w:val="000A1623"/>
    <w:pPr>
      <w:keepLines/>
      <w:spacing w:after="0" w:line="240" w:lineRule="auto"/>
      <w:jc w:val="both"/>
    </w:pPr>
    <w:rPr>
      <w:rFonts w:ascii="Times New Roman" w:hAnsi="Times New Roman"/>
      <w:color w:val="333333"/>
      <w:sz w:val="20"/>
      <w:szCs w:val="20"/>
      <w:lang w:val="fr-BE" w:eastAsia="en-GB"/>
    </w:rPr>
  </w:style>
  <w:style w:type="paragraph" w:styleId="Header">
    <w:name w:val="header"/>
    <w:basedOn w:val="Normal"/>
    <w:link w:val="HeaderChar"/>
    <w:uiPriority w:val="99"/>
    <w:unhideWhenUsed/>
    <w:rsid w:val="000A1623"/>
    <w:pPr>
      <w:tabs>
        <w:tab w:val="center" w:pos="4513"/>
        <w:tab w:val="right" w:pos="9026"/>
      </w:tabs>
      <w:spacing w:after="0"/>
    </w:pPr>
  </w:style>
  <w:style w:type="character" w:customStyle="1" w:styleId="HeaderChar">
    <w:name w:val="Header Char"/>
    <w:basedOn w:val="DefaultParagraphFont"/>
    <w:link w:val="Header"/>
    <w:uiPriority w:val="99"/>
    <w:rsid w:val="000A1623"/>
  </w:style>
  <w:style w:type="paragraph" w:styleId="Footer">
    <w:name w:val="footer"/>
    <w:basedOn w:val="Normal"/>
    <w:link w:val="FooterChar"/>
    <w:uiPriority w:val="99"/>
    <w:unhideWhenUsed/>
    <w:rsid w:val="000A1623"/>
    <w:pPr>
      <w:tabs>
        <w:tab w:val="center" w:pos="4513"/>
        <w:tab w:val="right" w:pos="9026"/>
      </w:tabs>
      <w:spacing w:after="0"/>
    </w:pPr>
  </w:style>
  <w:style w:type="character" w:customStyle="1" w:styleId="FooterChar">
    <w:name w:val="Footer Char"/>
    <w:basedOn w:val="DefaultParagraphFont"/>
    <w:link w:val="Footer"/>
    <w:uiPriority w:val="99"/>
    <w:rsid w:val="000A1623"/>
  </w:style>
  <w:style w:type="character" w:customStyle="1" w:styleId="NoSpacingChar">
    <w:name w:val="No Spacing Char"/>
    <w:link w:val="NoSpacing"/>
    <w:uiPriority w:val="1"/>
    <w:locked/>
    <w:rsid w:val="000A1623"/>
    <w:rPr>
      <w:rFonts w:ascii="Times New Roman" w:hAnsi="Times New Roman"/>
      <w:color w:val="333333"/>
      <w:sz w:val="20"/>
      <w:szCs w:val="20"/>
      <w:lang w:val="fr-BE" w:eastAsia="en-GB"/>
    </w:rPr>
  </w:style>
  <w:style w:type="paragraph" w:styleId="ListParagraph">
    <w:name w:val="List Paragraph"/>
    <w:basedOn w:val="Normal"/>
    <w:uiPriority w:val="34"/>
    <w:qFormat/>
    <w:rsid w:val="000A1623"/>
    <w:pPr>
      <w:ind w:left="720"/>
      <w:contextualSpacing/>
    </w:pPr>
  </w:style>
  <w:style w:type="paragraph" w:customStyle="1" w:styleId="Heading2capitalletters">
    <w:name w:val="Heading 2 (capital letters)"/>
    <w:basedOn w:val="Normal"/>
    <w:link w:val="Heading2capitallettersChar"/>
    <w:qFormat/>
    <w:rsid w:val="000A1623"/>
    <w:rPr>
      <w:rFonts w:ascii="Times New Roman" w:hAnsi="Times New Roman"/>
      <w:b/>
      <w:szCs w:val="24"/>
      <w:u w:val="single"/>
      <w:lang w:val="fr-BE"/>
    </w:rPr>
  </w:style>
  <w:style w:type="character" w:customStyle="1" w:styleId="Heading2capitallettersChar">
    <w:name w:val="Heading 2 (capital letters) Char"/>
    <w:basedOn w:val="DefaultParagraphFont"/>
    <w:link w:val="Heading2capitalletters"/>
    <w:rsid w:val="000A1623"/>
    <w:rPr>
      <w:rFonts w:ascii="Times New Roman" w:hAnsi="Times New Roman" w:cs="Times New Roman"/>
      <w:b/>
      <w:sz w:val="24"/>
      <w:szCs w:val="24"/>
      <w:u w:val="single"/>
      <w:lang w:val="fr-BE"/>
    </w:rPr>
  </w:style>
  <w:style w:type="paragraph" w:customStyle="1" w:styleId="Heading3number">
    <w:name w:val="Heading 3 (number)"/>
    <w:basedOn w:val="Normal"/>
    <w:link w:val="Heading3numberChar"/>
    <w:qFormat/>
    <w:rsid w:val="000A1623"/>
    <w:pPr>
      <w:ind w:left="284"/>
    </w:pPr>
    <w:rPr>
      <w:rFonts w:ascii="Times New Roman" w:hAnsi="Times New Roman"/>
      <w:b/>
      <w:szCs w:val="24"/>
      <w:u w:val="single"/>
      <w:lang w:val="fr-BE"/>
    </w:rPr>
  </w:style>
  <w:style w:type="character" w:customStyle="1" w:styleId="Heading3numberChar">
    <w:name w:val="Heading 3 (number) Char"/>
    <w:basedOn w:val="DefaultParagraphFont"/>
    <w:link w:val="Heading3number"/>
    <w:rsid w:val="000A1623"/>
    <w:rPr>
      <w:rFonts w:ascii="Times New Roman" w:hAnsi="Times New Roman" w:cs="Times New Roman"/>
      <w:b/>
      <w:sz w:val="24"/>
      <w:szCs w:val="24"/>
      <w:u w:val="single"/>
      <w:lang w:val="fr-BE"/>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rsid w:val="004D759B"/>
    <w:pPr>
      <w:ind w:left="357" w:hanging="357"/>
    </w:pPr>
    <w:rPr>
      <w:sz w:val="20"/>
    </w:rPr>
  </w:style>
  <w:style w:type="character" w:customStyle="1" w:styleId="FootnoteTextChar">
    <w:name w:val="Footnote Text Char"/>
    <w:basedOn w:val="DefaultParagraphFont"/>
    <w:uiPriority w:val="99"/>
    <w:semiHidden/>
    <w:rsid w:val="004D759B"/>
    <w:rPr>
      <w:rFonts w:ascii="Courier New" w:eastAsia="Times New Roman" w:hAnsi="Courier New" w:cs="Times New Roman"/>
      <w:sz w:val="20"/>
      <w:szCs w:val="20"/>
      <w:lang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4D759B"/>
    <w:rPr>
      <w:vertAlign w:val="superscript"/>
    </w:rPr>
  </w:style>
  <w:style w:type="character" w:styleId="Hyperlink">
    <w:name w:val="Hyperlink"/>
    <w:aliases w:val="Char1"/>
    <w:uiPriority w:val="99"/>
    <w:rsid w:val="004D759B"/>
    <w:rPr>
      <w:color w:val="0000FF"/>
      <w:u w:val="single"/>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4D759B"/>
    <w:rPr>
      <w:rFonts w:ascii="Courier New" w:eastAsia="Times New Roman" w:hAnsi="Courier New" w:cs="Times New Roman"/>
      <w:sz w:val="20"/>
      <w:szCs w:val="20"/>
      <w:lang w:eastAsia="en-GB"/>
    </w:rPr>
  </w:style>
  <w:style w:type="paragraph" w:customStyle="1" w:styleId="Default">
    <w:name w:val="Default"/>
    <w:rsid w:val="004D759B"/>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D759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uiPriority w:val="99"/>
    <w:rsid w:val="004D759B"/>
    <w:pPr>
      <w:spacing w:after="0" w:line="360" w:lineRule="auto"/>
    </w:pPr>
    <w:rPr>
      <w:rFonts w:ascii="Verdana" w:hAnsi="Verdana"/>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marketplace.chemsec.org/Alternative/LANASOL-CE-pioneering-replacement-of-chrome-dyes-since-20-years-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7389</Characters>
  <Application>Microsoft Office Word</Application>
  <DocSecurity>0</DocSecurity>
  <Lines>113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Veronique (SG)</dc:creator>
  <cp:keywords/>
  <dc:description/>
  <cp:lastModifiedBy>VINCENT Veronique (SG)</cp:lastModifiedBy>
  <cp:revision>1</cp:revision>
  <dcterms:created xsi:type="dcterms:W3CDTF">2019-03-20T13:28:00Z</dcterms:created>
  <dcterms:modified xsi:type="dcterms:W3CDTF">2019-03-20T13:29:00Z</dcterms:modified>
</cp:coreProperties>
</file>