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0C" w:rsidRPr="00CE68FB" w:rsidRDefault="00E3640C" w:rsidP="00E3640C">
      <w:pPr>
        <w:spacing w:after="240"/>
        <w:jc w:val="center"/>
      </w:pPr>
      <w:r w:rsidRPr="00CE68FB">
        <w:rPr>
          <w:b/>
        </w:rPr>
        <w:t xml:space="preserve">ORDINARY LEGISLATIVE </w:t>
      </w:r>
      <w:r w:rsidRPr="00CE68FB">
        <w:rPr>
          <w:b/>
          <w:caps/>
        </w:rPr>
        <w:t>procedure</w:t>
      </w:r>
      <w:r w:rsidRPr="00CE68FB">
        <w:rPr>
          <w:b/>
        </w:rPr>
        <w:t xml:space="preserve"> – First reading</w:t>
      </w:r>
    </w:p>
    <w:p w:rsidR="00E3640C" w:rsidRDefault="00E3640C" w:rsidP="00E3640C">
      <w:pPr>
        <w:spacing w:after="120"/>
        <w:jc w:val="center"/>
        <w:rPr>
          <w:b/>
          <w:bCs/>
        </w:rPr>
      </w:pPr>
      <w:bookmarkStart w:id="0" w:name="LOPEFONTAG"/>
      <w:r w:rsidRPr="00CE68FB">
        <w:rPr>
          <w:b/>
          <w:bCs/>
        </w:rPr>
        <w:t xml:space="preserve">Follow up to the </w:t>
      </w:r>
      <w:r w:rsidRPr="00CE68FB">
        <w:rPr>
          <w:b/>
        </w:rPr>
        <w:t xml:space="preserve">European Parliament legislative resolution </w:t>
      </w:r>
      <w:r w:rsidRPr="00CE68FB">
        <w:rPr>
          <w:b/>
          <w:bCs/>
        </w:rPr>
        <w:t>on the proposal for a regulation of the European Parliament and of the Council on the European Social Fund Plus (ESF+)</w:t>
      </w:r>
    </w:p>
    <w:p w:rsidR="00E3640C" w:rsidRPr="000F5238" w:rsidRDefault="00E3640C" w:rsidP="00E3640C">
      <w:pPr>
        <w:spacing w:after="720"/>
        <w:jc w:val="center"/>
        <w:rPr>
          <w:lang w:val="fr-FR"/>
        </w:rPr>
      </w:pPr>
      <w:r w:rsidRPr="000F5238">
        <w:rPr>
          <w:bCs/>
          <w:lang w:val="fr-FR"/>
        </w:rPr>
        <w:t>(</w:t>
      </w:r>
      <w:proofErr w:type="spellStart"/>
      <w:r w:rsidRPr="000F5238">
        <w:rPr>
          <w:bCs/>
          <w:lang w:val="fr-FR"/>
        </w:rPr>
        <w:t>European</w:t>
      </w:r>
      <w:proofErr w:type="spellEnd"/>
      <w:r w:rsidRPr="000F5238">
        <w:rPr>
          <w:bCs/>
          <w:lang w:val="fr-FR"/>
        </w:rPr>
        <w:t xml:space="preserve"> Social </w:t>
      </w:r>
      <w:proofErr w:type="spellStart"/>
      <w:r w:rsidRPr="000F5238">
        <w:rPr>
          <w:bCs/>
          <w:lang w:val="fr-FR"/>
        </w:rPr>
        <w:t>Fund</w:t>
      </w:r>
      <w:proofErr w:type="spellEnd"/>
      <w:r w:rsidRPr="000F5238">
        <w:rPr>
          <w:bCs/>
          <w:lang w:val="fr-FR"/>
        </w:rPr>
        <w:t xml:space="preserve"> Plus (ESF+) 2021 – 2027)</w:t>
      </w:r>
    </w:p>
    <w:bookmarkEnd w:id="0"/>
    <w:p w:rsidR="00E3640C" w:rsidRPr="00E3640C" w:rsidRDefault="00E3640C" w:rsidP="00E3640C">
      <w:pPr>
        <w:shd w:val="clear" w:color="auto" w:fill="FFFFFF"/>
        <w:spacing w:line="288" w:lineRule="atLeast"/>
        <w:textAlignment w:val="center"/>
        <w:rPr>
          <w:lang w:val="fr-FR"/>
        </w:rPr>
      </w:pPr>
      <w:r w:rsidRPr="00E3640C">
        <w:rPr>
          <w:b/>
          <w:lang w:val="fr-FR"/>
        </w:rPr>
        <w:t>1.</w:t>
      </w:r>
      <w:r w:rsidRPr="00E3640C">
        <w:rPr>
          <w:b/>
          <w:lang w:val="fr-FR"/>
        </w:rPr>
        <w:tab/>
        <w:t xml:space="preserve">Rapporteur: </w:t>
      </w:r>
      <w:proofErr w:type="spellStart"/>
      <w:r w:rsidRPr="00E3640C">
        <w:rPr>
          <w:bdr w:val="none" w:sz="0" w:space="0" w:color="auto" w:frame="1"/>
          <w:lang w:val="fr-FR"/>
        </w:rPr>
        <w:t>Verónica</w:t>
      </w:r>
      <w:proofErr w:type="spellEnd"/>
      <w:r w:rsidRPr="00E3640C">
        <w:rPr>
          <w:bdr w:val="none" w:sz="0" w:space="0" w:color="auto" w:frame="1"/>
          <w:lang w:val="fr-FR"/>
        </w:rPr>
        <w:t xml:space="preserve"> LOPE FONTAGNÉ (EPP / SP)</w:t>
      </w:r>
    </w:p>
    <w:p w:rsidR="00E3640C" w:rsidRPr="00CE68FB" w:rsidRDefault="00E3640C" w:rsidP="00E3640C">
      <w:pPr>
        <w:spacing w:before="100" w:beforeAutospacing="1" w:after="100" w:afterAutospacing="1"/>
        <w:ind w:left="720" w:hanging="720"/>
      </w:pPr>
      <w:r w:rsidRPr="00CE68FB">
        <w:rPr>
          <w:b/>
        </w:rPr>
        <w:t>2.</w:t>
      </w:r>
      <w:r w:rsidRPr="00CE68FB">
        <w:rPr>
          <w:b/>
        </w:rPr>
        <w:tab/>
        <w:t>Reference numbers:</w:t>
      </w:r>
      <w:r w:rsidRPr="00CE68FB">
        <w:t xml:space="preserve"> 2018/0206 (COD) / A8-0461/2018 / P8_TA-</w:t>
      </w:r>
      <w:proofErr w:type="gramStart"/>
      <w:r w:rsidRPr="00CE68FB">
        <w:t>PROV(</w:t>
      </w:r>
      <w:proofErr w:type="gramEnd"/>
      <w:r w:rsidRPr="00CE68FB">
        <w:t>2019)0350</w:t>
      </w:r>
    </w:p>
    <w:p w:rsidR="00E3640C" w:rsidRPr="00CE68FB" w:rsidRDefault="00E3640C" w:rsidP="00E3640C">
      <w:pPr>
        <w:ind w:left="720" w:hanging="720"/>
      </w:pPr>
      <w:r w:rsidRPr="00CE68FB">
        <w:rPr>
          <w:b/>
        </w:rPr>
        <w:t>3.</w:t>
      </w:r>
      <w:r w:rsidRPr="00CE68FB">
        <w:rPr>
          <w:b/>
        </w:rPr>
        <w:tab/>
        <w:t xml:space="preserve">Date of adoption of the resolution: </w:t>
      </w:r>
      <w:r w:rsidRPr="00CE68FB">
        <w:t>4 April 2019</w:t>
      </w:r>
    </w:p>
    <w:p w:rsidR="00E3640C" w:rsidRPr="00CE68FB" w:rsidRDefault="00E3640C" w:rsidP="00E3640C">
      <w:pPr>
        <w:spacing w:before="100" w:beforeAutospacing="1" w:after="100" w:afterAutospacing="1"/>
        <w:ind w:left="720" w:hanging="720"/>
      </w:pPr>
      <w:r w:rsidRPr="00CE68FB">
        <w:rPr>
          <w:b/>
        </w:rPr>
        <w:t>4.</w:t>
      </w:r>
      <w:r w:rsidRPr="00CE68FB">
        <w:rPr>
          <w:b/>
        </w:rPr>
        <w:tab/>
        <w:t xml:space="preserve">Legal basis: </w:t>
      </w:r>
      <w:r w:rsidRPr="00CE68FB">
        <w:t>Article 46(d), Article 149, point (a) of Article 153(2), Articles 164 and 168(5), Article 175(3) and Article 349 of the Treaty on the Functioning of the European Union</w:t>
      </w:r>
    </w:p>
    <w:p w:rsidR="00E3640C" w:rsidRPr="00CE68FB" w:rsidRDefault="00E3640C" w:rsidP="00E3640C">
      <w:pPr>
        <w:spacing w:before="100" w:beforeAutospacing="1" w:after="100" w:afterAutospacing="1"/>
        <w:ind w:left="720" w:hanging="720"/>
        <w:rPr>
          <w:i/>
        </w:rPr>
      </w:pPr>
      <w:r w:rsidRPr="00CE68FB">
        <w:rPr>
          <w:b/>
        </w:rPr>
        <w:t>5.</w:t>
      </w:r>
      <w:r w:rsidRPr="00CE68FB">
        <w:rPr>
          <w:b/>
        </w:rPr>
        <w:tab/>
        <w:t xml:space="preserve">Competent Parliamentary Committee: </w:t>
      </w:r>
      <w:r w:rsidRPr="00CE68FB">
        <w:t>Committee on</w:t>
      </w:r>
      <w:r w:rsidRPr="00CE68FB">
        <w:rPr>
          <w:b/>
        </w:rPr>
        <w:t xml:space="preserve"> </w:t>
      </w:r>
      <w:r w:rsidRPr="00CE68FB">
        <w:t xml:space="preserve">Employment and Social Affairs </w:t>
      </w:r>
      <w:r w:rsidRPr="00CE68FB">
        <w:rPr>
          <w:rStyle w:val="playerscommitteetext"/>
        </w:rPr>
        <w:t>(EMPL)</w:t>
      </w:r>
      <w:r>
        <w:rPr>
          <w:rStyle w:val="playerscommitteetext"/>
        </w:rPr>
        <w:t xml:space="preserve"> and</w:t>
      </w:r>
      <w:r w:rsidRPr="00CE68FB">
        <w:rPr>
          <w:rStyle w:val="playerscommitteetext"/>
        </w:rPr>
        <w:t xml:space="preserve"> </w:t>
      </w:r>
      <w:r w:rsidRPr="00CE68FB">
        <w:t>Committee on</w:t>
      </w:r>
      <w:r w:rsidRPr="00CE68FB">
        <w:rPr>
          <w:b/>
        </w:rPr>
        <w:t xml:space="preserve"> </w:t>
      </w:r>
      <w:r w:rsidRPr="00CE68FB">
        <w:rPr>
          <w:rStyle w:val="playerscommitteetext"/>
        </w:rPr>
        <w:t>Environment, Public Health and Food Safety (ENVI)</w:t>
      </w:r>
    </w:p>
    <w:p w:rsidR="00E3640C" w:rsidRPr="00CE68FB" w:rsidRDefault="00E3640C" w:rsidP="00E3640C">
      <w:pPr>
        <w:spacing w:after="120"/>
        <w:ind w:left="720" w:hanging="720"/>
        <w:contextualSpacing/>
      </w:pPr>
      <w:r w:rsidRPr="00CE68FB">
        <w:rPr>
          <w:b/>
        </w:rPr>
        <w:t>6.</w:t>
      </w:r>
      <w:r w:rsidRPr="00CE68FB">
        <w:rPr>
          <w:b/>
        </w:rPr>
        <w:tab/>
        <w:t>Commission's position:</w:t>
      </w:r>
      <w:r w:rsidRPr="00CE68FB">
        <w:t xml:space="preserve"> At this stage, the Commission reserves its position</w:t>
      </w:r>
      <w:r>
        <w:t xml:space="preserve">. It express </w:t>
      </w:r>
      <w:r w:rsidRPr="00CE68FB">
        <w:t>its concerns</w:t>
      </w:r>
      <w:r>
        <w:t xml:space="preserve"> in particular</w:t>
      </w:r>
      <w:r w:rsidRPr="00CE68FB">
        <w:t xml:space="preserve"> on the following amendments:</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89</w:t>
      </w:r>
      <w:r w:rsidRPr="00CE68FB">
        <w:t xml:space="preserve"> (Article 4 of the C</w:t>
      </w:r>
      <w:r>
        <w:t>ommission</w:t>
      </w:r>
      <w:r w:rsidRPr="00CE68FB">
        <w:t xml:space="preserve"> proposal) on the introduction of </w:t>
      </w:r>
      <w:r>
        <w:t>three</w:t>
      </w:r>
      <w:r w:rsidRPr="00CE68FB">
        <w:t xml:space="preserve"> specific objectives, which are limited to the Employment and Social Innovation (</w:t>
      </w:r>
      <w:proofErr w:type="spellStart"/>
      <w:r w:rsidRPr="00CE68FB">
        <w:t>EaSI</w:t>
      </w:r>
      <w:proofErr w:type="spellEnd"/>
      <w:r w:rsidRPr="00CE68FB">
        <w:t xml:space="preserve">) strand and corresponding to the </w:t>
      </w:r>
      <w:r>
        <w:t>three</w:t>
      </w:r>
      <w:r w:rsidRPr="00CE68FB">
        <w:t xml:space="preserve"> current strands of the </w:t>
      </w:r>
      <w:proofErr w:type="spellStart"/>
      <w:r w:rsidRPr="00CE68FB">
        <w:t>EaSI</w:t>
      </w:r>
      <w:proofErr w:type="spellEnd"/>
      <w:r w:rsidRPr="00CE68FB">
        <w:t xml:space="preserve"> programme;</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90</w:t>
      </w:r>
      <w:r w:rsidRPr="00CE68FB">
        <w:t xml:space="preserve"> (Article 5 of the C</w:t>
      </w:r>
      <w:r>
        <w:t>ommission</w:t>
      </w:r>
      <w:r w:rsidRPr="00CE68FB">
        <w:t xml:space="preserve"> proposal) on the increase of the budget and an allocation for the European Child Guarantee;</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92</w:t>
      </w:r>
      <w:r w:rsidRPr="00CE68FB">
        <w:t xml:space="preserve"> (Article 7 of the </w:t>
      </w:r>
      <w:r>
        <w:t>Commission</w:t>
      </w:r>
      <w:r w:rsidRPr="00CE68FB">
        <w:t xml:space="preserve"> proposal) increasing the thematic concentration requirements for social inclusion, addressing material deprivation and youth and introducing a thematic concentration requirement for implementing the European Child Guarantee;</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94</w:t>
      </w:r>
      <w:r w:rsidRPr="00CE68FB">
        <w:t xml:space="preserve"> (Article 8 of the C</w:t>
      </w:r>
      <w:r>
        <w:t>ommission</w:t>
      </w:r>
      <w:r w:rsidRPr="00CE68FB">
        <w:t xml:space="preserve"> proposal) establishing a minimum amount for capacity building for social partners and civil society organisations;</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97</w:t>
      </w:r>
      <w:r w:rsidRPr="00CE68FB">
        <w:t xml:space="preserve"> (new Article 10a) establishing support fo</w:t>
      </w:r>
      <w:r>
        <w:t>r the European Child Guarantee to</w:t>
      </w:r>
      <w:r w:rsidRPr="00CE68FB">
        <w:t xml:space="preserve"> be programmed under a dedicated priority or programme;</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98</w:t>
      </w:r>
      <w:r w:rsidRPr="00CE68FB">
        <w:t xml:space="preserve"> (Article 11 of the C</w:t>
      </w:r>
      <w:r>
        <w:t>ommission</w:t>
      </w:r>
      <w:r w:rsidRPr="00CE68FB">
        <w:t xml:space="preserve"> proposal) deleting the requirement that support to relevant country-specific recommendations have to be programmed under a dedicated priority;</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109</w:t>
      </w:r>
      <w:r w:rsidRPr="00CE68FB">
        <w:t xml:space="preserve"> (Article 23 of the </w:t>
      </w:r>
      <w:r>
        <w:t>Commission</w:t>
      </w:r>
      <w:r w:rsidRPr="00CE68FB">
        <w:t xml:space="preserve"> proposal) and </w:t>
      </w:r>
      <w:r>
        <w:rPr>
          <w:b/>
        </w:rPr>
        <w:t>a</w:t>
      </w:r>
      <w:r w:rsidRPr="00CE68FB">
        <w:rPr>
          <w:b/>
        </w:rPr>
        <w:t>mendment 110</w:t>
      </w:r>
      <w:r w:rsidRPr="00CE68FB">
        <w:t xml:space="preserve"> (new Article 23a) reintroducing indicative percentages and the axes of the current Employment and Social Innovation programme. Those amendments do not take into account either the creation of the new European Labour Authority </w:t>
      </w:r>
      <w:r w:rsidRPr="00CE68FB">
        <w:lastRenderedPageBreak/>
        <w:t xml:space="preserve">and the </w:t>
      </w:r>
      <w:proofErr w:type="spellStart"/>
      <w:r w:rsidRPr="00CE68FB">
        <w:t>InvestEU</w:t>
      </w:r>
      <w:proofErr w:type="spellEnd"/>
      <w:r w:rsidRPr="00CE68FB">
        <w:t xml:space="preserve"> proposal and their impact on the current EURES and Micro-Finance axes and confuse objectives and activities;</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111</w:t>
      </w:r>
      <w:r w:rsidRPr="00CE68FB">
        <w:t xml:space="preserve"> (Article 24 of the C</w:t>
      </w:r>
      <w:r>
        <w:t>ommission</w:t>
      </w:r>
      <w:r w:rsidRPr="00CE68FB">
        <w:t xml:space="preserve"> proposal) deleting all communication activities through conferences and events and confusing operational activities with technical assistance carried out on the support line; </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118 and 119</w:t>
      </w:r>
      <w:r w:rsidRPr="00CE68FB">
        <w:t xml:space="preserve"> (Article 26 of the C</w:t>
      </w:r>
      <w:r>
        <w:t>ommission</w:t>
      </w:r>
      <w:r w:rsidRPr="00CE68FB">
        <w:t xml:space="preserve"> proposal) on the objectives of the Health strand; </w:t>
      </w:r>
      <w:r>
        <w:rPr>
          <w:b/>
        </w:rPr>
        <w:t>a</w:t>
      </w:r>
      <w:r w:rsidRPr="00CE68FB">
        <w:rPr>
          <w:b/>
        </w:rPr>
        <w:t>mendment 129</w:t>
      </w:r>
      <w:r w:rsidRPr="00CE68FB">
        <w:t xml:space="preserve"> if it implies the deletion of point vi of Article 26(2)(c) of the C</w:t>
      </w:r>
      <w:r>
        <w:t>ommission</w:t>
      </w:r>
      <w:r w:rsidRPr="00CE68FB">
        <w:t xml:space="preserve"> proposal; </w:t>
      </w:r>
      <w:r>
        <w:rPr>
          <w:b/>
        </w:rPr>
        <w:t>a</w:t>
      </w:r>
      <w:r w:rsidRPr="00CE68FB">
        <w:rPr>
          <w:b/>
        </w:rPr>
        <w:t>mendments 130, 132, 133</w:t>
      </w:r>
      <w:r w:rsidRPr="00CE68FB">
        <w:t xml:space="preserve">, </w:t>
      </w:r>
      <w:r w:rsidRPr="00CE68FB">
        <w:rPr>
          <w:b/>
        </w:rPr>
        <w:t>136 and</w:t>
      </w:r>
      <w:r w:rsidRPr="00CE68FB">
        <w:t xml:space="preserve"> </w:t>
      </w:r>
      <w:r w:rsidRPr="00CE68FB">
        <w:rPr>
          <w:b/>
        </w:rPr>
        <w:t>139</w:t>
      </w:r>
      <w:r w:rsidRPr="00CE68FB">
        <w:t xml:space="preserve"> broadening the </w:t>
      </w:r>
      <w:r>
        <w:t>Commission</w:t>
      </w:r>
      <w:r w:rsidRPr="00CE68FB">
        <w:t xml:space="preserve"> proposal) on providing continuous and sustainable support to organizations and </w:t>
      </w:r>
      <w:r>
        <w:rPr>
          <w:b/>
        </w:rPr>
        <w:t>a</w:t>
      </w:r>
      <w:r w:rsidRPr="00CE68FB">
        <w:rPr>
          <w:b/>
        </w:rPr>
        <w:t>mendment 142</w:t>
      </w:r>
      <w:r w:rsidRPr="00CE68FB">
        <w:t xml:space="preserve"> (Article 27 of the C</w:t>
      </w:r>
      <w:r>
        <w:t>ommission</w:t>
      </w:r>
      <w:r w:rsidRPr="00CE68FB">
        <w:t xml:space="preserve"> proposal) on expanding the network of contact points to regional and local organizations;</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143</w:t>
      </w:r>
      <w:r w:rsidRPr="00CE68FB">
        <w:t xml:space="preserve"> (Article 29 of the </w:t>
      </w:r>
      <w:r>
        <w:t>Commission</w:t>
      </w:r>
      <w:r w:rsidRPr="00CE68FB">
        <w:t xml:space="preserve"> proposal) on the part changing the composition of the Steering Group;</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144</w:t>
      </w:r>
      <w:r w:rsidRPr="00CE68FB">
        <w:t xml:space="preserve"> (new Article 29a) introducing a Steering Board and the related</w:t>
      </w:r>
      <w:r w:rsidRPr="00CE68FB">
        <w:rPr>
          <w:b/>
        </w:rPr>
        <w:t xml:space="preserve"> </w:t>
      </w:r>
      <w:r>
        <w:rPr>
          <w:b/>
        </w:rPr>
        <w:t>a</w:t>
      </w:r>
      <w:r w:rsidRPr="00CE68FB">
        <w:rPr>
          <w:b/>
        </w:rPr>
        <w:t>mendment 134</w:t>
      </w:r>
      <w:r w:rsidRPr="00CE68FB">
        <w:t>;</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147</w:t>
      </w:r>
      <w:r w:rsidRPr="00CE68FB">
        <w:t xml:space="preserve"> (Article 32 of the </w:t>
      </w:r>
      <w:r>
        <w:t>Commission</w:t>
      </w:r>
      <w:r w:rsidRPr="00CE68FB">
        <w:t xml:space="preserve"> proposal) and the related </w:t>
      </w:r>
      <w:r>
        <w:rPr>
          <w:b/>
        </w:rPr>
        <w:t>a</w:t>
      </w:r>
      <w:r w:rsidRPr="00CE68FB">
        <w:rPr>
          <w:b/>
        </w:rPr>
        <w:t>mendment 151</w:t>
      </w:r>
      <w:r w:rsidRPr="00CE68FB">
        <w:t xml:space="preserve"> (Article 38 of the C</w:t>
      </w:r>
      <w:r>
        <w:t>ommission</w:t>
      </w:r>
      <w:r w:rsidRPr="00CE68FB">
        <w:t xml:space="preserve"> proposal) to adopt the work programmes for the Employment and Social Innovation strand and the Health strand by delegated act;</w:t>
      </w:r>
    </w:p>
    <w:p w:rsidR="00E3640C" w:rsidRPr="00CE68FB" w:rsidRDefault="00E3640C" w:rsidP="00E3640C">
      <w:pPr>
        <w:pStyle w:val="ListParagraph"/>
        <w:numPr>
          <w:ilvl w:val="0"/>
          <w:numId w:val="1"/>
        </w:numPr>
        <w:spacing w:after="120" w:line="240" w:lineRule="atLeast"/>
        <w:ind w:left="1434" w:hanging="357"/>
        <w:contextualSpacing w:val="0"/>
      </w:pPr>
      <w:r w:rsidRPr="00CE68FB">
        <w:rPr>
          <w:b/>
        </w:rPr>
        <w:t>Amendment 152</w:t>
      </w:r>
      <w:r w:rsidRPr="00CE68FB">
        <w:t xml:space="preserve"> (Article 40 of the </w:t>
      </w:r>
      <w:r>
        <w:t>Commission</w:t>
      </w:r>
      <w:r w:rsidRPr="00CE68FB">
        <w:t xml:space="preserve"> proposal) to change the composition of the Committee under Article 163 TFEU;</w:t>
      </w:r>
    </w:p>
    <w:p w:rsidR="00E3640C" w:rsidRPr="00CE68FB" w:rsidRDefault="00E3640C" w:rsidP="00E3640C">
      <w:pPr>
        <w:pStyle w:val="ListParagraph"/>
        <w:numPr>
          <w:ilvl w:val="0"/>
          <w:numId w:val="1"/>
        </w:numPr>
        <w:spacing w:after="120" w:line="240" w:lineRule="atLeast"/>
        <w:ind w:left="1434" w:hanging="357"/>
        <w:contextualSpacing w:val="0"/>
      </w:pPr>
      <w:proofErr w:type="gramStart"/>
      <w:r w:rsidRPr="00CE68FB">
        <w:rPr>
          <w:b/>
        </w:rPr>
        <w:t>Amendments 153, 154,</w:t>
      </w:r>
      <w:r w:rsidRPr="00CE68FB">
        <w:t xml:space="preserve"> </w:t>
      </w:r>
      <w:r w:rsidRPr="00CE68FB">
        <w:rPr>
          <w:b/>
        </w:rPr>
        <w:t>157</w:t>
      </w:r>
      <w:r w:rsidRPr="00CE68FB">
        <w:t xml:space="preserve"> </w:t>
      </w:r>
      <w:r w:rsidRPr="00CE68FB">
        <w:rPr>
          <w:b/>
        </w:rPr>
        <w:t>and 160</w:t>
      </w:r>
      <w:r w:rsidRPr="00CE68FB">
        <w:t xml:space="preserve"> (Annexes I, II and III of the </w:t>
      </w:r>
      <w:r>
        <w:t xml:space="preserve">Commission </w:t>
      </w:r>
      <w:r w:rsidRPr="00CE68FB">
        <w:t>proposal)</w:t>
      </w:r>
      <w:r>
        <w:t>;</w:t>
      </w:r>
      <w:r w:rsidRPr="00CE68FB">
        <w:t xml:space="preserve"> </w:t>
      </w:r>
      <w:r>
        <w:rPr>
          <w:b/>
        </w:rPr>
        <w:t>a</w:t>
      </w:r>
      <w:r w:rsidRPr="00CE68FB">
        <w:rPr>
          <w:b/>
        </w:rPr>
        <w:t>mendments 155 and 156</w:t>
      </w:r>
      <w:r w:rsidRPr="00CE68FB">
        <w:t xml:space="preserve"> (new Annexes </w:t>
      </w:r>
      <w:proofErr w:type="spellStart"/>
      <w:r w:rsidRPr="00CE68FB">
        <w:t>IIa</w:t>
      </w:r>
      <w:proofErr w:type="spellEnd"/>
      <w:r w:rsidRPr="00CE68FB">
        <w:t xml:space="preserve"> and </w:t>
      </w:r>
      <w:proofErr w:type="spellStart"/>
      <w:r w:rsidRPr="00CE68FB">
        <w:t>IIb</w:t>
      </w:r>
      <w:proofErr w:type="spellEnd"/>
      <w:r w:rsidRPr="00CE68FB">
        <w:t xml:space="preserve">) to increase the number of common indicators for reporting under all strands of the ESF+, including introducing indicators for </w:t>
      </w:r>
      <w:proofErr w:type="spellStart"/>
      <w:r w:rsidRPr="00CE68FB">
        <w:t>EaSI</w:t>
      </w:r>
      <w:proofErr w:type="spellEnd"/>
      <w:r w:rsidRPr="00CE68FB">
        <w:t xml:space="preserve"> corresponding to the scope of the current programme (not to the scope of the </w:t>
      </w:r>
      <w:proofErr w:type="spellStart"/>
      <w:r w:rsidRPr="00CE68FB">
        <w:t>EaSI</w:t>
      </w:r>
      <w:proofErr w:type="spellEnd"/>
      <w:r w:rsidRPr="00CE68FB">
        <w:t xml:space="preserve"> strand under the ESF+); the related </w:t>
      </w:r>
      <w:r>
        <w:rPr>
          <w:b/>
        </w:rPr>
        <w:t>a</w:t>
      </w:r>
      <w:r w:rsidRPr="00CE68FB">
        <w:rPr>
          <w:b/>
        </w:rPr>
        <w:t>mendments 104, 107 and 148</w:t>
      </w:r>
      <w:r w:rsidRPr="00CE68FB">
        <w:t xml:space="preserve"> (Articles 15, 21 and 33 of the </w:t>
      </w:r>
      <w:r>
        <w:t>Commission proposal).</w:t>
      </w:r>
      <w:proofErr w:type="gramEnd"/>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550"/>
    <w:multiLevelType w:val="hybridMultilevel"/>
    <w:tmpl w:val="F32C946A"/>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0C"/>
    <w:rsid w:val="005762E3"/>
    <w:rsid w:val="008765BE"/>
    <w:rsid w:val="00E3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EE802-FC79-40F5-8644-5D21168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uiPriority w:val="34"/>
    <w:qFormat/>
    <w:locked/>
    <w:rsid w:val="00E3640C"/>
    <w:rPr>
      <w:rFonts w:ascii="Times New Roman" w:hAnsi="Times New Roman"/>
      <w:sz w:val="24"/>
      <w:szCs w:val="24"/>
    </w:rPr>
  </w:style>
  <w:style w:type="character" w:customStyle="1" w:styleId="playerscommitteetext">
    <w:name w:val="players_committee_text"/>
    <w:basedOn w:val="DefaultParagraphFont"/>
    <w:rsid w:val="00E3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Company>European Parliament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2019-07-29T13:50:00Z</dcterms:created>
  <dcterms:modified xsi:type="dcterms:W3CDTF">2019-07-29T14:00:00Z</dcterms:modified>
</cp:coreProperties>
</file>