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77" w:rsidRPr="00722C2C" w:rsidRDefault="006C6C77" w:rsidP="006C6C77">
      <w:pPr>
        <w:spacing w:after="600"/>
        <w:jc w:val="center"/>
        <w:rPr>
          <w:rFonts w:ascii="Times New Roman" w:hAnsi="Times New Roman"/>
          <w:b/>
          <w:bCs/>
          <w:szCs w:val="24"/>
        </w:rPr>
      </w:pPr>
      <w:r w:rsidRPr="00722C2C">
        <w:rPr>
          <w:rFonts w:ascii="Times New Roman" w:hAnsi="Times New Roman"/>
          <w:b/>
          <w:szCs w:val="24"/>
        </w:rPr>
        <w:t xml:space="preserve">Follow-up to the European Parliament non-legislative resolution </w:t>
      </w:r>
      <w:r w:rsidRPr="00722C2C">
        <w:rPr>
          <w:rFonts w:ascii="Times New Roman" w:hAnsi="Times New Roman"/>
          <w:b/>
          <w:bCs/>
          <w:szCs w:val="24"/>
        </w:rPr>
        <w:t>on the situation of fundamental rights in the European Union in 2017</w:t>
      </w:r>
    </w:p>
    <w:p w:rsidR="006C6C77" w:rsidRPr="00722C2C" w:rsidRDefault="006C6C77" w:rsidP="006C6C77">
      <w:pPr>
        <w:numPr>
          <w:ilvl w:val="0"/>
          <w:numId w:val="1"/>
        </w:numPr>
        <w:ind w:left="567" w:hanging="567"/>
        <w:rPr>
          <w:rFonts w:ascii="Times New Roman" w:hAnsi="Times New Roman"/>
          <w:szCs w:val="24"/>
          <w:lang w:val="fr-BE"/>
        </w:rPr>
      </w:pPr>
      <w:r w:rsidRPr="00722C2C">
        <w:rPr>
          <w:rFonts w:ascii="Times New Roman" w:hAnsi="Times New Roman"/>
          <w:b/>
          <w:szCs w:val="24"/>
          <w:lang w:val="fr-BE"/>
        </w:rPr>
        <w:t>Rapporteur:</w:t>
      </w:r>
      <w:r>
        <w:rPr>
          <w:rFonts w:ascii="Times New Roman" w:hAnsi="Times New Roman"/>
          <w:szCs w:val="24"/>
          <w:lang w:val="fr-BE"/>
        </w:rPr>
        <w:t xml:space="preserve"> Josep-Maria TERRICABRAS</w:t>
      </w:r>
      <w:r w:rsidRPr="00722C2C">
        <w:rPr>
          <w:rFonts w:ascii="Times New Roman" w:hAnsi="Times New Roman"/>
          <w:szCs w:val="24"/>
          <w:lang w:val="fr-BE"/>
        </w:rPr>
        <w:t xml:space="preserve"> (Greens</w:t>
      </w:r>
      <w:r>
        <w:rPr>
          <w:rFonts w:ascii="Times New Roman" w:hAnsi="Times New Roman"/>
          <w:szCs w:val="24"/>
          <w:lang w:val="fr-BE"/>
        </w:rPr>
        <w:t xml:space="preserve"> </w:t>
      </w:r>
      <w:r w:rsidRPr="00722C2C">
        <w:rPr>
          <w:rFonts w:ascii="Times New Roman" w:hAnsi="Times New Roman"/>
          <w:szCs w:val="24"/>
          <w:lang w:val="fr-BE"/>
        </w:rPr>
        <w:t>/</w:t>
      </w:r>
      <w:r>
        <w:rPr>
          <w:rFonts w:ascii="Times New Roman" w:hAnsi="Times New Roman"/>
          <w:szCs w:val="24"/>
          <w:lang w:val="fr-BE"/>
        </w:rPr>
        <w:t xml:space="preserve"> </w:t>
      </w:r>
      <w:r w:rsidRPr="00722C2C">
        <w:rPr>
          <w:rFonts w:ascii="Times New Roman" w:hAnsi="Times New Roman"/>
          <w:szCs w:val="24"/>
          <w:lang w:val="fr-BE"/>
        </w:rPr>
        <w:t>ES)</w:t>
      </w:r>
    </w:p>
    <w:p w:rsidR="006C6C77" w:rsidRPr="00722C2C" w:rsidRDefault="006C6C77" w:rsidP="006C6C77">
      <w:pPr>
        <w:numPr>
          <w:ilvl w:val="0"/>
          <w:numId w:val="1"/>
        </w:numPr>
        <w:ind w:left="567" w:hanging="567"/>
        <w:rPr>
          <w:rFonts w:ascii="Times New Roman" w:hAnsi="Times New Roman"/>
          <w:szCs w:val="24"/>
        </w:rPr>
      </w:pPr>
      <w:r>
        <w:rPr>
          <w:rFonts w:ascii="Times New Roman" w:hAnsi="Times New Roman"/>
          <w:b/>
        </w:rPr>
        <w:t>R</w:t>
      </w:r>
      <w:r w:rsidRPr="00722C2C">
        <w:rPr>
          <w:rFonts w:ascii="Times New Roman" w:hAnsi="Times New Roman"/>
          <w:b/>
        </w:rPr>
        <w:t>eference number</w:t>
      </w:r>
      <w:r>
        <w:rPr>
          <w:rFonts w:ascii="Times New Roman" w:hAnsi="Times New Roman"/>
          <w:b/>
        </w:rPr>
        <w:t>s</w:t>
      </w:r>
      <w:r w:rsidRPr="00722C2C">
        <w:rPr>
          <w:rFonts w:ascii="Times New Roman" w:hAnsi="Times New Roman"/>
          <w:b/>
        </w:rPr>
        <w:t>:</w:t>
      </w:r>
      <w:r w:rsidRPr="00722C2C">
        <w:rPr>
          <w:rFonts w:ascii="Times New Roman" w:hAnsi="Times New Roman"/>
        </w:rPr>
        <w:t xml:space="preserve"> </w:t>
      </w:r>
      <w:r>
        <w:rPr>
          <w:rFonts w:ascii="Times New Roman" w:hAnsi="Times New Roman"/>
        </w:rPr>
        <w:t xml:space="preserve">2018/2103 (INI) / </w:t>
      </w:r>
      <w:r w:rsidRPr="00722C2C">
        <w:rPr>
          <w:rFonts w:ascii="Times New Roman" w:hAnsi="Times New Roman"/>
        </w:rPr>
        <w:t>A8-0466/2018</w:t>
      </w:r>
      <w:r>
        <w:rPr>
          <w:rFonts w:ascii="Times New Roman" w:hAnsi="Times New Roman"/>
        </w:rPr>
        <w:t xml:space="preserve"> / </w:t>
      </w:r>
      <w:r w:rsidRPr="00566152">
        <w:rPr>
          <w:rFonts w:ascii="Times New Roman" w:hAnsi="Times New Roman"/>
          <w:szCs w:val="24"/>
        </w:rPr>
        <w:t>P8_TA-PROV(2019)0032</w:t>
      </w:r>
    </w:p>
    <w:p w:rsidR="006C6C77" w:rsidRPr="00722C2C" w:rsidRDefault="006C6C77" w:rsidP="006C6C77">
      <w:pPr>
        <w:numPr>
          <w:ilvl w:val="0"/>
          <w:numId w:val="1"/>
        </w:numPr>
        <w:ind w:left="567" w:hanging="567"/>
        <w:rPr>
          <w:rFonts w:ascii="Times New Roman" w:hAnsi="Times New Roman"/>
          <w:szCs w:val="24"/>
        </w:rPr>
      </w:pPr>
      <w:r w:rsidRPr="00722C2C">
        <w:rPr>
          <w:rFonts w:ascii="Times New Roman" w:hAnsi="Times New Roman"/>
          <w:b/>
          <w:szCs w:val="24"/>
        </w:rPr>
        <w:t>Date of adoption of the resolution:</w:t>
      </w:r>
      <w:r w:rsidRPr="00722C2C">
        <w:rPr>
          <w:rFonts w:ascii="Times New Roman" w:hAnsi="Times New Roman"/>
          <w:szCs w:val="24"/>
        </w:rPr>
        <w:t xml:space="preserve"> 16 January 2019</w:t>
      </w:r>
    </w:p>
    <w:p w:rsidR="006C6C77" w:rsidRPr="00722C2C" w:rsidRDefault="006C6C77" w:rsidP="006C6C77">
      <w:pPr>
        <w:numPr>
          <w:ilvl w:val="0"/>
          <w:numId w:val="1"/>
        </w:numPr>
        <w:ind w:left="567" w:hanging="567"/>
        <w:rPr>
          <w:rFonts w:ascii="Times New Roman" w:hAnsi="Times New Roman"/>
          <w:szCs w:val="24"/>
        </w:rPr>
      </w:pPr>
      <w:r w:rsidRPr="00722C2C">
        <w:rPr>
          <w:rFonts w:ascii="Times New Roman" w:hAnsi="Times New Roman"/>
          <w:b/>
          <w:szCs w:val="24"/>
        </w:rPr>
        <w:t>Competent Parliamentary Committee:</w:t>
      </w:r>
      <w:r w:rsidRPr="00722C2C">
        <w:rPr>
          <w:rFonts w:ascii="Times New Roman" w:hAnsi="Times New Roman"/>
          <w:szCs w:val="24"/>
        </w:rPr>
        <w:t xml:space="preserve"> Committee on Civil Liberties, Justice and Home Affairs (LIBE)</w:t>
      </w:r>
    </w:p>
    <w:p w:rsidR="006C6C77" w:rsidRPr="00722C2C" w:rsidRDefault="006C6C77" w:rsidP="006C6C77">
      <w:pPr>
        <w:widowControl w:val="0"/>
        <w:numPr>
          <w:ilvl w:val="0"/>
          <w:numId w:val="1"/>
        </w:numPr>
        <w:ind w:left="567" w:hanging="567"/>
        <w:rPr>
          <w:rFonts w:ascii="Times New Roman" w:hAnsi="Times New Roman"/>
          <w:b/>
          <w:szCs w:val="24"/>
        </w:rPr>
      </w:pPr>
      <w:r w:rsidRPr="00722C2C">
        <w:rPr>
          <w:rFonts w:ascii="Times New Roman" w:hAnsi="Times New Roman"/>
          <w:b/>
          <w:szCs w:val="24"/>
        </w:rPr>
        <w:t>Brief analysis/ assessment of the resolution and requests made in it:</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Particular emphasis in this year's re</w:t>
      </w:r>
      <w:r>
        <w:rPr>
          <w:rFonts w:ascii="Times New Roman" w:hAnsi="Times New Roman"/>
          <w:szCs w:val="24"/>
        </w:rPr>
        <w:t>solution</w:t>
      </w:r>
      <w:r w:rsidRPr="00722C2C">
        <w:rPr>
          <w:rFonts w:ascii="Times New Roman" w:hAnsi="Times New Roman"/>
          <w:szCs w:val="24"/>
        </w:rPr>
        <w:t xml:space="preserve"> on the situation of fundamental rights in the EU is put on the rule of law, migration, </w:t>
      </w:r>
      <w:proofErr w:type="gramStart"/>
      <w:r w:rsidRPr="00722C2C">
        <w:rPr>
          <w:rFonts w:ascii="Times New Roman" w:hAnsi="Times New Roman"/>
          <w:szCs w:val="24"/>
        </w:rPr>
        <w:t>women’s</w:t>
      </w:r>
      <w:proofErr w:type="gramEnd"/>
      <w:r w:rsidRPr="00722C2C">
        <w:rPr>
          <w:rFonts w:ascii="Times New Roman" w:hAnsi="Times New Roman"/>
          <w:szCs w:val="24"/>
        </w:rPr>
        <w:t xml:space="preserve"> and children's rights, freedom of speech and assembly and the role of the Fundamental Rights Agency.</w:t>
      </w:r>
    </w:p>
    <w:p w:rsidR="006C6C77" w:rsidRPr="00722C2C" w:rsidRDefault="006C6C77" w:rsidP="006C6C77">
      <w:pPr>
        <w:pStyle w:val="Normal12Hanging"/>
        <w:spacing w:after="120"/>
        <w:jc w:val="both"/>
        <w:rPr>
          <w:szCs w:val="24"/>
        </w:rPr>
      </w:pPr>
      <w:r w:rsidRPr="00722C2C">
        <w:rPr>
          <w:b/>
        </w:rPr>
        <w:t>Rule of law, democracy and fundamental rights</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The re</w:t>
      </w:r>
      <w:r>
        <w:rPr>
          <w:rFonts w:ascii="Times New Roman" w:hAnsi="Times New Roman"/>
          <w:szCs w:val="24"/>
        </w:rPr>
        <w:t>solution</w:t>
      </w:r>
      <w:r w:rsidRPr="00722C2C">
        <w:rPr>
          <w:rFonts w:ascii="Times New Roman" w:hAnsi="Times New Roman"/>
          <w:szCs w:val="24"/>
        </w:rPr>
        <w:t xml:space="preserve"> affirms that the separation of powers and the independence of the judiciary are essential to ensure the effective functioning of the rule of law in any society. The rule of law is part </w:t>
      </w:r>
      <w:proofErr w:type="gramStart"/>
      <w:r w:rsidRPr="00722C2C">
        <w:rPr>
          <w:rFonts w:ascii="Times New Roman" w:hAnsi="Times New Roman"/>
          <w:szCs w:val="24"/>
        </w:rPr>
        <w:t xml:space="preserve">of and a prerequisite for the protection of all values listed in Article 2 </w:t>
      </w:r>
      <w:r>
        <w:rPr>
          <w:rFonts w:ascii="Times New Roman" w:hAnsi="Times New Roman"/>
          <w:szCs w:val="24"/>
        </w:rPr>
        <w:t>of the Treaty on European Union (</w:t>
      </w:r>
      <w:r w:rsidRPr="00722C2C">
        <w:rPr>
          <w:rFonts w:ascii="Times New Roman" w:hAnsi="Times New Roman"/>
          <w:szCs w:val="24"/>
        </w:rPr>
        <w:t>TEU</w:t>
      </w:r>
      <w:r>
        <w:rPr>
          <w:rFonts w:ascii="Times New Roman" w:hAnsi="Times New Roman"/>
          <w:szCs w:val="24"/>
        </w:rPr>
        <w:t>)</w:t>
      </w:r>
      <w:proofErr w:type="gramEnd"/>
      <w:r w:rsidRPr="00722C2C">
        <w:rPr>
          <w:rFonts w:ascii="Times New Roman" w:hAnsi="Times New Roman"/>
          <w:szCs w:val="24"/>
        </w:rPr>
        <w:t xml:space="preserve"> and all relevant actors at EU and national level, including governments, parliaments and the judiciary, should step up efforts to uphold and reinforce it. It recalls the legitimacy and authority of the Commission, in accordance with the Treaties, to ensuring that all </w:t>
      </w:r>
      <w:r>
        <w:rPr>
          <w:rFonts w:ascii="Times New Roman" w:hAnsi="Times New Roman"/>
          <w:szCs w:val="24"/>
        </w:rPr>
        <w:t xml:space="preserve">the </w:t>
      </w:r>
      <w:r w:rsidRPr="00722C2C">
        <w:rPr>
          <w:rFonts w:ascii="Times New Roman" w:hAnsi="Times New Roman"/>
          <w:szCs w:val="24"/>
        </w:rPr>
        <w:t>Member States are upholding the principles of the rule of law and the other val</w:t>
      </w:r>
      <w:r>
        <w:rPr>
          <w:rFonts w:ascii="Times New Roman" w:hAnsi="Times New Roman"/>
          <w:szCs w:val="24"/>
        </w:rPr>
        <w:t>ues enshrined in Article 2 TEU.</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The re</w:t>
      </w:r>
      <w:r>
        <w:rPr>
          <w:rFonts w:ascii="Times New Roman" w:hAnsi="Times New Roman"/>
          <w:szCs w:val="24"/>
        </w:rPr>
        <w:t>solution</w:t>
      </w:r>
      <w:r w:rsidRPr="00722C2C">
        <w:rPr>
          <w:rFonts w:ascii="Times New Roman" w:hAnsi="Times New Roman"/>
          <w:szCs w:val="24"/>
        </w:rPr>
        <w:t xml:space="preserve"> notes the limited impact so far of the procedures initiated under Article 7(1) TEU and takes the view that it </w:t>
      </w:r>
      <w:proofErr w:type="gramStart"/>
      <w:r w:rsidRPr="00722C2C">
        <w:rPr>
          <w:rFonts w:ascii="Times New Roman" w:hAnsi="Times New Roman"/>
          <w:szCs w:val="24"/>
        </w:rPr>
        <w:t>should be used</w:t>
      </w:r>
      <w:proofErr w:type="gramEnd"/>
      <w:r w:rsidRPr="00722C2C">
        <w:rPr>
          <w:rFonts w:ascii="Times New Roman" w:hAnsi="Times New Roman"/>
          <w:szCs w:val="24"/>
        </w:rPr>
        <w:t xml:space="preserve"> only when other measures, such as infringement proceedings against the Member States, have failed. The Commission should submit a proposal for the EU mechanism on democracy, the rule of law and fundamental rights</w:t>
      </w:r>
      <w:r w:rsidRPr="00722C2C">
        <w:rPr>
          <w:rFonts w:ascii="Times New Roman" w:hAnsi="Times New Roman"/>
          <w:sz w:val="20"/>
          <w:szCs w:val="24"/>
          <w:vertAlign w:val="superscript"/>
        </w:rPr>
        <w:footnoteReference w:id="1"/>
      </w:r>
      <w:r w:rsidRPr="00722C2C">
        <w:rPr>
          <w:rFonts w:ascii="Times New Roman" w:hAnsi="Times New Roman"/>
          <w:szCs w:val="24"/>
        </w:rPr>
        <w:t xml:space="preserve">, and a proposal, </w:t>
      </w:r>
      <w:proofErr w:type="gramStart"/>
      <w:r w:rsidRPr="00722C2C">
        <w:rPr>
          <w:rFonts w:ascii="Times New Roman" w:hAnsi="Times New Roman"/>
          <w:szCs w:val="24"/>
        </w:rPr>
        <w:t>on the basis of</w:t>
      </w:r>
      <w:proofErr w:type="gramEnd"/>
      <w:r w:rsidRPr="00722C2C">
        <w:rPr>
          <w:rFonts w:ascii="Times New Roman" w:hAnsi="Times New Roman"/>
          <w:szCs w:val="24"/>
        </w:rPr>
        <w:t xml:space="preserve"> Article 295 </w:t>
      </w:r>
      <w:r>
        <w:rPr>
          <w:rFonts w:ascii="Times New Roman" w:hAnsi="Times New Roman"/>
          <w:szCs w:val="24"/>
        </w:rPr>
        <w:t>on the Treaty of the Functioning of the European Union (</w:t>
      </w:r>
      <w:r w:rsidRPr="00722C2C">
        <w:rPr>
          <w:rFonts w:ascii="Times New Roman" w:hAnsi="Times New Roman"/>
          <w:szCs w:val="24"/>
        </w:rPr>
        <w:t>TFEU</w:t>
      </w:r>
      <w:r>
        <w:rPr>
          <w:rFonts w:ascii="Times New Roman" w:hAnsi="Times New Roman"/>
          <w:szCs w:val="24"/>
        </w:rPr>
        <w:t>)</w:t>
      </w:r>
      <w:r w:rsidRPr="00722C2C">
        <w:rPr>
          <w:rFonts w:ascii="Times New Roman" w:hAnsi="Times New Roman"/>
          <w:szCs w:val="24"/>
        </w:rPr>
        <w:t>, for the conclusion of a Union Pact for democracy, the rule of law and fundamental rights (EU Pact for DRF).</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regrets the Commission’s decision not to publish the second biannual </w:t>
      </w:r>
      <w:r>
        <w:rPr>
          <w:rFonts w:ascii="Times New Roman" w:hAnsi="Times New Roman"/>
          <w:szCs w:val="24"/>
        </w:rPr>
        <w:t>resolution</w:t>
      </w:r>
      <w:r w:rsidRPr="00722C2C">
        <w:rPr>
          <w:rFonts w:ascii="Times New Roman" w:hAnsi="Times New Roman"/>
          <w:szCs w:val="24"/>
        </w:rPr>
        <w:t xml:space="preserve"> on corruption in the EU, and urges it to continue publishing its anti-corruption reports. It welcomes the Commission’s statement in its </w:t>
      </w:r>
      <w:r>
        <w:rPr>
          <w:rFonts w:ascii="Times New Roman" w:hAnsi="Times New Roman"/>
          <w:szCs w:val="24"/>
        </w:rPr>
        <w:t>C</w:t>
      </w:r>
      <w:r w:rsidRPr="00722C2C">
        <w:rPr>
          <w:rFonts w:ascii="Times New Roman" w:hAnsi="Times New Roman"/>
          <w:szCs w:val="24"/>
        </w:rPr>
        <w:t xml:space="preserve">ommunication ‘Fighting Corruption in the EU’ that it will seek approval to participate in </w:t>
      </w:r>
      <w:r>
        <w:rPr>
          <w:rFonts w:ascii="Times New Roman" w:hAnsi="Times New Roman"/>
          <w:szCs w:val="24"/>
        </w:rPr>
        <w:t xml:space="preserve">the </w:t>
      </w:r>
      <w:r w:rsidRPr="00264628">
        <w:rPr>
          <w:rFonts w:ascii="Times New Roman" w:hAnsi="Times New Roman"/>
          <w:szCs w:val="24"/>
        </w:rPr>
        <w:t>Group of States against Corruption</w:t>
      </w:r>
      <w:r>
        <w:rPr>
          <w:rFonts w:ascii="Times New Roman" w:hAnsi="Times New Roman"/>
          <w:szCs w:val="24"/>
        </w:rPr>
        <w:t xml:space="preserve"> (</w:t>
      </w:r>
      <w:r w:rsidRPr="00722C2C">
        <w:rPr>
          <w:rFonts w:ascii="Times New Roman" w:hAnsi="Times New Roman"/>
          <w:szCs w:val="24"/>
        </w:rPr>
        <w:t>GRECO</w:t>
      </w:r>
      <w:r>
        <w:rPr>
          <w:rFonts w:ascii="Times New Roman" w:hAnsi="Times New Roman"/>
          <w:szCs w:val="24"/>
        </w:rPr>
        <w:t>)</w:t>
      </w:r>
      <w:r w:rsidRPr="00722C2C">
        <w:rPr>
          <w:rFonts w:ascii="Times New Roman" w:hAnsi="Times New Roman"/>
          <w:szCs w:val="24"/>
        </w:rPr>
        <w:t>, the anti-corruption network s</w:t>
      </w:r>
      <w:r>
        <w:rPr>
          <w:rFonts w:ascii="Times New Roman" w:hAnsi="Times New Roman"/>
          <w:szCs w:val="24"/>
        </w:rPr>
        <w:t>et up by the Council of Europe.</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calls for the fundamental rights of EU citizens and their families who have moved within the Union under freedom of movement to </w:t>
      </w:r>
      <w:proofErr w:type="gramStart"/>
      <w:r w:rsidRPr="00722C2C">
        <w:rPr>
          <w:rFonts w:ascii="Times New Roman" w:hAnsi="Times New Roman"/>
          <w:szCs w:val="24"/>
        </w:rPr>
        <w:t>be protected</w:t>
      </w:r>
      <w:proofErr w:type="gramEnd"/>
      <w:r w:rsidRPr="00722C2C">
        <w:rPr>
          <w:rFonts w:ascii="Times New Roman" w:hAnsi="Times New Roman"/>
          <w:szCs w:val="24"/>
        </w:rPr>
        <w:t xml:space="preserve"> after </w:t>
      </w:r>
      <w:proofErr w:type="spellStart"/>
      <w:r w:rsidRPr="00722C2C">
        <w:rPr>
          <w:rFonts w:ascii="Times New Roman" w:hAnsi="Times New Roman"/>
          <w:szCs w:val="24"/>
        </w:rPr>
        <w:t>Brexit</w:t>
      </w:r>
      <w:proofErr w:type="spellEnd"/>
      <w:r w:rsidRPr="00722C2C">
        <w:rPr>
          <w:rFonts w:ascii="Times New Roman" w:hAnsi="Times New Roman"/>
          <w:szCs w:val="24"/>
        </w:rPr>
        <w:t>.</w:t>
      </w:r>
    </w:p>
    <w:p w:rsidR="006C6C77" w:rsidRPr="00722C2C" w:rsidRDefault="006C6C77" w:rsidP="006C6C77">
      <w:pPr>
        <w:spacing w:after="120"/>
        <w:rPr>
          <w:rFonts w:ascii="Times New Roman" w:hAnsi="Times New Roman"/>
          <w:b/>
          <w:szCs w:val="24"/>
        </w:rPr>
      </w:pPr>
      <w:r w:rsidRPr="00722C2C">
        <w:rPr>
          <w:rFonts w:ascii="Times New Roman" w:hAnsi="Times New Roman"/>
          <w:b/>
          <w:szCs w:val="24"/>
        </w:rPr>
        <w:t>Migration</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condemns the abuses and human rights violations suffered by migrants and refugees, in particular with regard to access to territory, reception conditions, asylum procedures, immigration detention and the protection of vulnerable persons. It focuses </w:t>
      </w:r>
      <w:r w:rsidRPr="00722C2C">
        <w:rPr>
          <w:rFonts w:ascii="Times New Roman" w:hAnsi="Times New Roman"/>
          <w:szCs w:val="24"/>
        </w:rPr>
        <w:lastRenderedPageBreak/>
        <w:t xml:space="preserve">especially on children, women and </w:t>
      </w:r>
      <w:r w:rsidRPr="00EC7F98">
        <w:rPr>
          <w:rFonts w:ascii="Times New Roman" w:hAnsi="Times New Roman"/>
          <w:szCs w:val="24"/>
        </w:rPr>
        <w:t>lesbian, gay, bisexual, transgender and intersex (</w:t>
      </w:r>
      <w:r w:rsidRPr="00722C2C">
        <w:rPr>
          <w:rFonts w:ascii="Times New Roman" w:hAnsi="Times New Roman"/>
          <w:szCs w:val="24"/>
        </w:rPr>
        <w:t>LGBTI</w:t>
      </w:r>
      <w:r>
        <w:rPr>
          <w:rFonts w:ascii="Times New Roman" w:hAnsi="Times New Roman"/>
          <w:szCs w:val="24"/>
        </w:rPr>
        <w:t>)</w:t>
      </w:r>
      <w:r w:rsidRPr="00722C2C">
        <w:rPr>
          <w:rFonts w:ascii="Times New Roman" w:hAnsi="Times New Roman"/>
          <w:szCs w:val="24"/>
        </w:rPr>
        <w:t xml:space="preserve"> asylum seekers who are particularly vulnerable. With regard to children, the </w:t>
      </w:r>
      <w:r>
        <w:rPr>
          <w:rFonts w:ascii="Times New Roman" w:hAnsi="Times New Roman"/>
          <w:szCs w:val="24"/>
        </w:rPr>
        <w:t>resolution</w:t>
      </w:r>
      <w:r w:rsidRPr="00722C2C">
        <w:rPr>
          <w:rFonts w:ascii="Times New Roman" w:hAnsi="Times New Roman"/>
          <w:szCs w:val="24"/>
        </w:rPr>
        <w:t xml:space="preserve"> recalls that detention </w:t>
      </w:r>
      <w:proofErr w:type="gramStart"/>
      <w:r w:rsidRPr="00722C2C">
        <w:rPr>
          <w:rFonts w:ascii="Times New Roman" w:hAnsi="Times New Roman"/>
          <w:szCs w:val="24"/>
        </w:rPr>
        <w:t>should be avoided</w:t>
      </w:r>
      <w:proofErr w:type="gramEnd"/>
      <w:r w:rsidRPr="00722C2C">
        <w:rPr>
          <w:rFonts w:ascii="Times New Roman" w:hAnsi="Times New Roman"/>
          <w:szCs w:val="24"/>
        </w:rPr>
        <w:t xml:space="preserve"> and that refugee children have the right to education base</w:t>
      </w:r>
      <w:r>
        <w:rPr>
          <w:rFonts w:ascii="Times New Roman" w:hAnsi="Times New Roman"/>
          <w:szCs w:val="24"/>
        </w:rPr>
        <w:t xml:space="preserve">d on Article 14 of the </w:t>
      </w:r>
      <w:r w:rsidRPr="00566152">
        <w:rPr>
          <w:rFonts w:ascii="Times New Roman" w:hAnsi="Times New Roman"/>
          <w:szCs w:val="24"/>
        </w:rPr>
        <w:t>EU Charter of Fundamental Rights.</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refers also to the work carried out by different </w:t>
      </w:r>
      <w:r>
        <w:rPr>
          <w:rFonts w:ascii="Times New Roman" w:hAnsi="Times New Roman"/>
          <w:szCs w:val="24"/>
        </w:rPr>
        <w:t>non-governmental organisations (</w:t>
      </w:r>
      <w:r w:rsidRPr="00722C2C">
        <w:rPr>
          <w:rFonts w:ascii="Times New Roman" w:hAnsi="Times New Roman"/>
          <w:szCs w:val="24"/>
        </w:rPr>
        <w:t>NGOs</w:t>
      </w:r>
      <w:r>
        <w:rPr>
          <w:rFonts w:ascii="Times New Roman" w:hAnsi="Times New Roman"/>
          <w:szCs w:val="24"/>
        </w:rPr>
        <w:t>)</w:t>
      </w:r>
      <w:r w:rsidRPr="00722C2C">
        <w:rPr>
          <w:rFonts w:ascii="Times New Roman" w:hAnsi="Times New Roman"/>
          <w:szCs w:val="24"/>
        </w:rPr>
        <w:t xml:space="preserve"> operating in the Mediterranean and their efforts to save lives and provide humanitarian assistance to those in need. It recalls that sea rescue is a legal obligation under international law, specifically Article 98 of the </w:t>
      </w:r>
      <w:r>
        <w:rPr>
          <w:rFonts w:ascii="Times New Roman" w:hAnsi="Times New Roman"/>
          <w:szCs w:val="24"/>
        </w:rPr>
        <w:t>United Nations (</w:t>
      </w:r>
      <w:r w:rsidRPr="00722C2C">
        <w:rPr>
          <w:rFonts w:ascii="Times New Roman" w:hAnsi="Times New Roman"/>
          <w:szCs w:val="24"/>
        </w:rPr>
        <w:t>UN</w:t>
      </w:r>
      <w:r>
        <w:rPr>
          <w:rFonts w:ascii="Times New Roman" w:hAnsi="Times New Roman"/>
          <w:szCs w:val="24"/>
        </w:rPr>
        <w:t>)</w:t>
      </w:r>
      <w:r w:rsidRPr="00722C2C">
        <w:rPr>
          <w:rFonts w:ascii="Times New Roman" w:hAnsi="Times New Roman"/>
          <w:szCs w:val="24"/>
        </w:rPr>
        <w:t xml:space="preserve"> Convention of the Law of the Sea (ratified by the Union and all its Member States), Member States should support NGOs instead of hindering their work and together with the Commission develop and guarantee search and rescue operations.</w:t>
      </w:r>
    </w:p>
    <w:p w:rsidR="006C6C77" w:rsidRPr="00722C2C" w:rsidRDefault="006C6C77" w:rsidP="006C6C77">
      <w:pPr>
        <w:spacing w:after="120"/>
        <w:rPr>
          <w:rFonts w:ascii="Times New Roman" w:hAnsi="Times New Roman"/>
          <w:b/>
          <w:szCs w:val="24"/>
        </w:rPr>
      </w:pPr>
      <w:r w:rsidRPr="00722C2C">
        <w:rPr>
          <w:rFonts w:ascii="Times New Roman" w:hAnsi="Times New Roman"/>
          <w:b/>
          <w:szCs w:val="24"/>
        </w:rPr>
        <w:t>Women's rights</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refers to the 2017 </w:t>
      </w:r>
      <w:r>
        <w:rPr>
          <w:rFonts w:ascii="Times New Roman" w:hAnsi="Times New Roman"/>
          <w:szCs w:val="24"/>
        </w:rPr>
        <w:t>Fundamental Rights Agency (</w:t>
      </w:r>
      <w:r w:rsidRPr="00722C2C">
        <w:rPr>
          <w:rFonts w:ascii="Times New Roman" w:hAnsi="Times New Roman"/>
          <w:szCs w:val="24"/>
        </w:rPr>
        <w:t>FRA</w:t>
      </w:r>
      <w:r>
        <w:rPr>
          <w:rFonts w:ascii="Times New Roman" w:hAnsi="Times New Roman"/>
          <w:szCs w:val="24"/>
        </w:rPr>
        <w:t>)</w:t>
      </w:r>
      <w:r w:rsidRPr="00722C2C">
        <w:rPr>
          <w:rFonts w:ascii="Times New Roman" w:hAnsi="Times New Roman"/>
          <w:szCs w:val="24"/>
        </w:rPr>
        <w:t xml:space="preserve"> paper entitled </w:t>
      </w:r>
      <w:r>
        <w:rPr>
          <w:rFonts w:ascii="Times New Roman" w:hAnsi="Times New Roman"/>
          <w:szCs w:val="24"/>
        </w:rPr>
        <w:t>“</w:t>
      </w:r>
      <w:r w:rsidRPr="00722C2C">
        <w:rPr>
          <w:rFonts w:ascii="Times New Roman" w:hAnsi="Times New Roman"/>
          <w:szCs w:val="24"/>
        </w:rPr>
        <w:t>Challenges to women’s human rights in the EU</w:t>
      </w:r>
      <w:r>
        <w:rPr>
          <w:rFonts w:ascii="Times New Roman" w:hAnsi="Times New Roman"/>
          <w:szCs w:val="24"/>
        </w:rPr>
        <w:t>”</w:t>
      </w:r>
      <w:r w:rsidRPr="00722C2C">
        <w:rPr>
          <w:rFonts w:ascii="Times New Roman" w:hAnsi="Times New Roman"/>
          <w:szCs w:val="24"/>
        </w:rPr>
        <w:t xml:space="preserve"> which confirms that women and girls experience persistent gender discrimination, sexist hate speech, and gender-based violence in the EU, and to the European Disability Forum report entitled ‘Ending forced sterilisation of women and girls with disabilities’.</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It calls on the Commission to submit a legal act to support </w:t>
      </w:r>
      <w:r>
        <w:rPr>
          <w:rFonts w:ascii="Times New Roman" w:hAnsi="Times New Roman"/>
          <w:szCs w:val="24"/>
        </w:rPr>
        <w:t xml:space="preserve">the </w:t>
      </w:r>
      <w:r w:rsidRPr="00722C2C">
        <w:rPr>
          <w:rFonts w:ascii="Times New Roman" w:hAnsi="Times New Roman"/>
          <w:szCs w:val="24"/>
        </w:rPr>
        <w:t>Member States in the prevention and elimination of all forms of violence against women and girl</w:t>
      </w:r>
      <w:r>
        <w:rPr>
          <w:rFonts w:ascii="Times New Roman" w:hAnsi="Times New Roman"/>
          <w:szCs w:val="24"/>
        </w:rPr>
        <w:t>s and of gender-based violence.</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deplores the sexism and gender stereotypes that have a severe impact on women’s fundamental rights in all spheres of life and recalls that women are often the victims of multiple discrimination arising from, inter alia, ethnic minority status, sexual orientation</w:t>
      </w:r>
      <w:r>
        <w:rPr>
          <w:rFonts w:ascii="Times New Roman" w:hAnsi="Times New Roman"/>
          <w:szCs w:val="24"/>
        </w:rPr>
        <w:t>, disability or migrant status.</w:t>
      </w:r>
    </w:p>
    <w:p w:rsidR="006C6C77" w:rsidRPr="00722C2C" w:rsidRDefault="006C6C77" w:rsidP="006C6C77">
      <w:pPr>
        <w:pStyle w:val="Normal12Hanging"/>
        <w:spacing w:after="120"/>
        <w:jc w:val="both"/>
        <w:rPr>
          <w:b/>
        </w:rPr>
      </w:pPr>
      <w:r w:rsidRPr="00722C2C">
        <w:rPr>
          <w:b/>
        </w:rPr>
        <w:t>Media freedom, freedom of expression and freedom of assembly</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stresses that public deliberation and debate are vital to the functioning of democratic societies, and in this context encourages the EU and its Member States to take further steps to safeguard and protect </w:t>
      </w:r>
      <w:r>
        <w:rPr>
          <w:rFonts w:ascii="Times New Roman" w:hAnsi="Times New Roman"/>
          <w:szCs w:val="24"/>
        </w:rPr>
        <w:t>freedom of speech and assembly.</w:t>
      </w:r>
    </w:p>
    <w:p w:rsidR="006C6C77" w:rsidRPr="00722C2C" w:rsidRDefault="006C6C77" w:rsidP="006C6C77">
      <w:pPr>
        <w:spacing w:after="120"/>
        <w:rPr>
          <w:rFonts w:ascii="Times New Roman" w:hAnsi="Times New Roman"/>
          <w:szCs w:val="24"/>
        </w:rPr>
      </w:pPr>
      <w:proofErr w:type="gramStart"/>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also stresses the importance of EU-wide projects, such as the Media Pluralism Monitor and Mapping Media Freedom, that assess risks to media pluralism across Europe, map limitations, threats and violations that affect media freedom, conduct awareness-raising campaigns, and provide support for journalists under threat and for cross-border investigative journalism; underlines that financing related to these and similar issues should be secured under the new </w:t>
      </w:r>
      <w:r>
        <w:rPr>
          <w:rFonts w:ascii="Times New Roman" w:hAnsi="Times New Roman"/>
          <w:szCs w:val="24"/>
        </w:rPr>
        <w:t>Multiannual Financial Framework (</w:t>
      </w:r>
      <w:r w:rsidRPr="00722C2C">
        <w:rPr>
          <w:rFonts w:ascii="Times New Roman" w:hAnsi="Times New Roman"/>
          <w:szCs w:val="24"/>
        </w:rPr>
        <w:t>MFF</w:t>
      </w:r>
      <w:r>
        <w:rPr>
          <w:rFonts w:ascii="Times New Roman" w:hAnsi="Times New Roman"/>
          <w:szCs w:val="24"/>
        </w:rPr>
        <w:t>)</w:t>
      </w:r>
      <w:r w:rsidRPr="00722C2C">
        <w:rPr>
          <w:rFonts w:ascii="Times New Roman" w:hAnsi="Times New Roman"/>
          <w:szCs w:val="24"/>
        </w:rPr>
        <w:t>.</w:t>
      </w:r>
      <w:proofErr w:type="gramEnd"/>
    </w:p>
    <w:p w:rsidR="006C6C77" w:rsidRPr="00F45CA3" w:rsidRDefault="006C6C77" w:rsidP="006C6C77">
      <w:pPr>
        <w:spacing w:after="120"/>
        <w:rPr>
          <w:rFonts w:ascii="Times New Roman" w:hAnsi="Times New Roman"/>
          <w:szCs w:val="24"/>
        </w:rPr>
      </w:pPr>
      <w:r w:rsidRPr="00722C2C">
        <w:rPr>
          <w:rFonts w:ascii="Times New Roman" w:hAnsi="Times New Roman"/>
          <w:szCs w:val="24"/>
        </w:rPr>
        <w:t xml:space="preserve">It emphasises the key role of whistle-blowers in safeguarding the public interest and in promoting a culture of public accountability and integrity in both public and private institutions. It welcomes the Commission’s proposal of 23 April 2018 for a horizontal directive on the protection of persons reporting on breaches of Union law, and underlines the importance of a swift follow-up by the co-legislators, so that the proposal </w:t>
      </w:r>
      <w:proofErr w:type="gramStart"/>
      <w:r w:rsidRPr="00722C2C">
        <w:rPr>
          <w:rFonts w:ascii="Times New Roman" w:hAnsi="Times New Roman"/>
          <w:szCs w:val="24"/>
        </w:rPr>
        <w:t xml:space="preserve">can be </w:t>
      </w:r>
      <w:r w:rsidRPr="00F45CA3">
        <w:rPr>
          <w:rFonts w:ascii="Times New Roman" w:hAnsi="Times New Roman"/>
          <w:szCs w:val="24"/>
        </w:rPr>
        <w:t>adopted</w:t>
      </w:r>
      <w:proofErr w:type="gramEnd"/>
      <w:r w:rsidRPr="00F45CA3">
        <w:rPr>
          <w:rFonts w:ascii="Times New Roman" w:hAnsi="Times New Roman"/>
          <w:szCs w:val="24"/>
        </w:rPr>
        <w:t xml:space="preserve"> before the end of the present legislative term.</w:t>
      </w:r>
    </w:p>
    <w:p w:rsidR="006C6C77" w:rsidRPr="00722C2C" w:rsidRDefault="006C6C77" w:rsidP="006C6C77">
      <w:pPr>
        <w:spacing w:after="120"/>
        <w:rPr>
          <w:rFonts w:ascii="Times New Roman" w:hAnsi="Times New Roman"/>
          <w:szCs w:val="24"/>
        </w:rPr>
      </w:pPr>
      <w:proofErr w:type="gramStart"/>
      <w:r w:rsidRPr="00F45CA3">
        <w:rPr>
          <w:rFonts w:ascii="Times New Roman" w:hAnsi="Times New Roman"/>
          <w:szCs w:val="24"/>
        </w:rPr>
        <w:t xml:space="preserve">The resolution welcomes the Commission </w:t>
      </w:r>
      <w:r>
        <w:rPr>
          <w:rFonts w:ascii="Times New Roman" w:hAnsi="Times New Roman"/>
          <w:szCs w:val="24"/>
        </w:rPr>
        <w:t>C</w:t>
      </w:r>
      <w:r w:rsidRPr="00F45CA3">
        <w:rPr>
          <w:rFonts w:ascii="Times New Roman" w:hAnsi="Times New Roman"/>
          <w:szCs w:val="24"/>
        </w:rPr>
        <w:t>ommunication of 26 April 2018, ‘Tackling online disinformation: a European approach' and the actions it contains</w:t>
      </w:r>
      <w:r w:rsidRPr="00F45CA3">
        <w:rPr>
          <w:rStyle w:val="FootnoteReference"/>
          <w:rFonts w:ascii="Times New Roman" w:hAnsi="Times New Roman"/>
          <w:szCs w:val="24"/>
        </w:rPr>
        <w:footnoteReference w:id="2"/>
      </w:r>
      <w:r w:rsidRPr="00722C2C">
        <w:rPr>
          <w:rFonts w:ascii="Times New Roman" w:hAnsi="Times New Roman"/>
          <w:szCs w:val="24"/>
        </w:rPr>
        <w:t xml:space="preserve"> and expresses its concern about the potential threat the notion of 'fake news' could pose to freedom of speech and </w:t>
      </w:r>
      <w:r w:rsidRPr="00722C2C">
        <w:rPr>
          <w:rFonts w:ascii="Times New Roman" w:hAnsi="Times New Roman"/>
          <w:szCs w:val="24"/>
        </w:rPr>
        <w:lastRenderedPageBreak/>
        <w:t xml:space="preserve">expression and to the independence of the media, while underlining the negative effects that the spread of false news might have on the quality of political debate and on the well-informed participation of </w:t>
      </w:r>
      <w:r>
        <w:rPr>
          <w:rFonts w:ascii="Times New Roman" w:hAnsi="Times New Roman"/>
          <w:szCs w:val="24"/>
        </w:rPr>
        <w:t>citizens in democratic society.</w:t>
      </w:r>
      <w:proofErr w:type="gramEnd"/>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mentions obstacles such as serious restrictions on freedom of association and freedom of speech for the civil society and human rights defenders, as well as restrictions on financing. It expresses concern at the </w:t>
      </w:r>
      <w:r>
        <w:rPr>
          <w:rFonts w:ascii="Times New Roman" w:hAnsi="Times New Roman"/>
          <w:szCs w:val="24"/>
        </w:rPr>
        <w:t>challenges civil society organisations are facing (the so called ‘</w:t>
      </w:r>
      <w:r w:rsidRPr="00722C2C">
        <w:rPr>
          <w:rFonts w:ascii="Times New Roman" w:hAnsi="Times New Roman"/>
          <w:szCs w:val="24"/>
        </w:rPr>
        <w:t>shrinking space</w:t>
      </w:r>
      <w:r>
        <w:rPr>
          <w:rFonts w:ascii="Times New Roman" w:hAnsi="Times New Roman"/>
          <w:szCs w:val="24"/>
        </w:rPr>
        <w:t>’)</w:t>
      </w:r>
      <w:r w:rsidRPr="00722C2C">
        <w:rPr>
          <w:rFonts w:ascii="Times New Roman" w:hAnsi="Times New Roman"/>
          <w:szCs w:val="24"/>
        </w:rPr>
        <w:t xml:space="preserve"> in some Member States and calls on the EU and the Member States to address proactively the root causes of shrinking civil society space and to uphold fundamental rights. It reiterates the call for adequate EU funding, as outlined in Parliament’s resolution of 19 April 2018 on establishing a European Values Instrument (EVI)</w:t>
      </w:r>
      <w:r w:rsidRPr="00722C2C">
        <w:rPr>
          <w:rStyle w:val="FootnoteReference"/>
          <w:szCs w:val="24"/>
        </w:rPr>
        <w:footnoteReference w:id="3"/>
      </w:r>
      <w:r w:rsidRPr="00722C2C">
        <w:rPr>
          <w:rFonts w:ascii="Times New Roman" w:hAnsi="Times New Roman"/>
          <w:szCs w:val="24"/>
        </w:rPr>
        <w:t>, in order to provide support to civil society organisations engaged in promoting fundamental values in the Union, and to prev</w:t>
      </w:r>
      <w:r>
        <w:rPr>
          <w:rFonts w:ascii="Times New Roman" w:hAnsi="Times New Roman"/>
          <w:szCs w:val="24"/>
        </w:rPr>
        <w:t>ent any misuse of such funding.</w:t>
      </w:r>
    </w:p>
    <w:p w:rsidR="006C6C77" w:rsidRPr="00722C2C" w:rsidRDefault="006C6C77" w:rsidP="006C6C77">
      <w:pPr>
        <w:pStyle w:val="Normal12Hanging"/>
        <w:spacing w:after="120"/>
        <w:jc w:val="both"/>
        <w:rPr>
          <w:b/>
        </w:rPr>
      </w:pPr>
      <w:r w:rsidRPr="00722C2C">
        <w:rPr>
          <w:b/>
        </w:rPr>
        <w:t>Racism, xenophobia, discrimination, hate speech and other forms of intolerance</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expresses concern that 2017 saw no major improvement in terms of achieving the goals of the National Roma Integration Strategies and points out that </w:t>
      </w:r>
      <w:r>
        <w:rPr>
          <w:rFonts w:ascii="Times New Roman" w:hAnsi="Times New Roman"/>
          <w:szCs w:val="24"/>
        </w:rPr>
        <w:t>European Structural and Investment Funds (</w:t>
      </w:r>
      <w:r w:rsidRPr="00722C2C">
        <w:rPr>
          <w:rFonts w:ascii="Times New Roman" w:hAnsi="Times New Roman"/>
          <w:szCs w:val="24"/>
        </w:rPr>
        <w:t>ESIF</w:t>
      </w:r>
      <w:r>
        <w:rPr>
          <w:rFonts w:ascii="Times New Roman" w:hAnsi="Times New Roman"/>
          <w:szCs w:val="24"/>
        </w:rPr>
        <w:t xml:space="preserve">) </w:t>
      </w:r>
      <w:r w:rsidRPr="00722C2C">
        <w:rPr>
          <w:rFonts w:ascii="Times New Roman" w:hAnsi="Times New Roman"/>
          <w:szCs w:val="24"/>
        </w:rPr>
        <w:t>resources are not linked to the National Roma Integration Strategies and often do not benefit Roma peop</w:t>
      </w:r>
      <w:r>
        <w:rPr>
          <w:rFonts w:ascii="Times New Roman" w:hAnsi="Times New Roman"/>
          <w:szCs w:val="24"/>
        </w:rPr>
        <w:t>le.</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notes the discrimination against LGBTI people and calls on the Commission to mainstream a gender identity perspective within the EU’s remit on gender-based violence. It welcomes the implementation of certain items contained in the list of actions by the Commission to advance LGBTI equality (2014-2019) and calls on the Commission to maintain its ambitious multiannual planning in this field, in close cooperation with civil society organisations working in the area.</w:t>
      </w:r>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With regard to the rights of persons with disabilities, the </w:t>
      </w:r>
      <w:r>
        <w:rPr>
          <w:rFonts w:ascii="Times New Roman" w:hAnsi="Times New Roman"/>
          <w:szCs w:val="24"/>
        </w:rPr>
        <w:t>resolution</w:t>
      </w:r>
      <w:r w:rsidRPr="00722C2C">
        <w:rPr>
          <w:rFonts w:ascii="Times New Roman" w:hAnsi="Times New Roman"/>
          <w:szCs w:val="24"/>
        </w:rPr>
        <w:t xml:space="preserve"> notes that they are still disadvantaged and discriminated against regarding employment, education and social inclusion, as stated by the Commission in its implementation report on the European Disability Strategy publ</w:t>
      </w:r>
      <w:r>
        <w:rPr>
          <w:rFonts w:ascii="Times New Roman" w:hAnsi="Times New Roman"/>
          <w:szCs w:val="24"/>
        </w:rPr>
        <w:t>ished in February 2017.</w:t>
      </w:r>
    </w:p>
    <w:p w:rsidR="006C6C77" w:rsidRPr="00722C2C" w:rsidRDefault="006C6C77" w:rsidP="006C6C77">
      <w:pPr>
        <w:spacing w:after="120"/>
        <w:rPr>
          <w:rFonts w:ascii="Times New Roman" w:hAnsi="Times New Roman"/>
          <w:szCs w:val="24"/>
        </w:rPr>
      </w:pPr>
      <w:proofErr w:type="gramStart"/>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calls on the Commission to renew its commitment to set out a new EU Agenda for the Rights of the Child, as well as a new strategy for children’s rights, and to aim to mainstream children’s rights in EU policies, legislation and financial decisions, as well as taking them into account when programming and implementing </w:t>
      </w:r>
      <w:r>
        <w:rPr>
          <w:rFonts w:ascii="Times New Roman" w:hAnsi="Times New Roman"/>
          <w:szCs w:val="24"/>
        </w:rPr>
        <w:t>regional and cohesion policies.</w:t>
      </w:r>
      <w:proofErr w:type="gramEnd"/>
    </w:p>
    <w:p w:rsidR="006C6C77" w:rsidRPr="00722C2C" w:rsidRDefault="006C6C77" w:rsidP="006C6C77">
      <w:pPr>
        <w:spacing w:after="120"/>
        <w:rPr>
          <w:rFonts w:ascii="Times New Roman" w:hAnsi="Times New Roman"/>
          <w:szCs w:val="24"/>
        </w:rPr>
      </w:pPr>
      <w:r w:rsidRPr="00722C2C">
        <w:rPr>
          <w:rFonts w:ascii="Times New Roman" w:hAnsi="Times New Roman"/>
          <w:szCs w:val="24"/>
        </w:rPr>
        <w:t xml:space="preserve">The </w:t>
      </w:r>
      <w:r>
        <w:rPr>
          <w:rFonts w:ascii="Times New Roman" w:hAnsi="Times New Roman"/>
          <w:szCs w:val="24"/>
        </w:rPr>
        <w:t>resolution</w:t>
      </w:r>
      <w:r w:rsidRPr="00722C2C">
        <w:rPr>
          <w:rFonts w:ascii="Times New Roman" w:hAnsi="Times New Roman"/>
          <w:szCs w:val="24"/>
        </w:rPr>
        <w:t xml:space="preserve"> takes note of the Commission's proposal for a regulation to prevent the dissemination of terrorist content online, and calls for the Council and Parliament to work on the text in order to ensure judicial control over decisions to remove online content.</w:t>
      </w:r>
    </w:p>
    <w:p w:rsidR="006C6C77" w:rsidRPr="00722C2C" w:rsidRDefault="006C6C77" w:rsidP="006C6C77">
      <w:pPr>
        <w:pStyle w:val="Normal12Hanging"/>
        <w:spacing w:after="120"/>
        <w:jc w:val="both"/>
        <w:rPr>
          <w:b/>
        </w:rPr>
      </w:pPr>
      <w:r w:rsidRPr="00722C2C">
        <w:rPr>
          <w:b/>
        </w:rPr>
        <w:t>Role and mandate of the Fundamental R</w:t>
      </w:r>
      <w:r>
        <w:rPr>
          <w:b/>
        </w:rPr>
        <w:t xml:space="preserve">ights </w:t>
      </w:r>
      <w:r w:rsidRPr="00722C2C">
        <w:rPr>
          <w:b/>
        </w:rPr>
        <w:t>A</w:t>
      </w:r>
      <w:r>
        <w:rPr>
          <w:b/>
        </w:rPr>
        <w:t>gency</w:t>
      </w:r>
    </w:p>
    <w:p w:rsidR="006C6C77" w:rsidRPr="00722C2C" w:rsidRDefault="006C6C77" w:rsidP="006C6C77">
      <w:pPr>
        <w:spacing w:after="120"/>
        <w:rPr>
          <w:rFonts w:ascii="Times New Roman" w:hAnsi="Times New Roman"/>
        </w:rPr>
      </w:pPr>
      <w:r w:rsidRPr="00722C2C">
        <w:rPr>
          <w:rFonts w:ascii="Times New Roman" w:hAnsi="Times New Roman"/>
        </w:rPr>
        <w:t xml:space="preserve">The </w:t>
      </w:r>
      <w:r>
        <w:rPr>
          <w:rFonts w:ascii="Times New Roman" w:hAnsi="Times New Roman"/>
        </w:rPr>
        <w:t>resolution</w:t>
      </w:r>
      <w:r w:rsidRPr="00722C2C">
        <w:rPr>
          <w:rFonts w:ascii="Times New Roman" w:hAnsi="Times New Roman"/>
        </w:rPr>
        <w:t xml:space="preserve"> calls for the global statutory mission of the Agency to be extended to include the operational task of providing technical assistance, training and capacity-building on fundamental rights issues to the EU institutions, bodies and agencies, as well as to Member States when implementing EU law. It reiterates its call for alignment of </w:t>
      </w:r>
      <w:r w:rsidRPr="000D4249">
        <w:rPr>
          <w:rFonts w:ascii="Times New Roman" w:hAnsi="Times New Roman"/>
        </w:rPr>
        <w:t>the Fundamental Rights Agency’s</w:t>
      </w:r>
      <w:r w:rsidRPr="00722C2C">
        <w:rPr>
          <w:rFonts w:ascii="Times New Roman" w:hAnsi="Times New Roman"/>
        </w:rPr>
        <w:t xml:space="preserve"> mandate with the Lisbon Treaty, including by making it explicit that the Founding Regulation covers police and judicial cooperation.</w:t>
      </w:r>
    </w:p>
    <w:p w:rsidR="006C6C77" w:rsidRPr="00722C2C" w:rsidRDefault="006C6C77" w:rsidP="006C6C77">
      <w:pPr>
        <w:spacing w:after="120"/>
        <w:rPr>
          <w:rFonts w:ascii="Times New Roman" w:hAnsi="Times New Roman"/>
        </w:rPr>
      </w:pPr>
      <w:r w:rsidRPr="00722C2C">
        <w:rPr>
          <w:rFonts w:ascii="Times New Roman" w:hAnsi="Times New Roman"/>
        </w:rPr>
        <w:lastRenderedPageBreak/>
        <w:t xml:space="preserve">The </w:t>
      </w:r>
      <w:r>
        <w:rPr>
          <w:rFonts w:ascii="Times New Roman" w:hAnsi="Times New Roman"/>
        </w:rPr>
        <w:t>resolution</w:t>
      </w:r>
      <w:r w:rsidRPr="00722C2C">
        <w:rPr>
          <w:rFonts w:ascii="Times New Roman" w:hAnsi="Times New Roman"/>
        </w:rPr>
        <w:t xml:space="preserve"> welcomes the opinions of the </w:t>
      </w:r>
      <w:r w:rsidRPr="000D4249">
        <w:rPr>
          <w:rFonts w:ascii="Times New Roman" w:hAnsi="Times New Roman"/>
        </w:rPr>
        <w:t>Agency</w:t>
      </w:r>
      <w:r w:rsidRPr="00722C2C">
        <w:rPr>
          <w:rFonts w:ascii="Times New Roman" w:hAnsi="Times New Roman"/>
        </w:rPr>
        <w:t xml:space="preserve"> on draft EU legislation and recommends that EU legislators should request independent and external human rights advice from </w:t>
      </w:r>
      <w:r>
        <w:rPr>
          <w:rFonts w:ascii="Times New Roman" w:hAnsi="Times New Roman"/>
        </w:rPr>
        <w:t>it</w:t>
      </w:r>
      <w:r w:rsidRPr="00722C2C">
        <w:rPr>
          <w:rFonts w:ascii="Times New Roman" w:hAnsi="Times New Roman"/>
        </w:rPr>
        <w:t xml:space="preserve"> whenever a legislative file raises serious fundamental rights issues; calls on the Commission to ensure that the </w:t>
      </w:r>
      <w:r w:rsidRPr="000D4249">
        <w:rPr>
          <w:rFonts w:ascii="Times New Roman" w:hAnsi="Times New Roman"/>
        </w:rPr>
        <w:t>Fundamental Rights Agency</w:t>
      </w:r>
      <w:r w:rsidRPr="00722C2C">
        <w:rPr>
          <w:rFonts w:ascii="Times New Roman" w:hAnsi="Times New Roman"/>
        </w:rPr>
        <w:t xml:space="preserve"> has the requisite mechanisms to enable it to fulfil its mandate.</w:t>
      </w:r>
    </w:p>
    <w:p w:rsidR="006C6C77" w:rsidRPr="00722C2C" w:rsidRDefault="006C6C77" w:rsidP="006C6C77">
      <w:pPr>
        <w:pStyle w:val="Normal12Hanging"/>
        <w:keepNext/>
        <w:keepLines/>
        <w:widowControl/>
        <w:ind w:left="567" w:hanging="567"/>
        <w:jc w:val="both"/>
        <w:rPr>
          <w:b/>
          <w:szCs w:val="24"/>
        </w:rPr>
      </w:pPr>
      <w:r>
        <w:rPr>
          <w:b/>
          <w:szCs w:val="24"/>
        </w:rPr>
        <w:t>6</w:t>
      </w:r>
      <w:r w:rsidRPr="00722C2C">
        <w:rPr>
          <w:b/>
          <w:szCs w:val="24"/>
        </w:rPr>
        <w:t>.</w:t>
      </w:r>
      <w:r w:rsidRPr="00722C2C">
        <w:rPr>
          <w:b/>
          <w:szCs w:val="24"/>
        </w:rPr>
        <w:tab/>
        <w:t xml:space="preserve">Response to requests and overview of action taken, or </w:t>
      </w:r>
      <w:proofErr w:type="gramStart"/>
      <w:r w:rsidRPr="00722C2C">
        <w:rPr>
          <w:b/>
          <w:szCs w:val="24"/>
        </w:rPr>
        <w:t>intended to be taken</w:t>
      </w:r>
      <w:proofErr w:type="gramEnd"/>
      <w:r w:rsidRPr="00722C2C">
        <w:rPr>
          <w:b/>
          <w:szCs w:val="24"/>
        </w:rPr>
        <w:t>, by the Commission:</w:t>
      </w:r>
    </w:p>
    <w:p w:rsidR="006C6C77" w:rsidRPr="00722C2C" w:rsidRDefault="006C6C77" w:rsidP="006C6C77">
      <w:pPr>
        <w:pStyle w:val="Normal12Hanging"/>
        <w:keepNext/>
        <w:keepLines/>
        <w:widowControl/>
        <w:spacing w:after="120"/>
        <w:ind w:left="0" w:firstLine="0"/>
        <w:jc w:val="both"/>
        <w:rPr>
          <w:b/>
          <w:szCs w:val="24"/>
        </w:rPr>
      </w:pPr>
      <w:r w:rsidRPr="00722C2C">
        <w:rPr>
          <w:b/>
          <w:szCs w:val="24"/>
        </w:rPr>
        <w:t>O</w:t>
      </w:r>
      <w:r>
        <w:rPr>
          <w:b/>
          <w:szCs w:val="24"/>
        </w:rPr>
        <w:t>n the Rule of Law</w:t>
      </w:r>
    </w:p>
    <w:p w:rsidR="006C6C77" w:rsidRPr="00722C2C" w:rsidRDefault="006C6C77" w:rsidP="006C6C77">
      <w:pPr>
        <w:pStyle w:val="Normal12Hanging"/>
        <w:keepNext/>
        <w:keepLines/>
        <w:widowControl/>
        <w:spacing w:after="120"/>
        <w:ind w:left="0" w:firstLine="0"/>
        <w:jc w:val="both"/>
        <w:rPr>
          <w:szCs w:val="24"/>
        </w:rPr>
      </w:pPr>
      <w:r w:rsidRPr="00722C2C">
        <w:rPr>
          <w:szCs w:val="24"/>
        </w:rPr>
        <w:t>The rule of law is one of the core values of the EU and a prerequisite for protecting all our other fundamental values, for the application of EU law, for the internal market, for an investment friendly environment, as well as for mutual trust between</w:t>
      </w:r>
      <w:r>
        <w:rPr>
          <w:szCs w:val="24"/>
        </w:rPr>
        <w:t xml:space="preserve"> the Member States and the authorities.</w:t>
      </w:r>
    </w:p>
    <w:p w:rsidR="006C6C77" w:rsidRPr="00722C2C" w:rsidRDefault="006C6C77" w:rsidP="006C6C77">
      <w:pPr>
        <w:spacing w:after="120"/>
        <w:rPr>
          <w:rFonts w:ascii="Times New Roman" w:hAnsi="Times New Roman"/>
        </w:rPr>
      </w:pPr>
      <w:r w:rsidRPr="008B1D31">
        <w:rPr>
          <w:rFonts w:ascii="Times New Roman" w:hAnsi="Times New Roman"/>
        </w:rPr>
        <w:t>The Commission proposed in May 2018 a regulation</w:t>
      </w:r>
      <w:r w:rsidRPr="008B1D31">
        <w:rPr>
          <w:rStyle w:val="FootnoteReference"/>
        </w:rPr>
        <w:footnoteReference w:id="4"/>
      </w:r>
      <w:r w:rsidRPr="008B1D31">
        <w:rPr>
          <w:rFonts w:ascii="Times New Roman" w:hAnsi="Times New Roman"/>
        </w:rPr>
        <w:t xml:space="preserve"> on protecting the Union’s budget in </w:t>
      </w:r>
      <w:r w:rsidRPr="00251ED5">
        <w:rPr>
          <w:rFonts w:ascii="Times New Roman" w:hAnsi="Times New Roman"/>
        </w:rPr>
        <w:t>case</w:t>
      </w:r>
      <w:r w:rsidRPr="008B1D31">
        <w:rPr>
          <w:rFonts w:ascii="Times New Roman" w:hAnsi="Times New Roman"/>
        </w:rPr>
        <w:t xml:space="preserve"> of generalised deficiencies as regards the rule of law in the Member States. The Commission will present in 2019 an initiative to strengthen the 2014 rule of law framework. The announcement of the initiative reflects the joint efforts to strengthen the enforcement of the rule of law in the EU and to promote and uphold common European values in all </w:t>
      </w:r>
      <w:r>
        <w:rPr>
          <w:rFonts w:ascii="Times New Roman" w:hAnsi="Times New Roman"/>
        </w:rPr>
        <w:t xml:space="preserve">the </w:t>
      </w:r>
      <w:r w:rsidRPr="008B1D31">
        <w:rPr>
          <w:rFonts w:ascii="Times New Roman" w:hAnsi="Times New Roman"/>
        </w:rPr>
        <w:t>Member states. The Commission's initiative will draw lessons from the experiences of recent years. It will also take due account of the work of the European Parliament, including the resolution adopted on 25 October 2016, which will feed the reflection, even if this does not mean that the proposal will take up all elements of the Parliament’s proposal. The key issue is to identify the best means of achieving this objective.</w:t>
      </w:r>
    </w:p>
    <w:p w:rsidR="006C6C77" w:rsidRPr="00722C2C" w:rsidRDefault="006C6C77" w:rsidP="006C6C77">
      <w:pPr>
        <w:spacing w:after="120"/>
        <w:rPr>
          <w:rFonts w:ascii="Times New Roman" w:hAnsi="Times New Roman"/>
        </w:rPr>
      </w:pPr>
      <w:proofErr w:type="gramStart"/>
      <w:r w:rsidRPr="004927F3">
        <w:rPr>
          <w:rFonts w:ascii="Times New Roman" w:hAnsi="Times New Roman"/>
        </w:rPr>
        <w:t>After repeated efforts</w:t>
      </w:r>
      <w:r>
        <w:rPr>
          <w:rFonts w:ascii="Times New Roman" w:hAnsi="Times New Roman"/>
        </w:rPr>
        <w:t xml:space="preserve"> </w:t>
      </w:r>
      <w:r w:rsidRPr="004927F3">
        <w:rPr>
          <w:rFonts w:ascii="Times New Roman" w:hAnsi="Times New Roman"/>
        </w:rPr>
        <w:t>to engage the Polish authorities in a constructive dialogue in the context of the Rule of Law Framework, the Commission concluded on 20 December 2017 that there is a clear risk of a serious brea</w:t>
      </w:r>
      <w:r>
        <w:rPr>
          <w:rFonts w:ascii="Times New Roman" w:hAnsi="Times New Roman"/>
        </w:rPr>
        <w:t xml:space="preserve">ch of the rule of law in Poland, and </w:t>
      </w:r>
      <w:r w:rsidRPr="004927F3">
        <w:rPr>
          <w:rFonts w:ascii="Times New Roman" w:hAnsi="Times New Roman"/>
        </w:rPr>
        <w:t xml:space="preserve">invoked the Article 7(1) </w:t>
      </w:r>
      <w:r>
        <w:rPr>
          <w:rFonts w:ascii="Times New Roman" w:hAnsi="Times New Roman"/>
        </w:rPr>
        <w:t>TEU</w:t>
      </w:r>
      <w:r w:rsidRPr="004927F3">
        <w:rPr>
          <w:rFonts w:ascii="Times New Roman" w:hAnsi="Times New Roman"/>
        </w:rPr>
        <w:t xml:space="preserve"> procedure, proposing to the Council to adopt a decision on the determination of a clear risk of a serious breach of the rule of law by Poland</w:t>
      </w:r>
      <w:r>
        <w:rPr>
          <w:rFonts w:ascii="Times New Roman" w:hAnsi="Times New Roman"/>
        </w:rPr>
        <w:t>.</w:t>
      </w:r>
      <w:proofErr w:type="gramEnd"/>
      <w:r>
        <w:rPr>
          <w:rFonts w:ascii="Times New Roman" w:hAnsi="Times New Roman"/>
        </w:rPr>
        <w:t xml:space="preserve"> </w:t>
      </w:r>
      <w:r w:rsidRPr="00A9038A">
        <w:rPr>
          <w:rFonts w:ascii="Times New Roman" w:hAnsi="Times New Roman"/>
        </w:rPr>
        <w:t>On</w:t>
      </w:r>
      <w:r>
        <w:rPr>
          <w:rFonts w:ascii="Times New Roman" w:hAnsi="Times New Roman"/>
        </w:rPr>
        <w:t xml:space="preserve"> </w:t>
      </w:r>
      <w:r w:rsidRPr="00A9038A">
        <w:rPr>
          <w:rFonts w:ascii="Times New Roman" w:hAnsi="Times New Roman"/>
        </w:rPr>
        <w:t>26</w:t>
      </w:r>
      <w:r>
        <w:rPr>
          <w:rFonts w:ascii="Times New Roman" w:hAnsi="Times New Roman"/>
        </w:rPr>
        <w:t xml:space="preserve"> </w:t>
      </w:r>
      <w:r w:rsidRPr="00A9038A">
        <w:rPr>
          <w:rFonts w:ascii="Times New Roman" w:hAnsi="Times New Roman"/>
        </w:rPr>
        <w:t>June,</w:t>
      </w:r>
      <w:r>
        <w:rPr>
          <w:rFonts w:ascii="Times New Roman" w:hAnsi="Times New Roman"/>
        </w:rPr>
        <w:t xml:space="preserve"> </w:t>
      </w:r>
      <w:r w:rsidRPr="00A9038A">
        <w:rPr>
          <w:rFonts w:ascii="Times New Roman" w:hAnsi="Times New Roman"/>
        </w:rPr>
        <w:t>18</w:t>
      </w:r>
      <w:r>
        <w:rPr>
          <w:rFonts w:ascii="Times New Roman" w:hAnsi="Times New Roman"/>
        </w:rPr>
        <w:t xml:space="preserve"> </w:t>
      </w:r>
      <w:r w:rsidRPr="00A9038A">
        <w:rPr>
          <w:rFonts w:ascii="Times New Roman" w:hAnsi="Times New Roman"/>
        </w:rPr>
        <w:t>September</w:t>
      </w:r>
      <w:r>
        <w:rPr>
          <w:rFonts w:ascii="Times New Roman" w:hAnsi="Times New Roman"/>
        </w:rPr>
        <w:t xml:space="preserve"> </w:t>
      </w:r>
      <w:r w:rsidRPr="00A9038A">
        <w:rPr>
          <w:rFonts w:ascii="Times New Roman" w:hAnsi="Times New Roman"/>
        </w:rPr>
        <w:t>and</w:t>
      </w:r>
      <w:r>
        <w:rPr>
          <w:rFonts w:ascii="Times New Roman" w:hAnsi="Times New Roman"/>
        </w:rPr>
        <w:t xml:space="preserve"> </w:t>
      </w:r>
      <w:r w:rsidRPr="00A9038A">
        <w:rPr>
          <w:rFonts w:ascii="Times New Roman" w:hAnsi="Times New Roman"/>
        </w:rPr>
        <w:t>11</w:t>
      </w:r>
      <w:r>
        <w:rPr>
          <w:rFonts w:ascii="Times New Roman" w:hAnsi="Times New Roman"/>
        </w:rPr>
        <w:t xml:space="preserve"> </w:t>
      </w:r>
      <w:r w:rsidRPr="00A9038A">
        <w:rPr>
          <w:rFonts w:ascii="Times New Roman" w:hAnsi="Times New Roman"/>
        </w:rPr>
        <w:t>December</w:t>
      </w:r>
      <w:r>
        <w:rPr>
          <w:rFonts w:ascii="Times New Roman" w:hAnsi="Times New Roman"/>
        </w:rPr>
        <w:t xml:space="preserve"> </w:t>
      </w:r>
      <w:r w:rsidRPr="00A9038A">
        <w:rPr>
          <w:rFonts w:ascii="Times New Roman" w:hAnsi="Times New Roman"/>
        </w:rPr>
        <w:t>2018,</w:t>
      </w:r>
      <w:r>
        <w:rPr>
          <w:rFonts w:ascii="Times New Roman" w:hAnsi="Times New Roman"/>
        </w:rPr>
        <w:t xml:space="preserve"> </w:t>
      </w:r>
      <w:r w:rsidRPr="00A9038A">
        <w:rPr>
          <w:rFonts w:ascii="Times New Roman" w:hAnsi="Times New Roman"/>
        </w:rPr>
        <w:t>the Council</w:t>
      </w:r>
      <w:r>
        <w:rPr>
          <w:rFonts w:ascii="Times New Roman" w:hAnsi="Times New Roman"/>
        </w:rPr>
        <w:t xml:space="preserve"> </w:t>
      </w:r>
      <w:r w:rsidRPr="00A9038A">
        <w:rPr>
          <w:rFonts w:ascii="Times New Roman" w:hAnsi="Times New Roman"/>
        </w:rPr>
        <w:t>held</w:t>
      </w:r>
      <w:r>
        <w:rPr>
          <w:rFonts w:ascii="Times New Roman" w:hAnsi="Times New Roman"/>
        </w:rPr>
        <w:t xml:space="preserve"> </w:t>
      </w:r>
      <w:r w:rsidRPr="00A9038A">
        <w:rPr>
          <w:rFonts w:ascii="Times New Roman" w:hAnsi="Times New Roman"/>
        </w:rPr>
        <w:t>hearings</w:t>
      </w:r>
      <w:r>
        <w:rPr>
          <w:rFonts w:ascii="Times New Roman" w:hAnsi="Times New Roman"/>
        </w:rPr>
        <w:t xml:space="preserve"> </w:t>
      </w:r>
      <w:r w:rsidRPr="00A9038A">
        <w:rPr>
          <w:rFonts w:ascii="Times New Roman" w:hAnsi="Times New Roman"/>
        </w:rPr>
        <w:t>on</w:t>
      </w:r>
      <w:r>
        <w:rPr>
          <w:rFonts w:ascii="Times New Roman" w:hAnsi="Times New Roman"/>
        </w:rPr>
        <w:t xml:space="preserve"> </w:t>
      </w:r>
      <w:r w:rsidRPr="00A9038A">
        <w:rPr>
          <w:rFonts w:ascii="Times New Roman" w:hAnsi="Times New Roman"/>
        </w:rPr>
        <w:t>Poland</w:t>
      </w:r>
      <w:r>
        <w:rPr>
          <w:rFonts w:ascii="Times New Roman" w:hAnsi="Times New Roman"/>
        </w:rPr>
        <w:t xml:space="preserve"> </w:t>
      </w:r>
      <w:r w:rsidRPr="00A9038A">
        <w:rPr>
          <w:rFonts w:ascii="Times New Roman" w:hAnsi="Times New Roman"/>
        </w:rPr>
        <w:t>under</w:t>
      </w:r>
      <w:r>
        <w:rPr>
          <w:rFonts w:ascii="Times New Roman" w:hAnsi="Times New Roman"/>
        </w:rPr>
        <w:t xml:space="preserve"> </w:t>
      </w:r>
      <w:r w:rsidRPr="00A9038A">
        <w:rPr>
          <w:rFonts w:ascii="Times New Roman" w:hAnsi="Times New Roman"/>
        </w:rPr>
        <w:t>the</w:t>
      </w:r>
      <w:r>
        <w:rPr>
          <w:rFonts w:ascii="Times New Roman" w:hAnsi="Times New Roman"/>
        </w:rPr>
        <w:t xml:space="preserve"> </w:t>
      </w:r>
      <w:r w:rsidRPr="00A9038A">
        <w:rPr>
          <w:rFonts w:ascii="Times New Roman" w:hAnsi="Times New Roman"/>
        </w:rPr>
        <w:t>Article</w:t>
      </w:r>
      <w:r>
        <w:rPr>
          <w:rFonts w:ascii="Times New Roman" w:hAnsi="Times New Roman"/>
        </w:rPr>
        <w:t xml:space="preserve"> </w:t>
      </w:r>
      <w:r w:rsidRPr="00A9038A">
        <w:rPr>
          <w:rFonts w:ascii="Times New Roman" w:hAnsi="Times New Roman"/>
        </w:rPr>
        <w:t xml:space="preserve">7(1) </w:t>
      </w:r>
      <w:r>
        <w:rPr>
          <w:rFonts w:ascii="Times New Roman" w:hAnsi="Times New Roman"/>
        </w:rPr>
        <w:t>TEU</w:t>
      </w:r>
      <w:r w:rsidRPr="00A9038A">
        <w:rPr>
          <w:rFonts w:ascii="Times New Roman" w:hAnsi="Times New Roman"/>
        </w:rPr>
        <w:t xml:space="preserve"> procedure.</w:t>
      </w:r>
      <w:r>
        <w:rPr>
          <w:rFonts w:ascii="Times New Roman" w:hAnsi="Times New Roman"/>
        </w:rPr>
        <w:t xml:space="preserve"> </w:t>
      </w:r>
      <w:r w:rsidRPr="00722C2C">
        <w:rPr>
          <w:rFonts w:ascii="Times New Roman" w:hAnsi="Times New Roman"/>
        </w:rPr>
        <w:t xml:space="preserve">In September </w:t>
      </w:r>
      <w:r>
        <w:rPr>
          <w:rFonts w:ascii="Times New Roman" w:hAnsi="Times New Roman"/>
        </w:rPr>
        <w:t>2018</w:t>
      </w:r>
      <w:r w:rsidRPr="00722C2C">
        <w:rPr>
          <w:rFonts w:ascii="Times New Roman" w:hAnsi="Times New Roman"/>
        </w:rPr>
        <w:t xml:space="preserve">, the Parliament decided to initiate </w:t>
      </w:r>
      <w:r>
        <w:rPr>
          <w:rFonts w:ascii="Times New Roman" w:hAnsi="Times New Roman"/>
        </w:rPr>
        <w:t>such procedure against Hungary</w:t>
      </w:r>
      <w:r w:rsidRPr="00722C2C">
        <w:rPr>
          <w:rFonts w:ascii="Times New Roman" w:hAnsi="Times New Roman"/>
        </w:rPr>
        <w:t xml:space="preserve">. </w:t>
      </w:r>
      <w:r w:rsidRPr="00722C2C">
        <w:rPr>
          <w:rFonts w:ascii="Times New Roman" w:hAnsi="Times New Roman"/>
          <w:szCs w:val="24"/>
        </w:rPr>
        <w:t xml:space="preserve">The Commission shares </w:t>
      </w:r>
      <w:r w:rsidRPr="009B42F7">
        <w:rPr>
          <w:rFonts w:ascii="Times New Roman" w:hAnsi="Times New Roman"/>
          <w:szCs w:val="24"/>
        </w:rPr>
        <w:t xml:space="preserve">a significant number of </w:t>
      </w:r>
      <w:r w:rsidRPr="00722C2C">
        <w:rPr>
          <w:rFonts w:ascii="Times New Roman" w:hAnsi="Times New Roman"/>
          <w:szCs w:val="24"/>
        </w:rPr>
        <w:t xml:space="preserve">the concerns expressed </w:t>
      </w:r>
      <w:r>
        <w:rPr>
          <w:rFonts w:ascii="Times New Roman" w:hAnsi="Times New Roman"/>
          <w:szCs w:val="24"/>
        </w:rPr>
        <w:t>by the European Parliament</w:t>
      </w:r>
      <w:r w:rsidRPr="00722C2C">
        <w:rPr>
          <w:rFonts w:ascii="Times New Roman" w:hAnsi="Times New Roman"/>
          <w:szCs w:val="24"/>
        </w:rPr>
        <w:t xml:space="preserve">, in particular as regards fundamental rights, corruption, </w:t>
      </w:r>
      <w:r w:rsidRPr="00E26293">
        <w:rPr>
          <w:rFonts w:ascii="Times New Roman" w:hAnsi="Times New Roman"/>
          <w:szCs w:val="24"/>
        </w:rPr>
        <w:t>segregation of Roma in education</w:t>
      </w:r>
      <w:r w:rsidRPr="00722C2C">
        <w:rPr>
          <w:rFonts w:ascii="Times New Roman" w:hAnsi="Times New Roman"/>
          <w:szCs w:val="24"/>
        </w:rPr>
        <w:t xml:space="preserve"> and the independence of the judiciary. </w:t>
      </w:r>
      <w:r>
        <w:rPr>
          <w:rFonts w:ascii="Times New Roman" w:hAnsi="Times New Roman"/>
          <w:szCs w:val="24"/>
        </w:rPr>
        <w:t>The European Parliament’s reasoned proposal has already been</w:t>
      </w:r>
      <w:r w:rsidRPr="00722C2C" w:rsidDel="009B42F7">
        <w:rPr>
          <w:rFonts w:ascii="Times New Roman" w:hAnsi="Times New Roman"/>
          <w:szCs w:val="24"/>
        </w:rPr>
        <w:t xml:space="preserve"> </w:t>
      </w:r>
      <w:r>
        <w:rPr>
          <w:rFonts w:ascii="Times New Roman" w:hAnsi="Times New Roman"/>
          <w:szCs w:val="24"/>
        </w:rPr>
        <w:t>on the agenda of the General Affairs Council on 12 November and 11 December 2018 and 13 February 2019. On 30 January 2019, the Commission presented the state of play to the European Parliament.</w:t>
      </w:r>
    </w:p>
    <w:p w:rsidR="006C6C77" w:rsidRPr="00722C2C" w:rsidRDefault="006C6C77" w:rsidP="006C6C77">
      <w:pPr>
        <w:widowControl w:val="0"/>
        <w:spacing w:after="120"/>
        <w:rPr>
          <w:rFonts w:ascii="Times New Roman" w:hAnsi="Times New Roman"/>
          <w:szCs w:val="24"/>
        </w:rPr>
      </w:pPr>
      <w:r w:rsidRPr="00251ED5">
        <w:rPr>
          <w:rFonts w:ascii="Times New Roman" w:hAnsi="Times New Roman"/>
          <w:szCs w:val="24"/>
        </w:rPr>
        <w:t xml:space="preserve">The Commission is also using infringement proceedings to address values-related violations of EU law by Member States. On 24 September 2018, the Commission decided to refer Poland to the Court of Justice for violations of the principle of judicial independence by the new law on the Supreme Court lowering the retirement age of judges. On 17 December 2018, the Court of Justice adopted a final order, which grants all the Commission’s request for interim measures until the Court has rendered a final judgment on the substance of the case. There is currently a series of ongoing </w:t>
      </w:r>
      <w:r w:rsidRPr="008B1D31">
        <w:rPr>
          <w:rFonts w:ascii="Times New Roman" w:hAnsi="Times New Roman"/>
          <w:szCs w:val="24"/>
        </w:rPr>
        <w:t xml:space="preserve">values-related </w:t>
      </w:r>
      <w:r w:rsidRPr="00251ED5">
        <w:rPr>
          <w:rFonts w:ascii="Times New Roman" w:hAnsi="Times New Roman"/>
          <w:szCs w:val="24"/>
        </w:rPr>
        <w:t xml:space="preserve">infringement procedures against Hungary. </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The Commission is using other instruments, including audits and investigations relating to the </w:t>
      </w:r>
      <w:r w:rsidRPr="00722C2C">
        <w:rPr>
          <w:rFonts w:ascii="Times New Roman" w:hAnsi="Times New Roman"/>
          <w:szCs w:val="24"/>
        </w:rPr>
        <w:lastRenderedPageBreak/>
        <w:t xml:space="preserve">use of EU funds, as well as measures through the European Semester to monitor justice reforms in </w:t>
      </w:r>
      <w:r>
        <w:rPr>
          <w:rFonts w:ascii="Times New Roman" w:hAnsi="Times New Roman"/>
          <w:szCs w:val="24"/>
        </w:rPr>
        <w:t xml:space="preserve">the </w:t>
      </w:r>
      <w:r w:rsidRPr="00722C2C">
        <w:rPr>
          <w:rFonts w:ascii="Times New Roman" w:hAnsi="Times New Roman"/>
          <w:szCs w:val="24"/>
        </w:rPr>
        <w:t xml:space="preserve">Member States. Overall, the EU is encouraging </w:t>
      </w:r>
      <w:r>
        <w:rPr>
          <w:rFonts w:ascii="Times New Roman" w:hAnsi="Times New Roman"/>
          <w:szCs w:val="24"/>
        </w:rPr>
        <w:t xml:space="preserve">the </w:t>
      </w:r>
      <w:r w:rsidRPr="00722C2C">
        <w:rPr>
          <w:rFonts w:ascii="Times New Roman" w:hAnsi="Times New Roman"/>
          <w:szCs w:val="24"/>
        </w:rPr>
        <w:t xml:space="preserve">Member States to improve the independence, quality and efficiency of their justice system and is monitoring justice reforms. </w:t>
      </w:r>
      <w:r w:rsidRPr="003E3DC4">
        <w:rPr>
          <w:rFonts w:ascii="Times New Roman" w:hAnsi="Times New Roman"/>
          <w:szCs w:val="24"/>
        </w:rPr>
        <w:t xml:space="preserve">In the context of the European Semester, the Commission is currently assessing the </w:t>
      </w:r>
      <w:r>
        <w:rPr>
          <w:rFonts w:ascii="Times New Roman" w:hAnsi="Times New Roman"/>
          <w:szCs w:val="24"/>
        </w:rPr>
        <w:t xml:space="preserve">laws establishing a </w:t>
      </w:r>
      <w:r w:rsidRPr="003E3DC4">
        <w:rPr>
          <w:rFonts w:ascii="Times New Roman" w:hAnsi="Times New Roman"/>
          <w:szCs w:val="24"/>
        </w:rPr>
        <w:t xml:space="preserve">new </w:t>
      </w:r>
      <w:r>
        <w:rPr>
          <w:rFonts w:ascii="Times New Roman" w:hAnsi="Times New Roman"/>
          <w:szCs w:val="24"/>
        </w:rPr>
        <w:t>administrative courts system in Hungary</w:t>
      </w:r>
      <w:r w:rsidRPr="003E3DC4">
        <w:rPr>
          <w:rFonts w:ascii="Times New Roman" w:hAnsi="Times New Roman"/>
          <w:szCs w:val="24"/>
        </w:rPr>
        <w:t xml:space="preserve"> </w:t>
      </w:r>
      <w:r>
        <w:rPr>
          <w:rFonts w:ascii="Times New Roman" w:hAnsi="Times New Roman"/>
          <w:szCs w:val="24"/>
        </w:rPr>
        <w:t>as regards</w:t>
      </w:r>
      <w:r w:rsidRPr="003E3DC4">
        <w:rPr>
          <w:rFonts w:ascii="Times New Roman" w:hAnsi="Times New Roman"/>
          <w:szCs w:val="24"/>
        </w:rPr>
        <w:t xml:space="preserve"> their compatibility with EU law and European standards</w:t>
      </w:r>
      <w:r>
        <w:rPr>
          <w:rFonts w:ascii="Times New Roman" w:hAnsi="Times New Roman"/>
          <w:szCs w:val="24"/>
        </w:rPr>
        <w:t xml:space="preserve"> on </w:t>
      </w:r>
      <w:r w:rsidRPr="004927F3">
        <w:rPr>
          <w:rFonts w:ascii="Times New Roman" w:hAnsi="Times New Roman"/>
          <w:szCs w:val="24"/>
        </w:rPr>
        <w:t>judicial</w:t>
      </w:r>
      <w:r>
        <w:rPr>
          <w:rFonts w:ascii="Times New Roman" w:hAnsi="Times New Roman"/>
          <w:szCs w:val="24"/>
        </w:rPr>
        <w:t xml:space="preserve"> </w:t>
      </w:r>
      <w:r w:rsidRPr="004927F3">
        <w:rPr>
          <w:rFonts w:ascii="Times New Roman" w:hAnsi="Times New Roman"/>
          <w:szCs w:val="24"/>
        </w:rPr>
        <w:t>independence</w:t>
      </w:r>
      <w:r w:rsidRPr="003E3DC4">
        <w:rPr>
          <w:rFonts w:ascii="Times New Roman" w:hAnsi="Times New Roman"/>
          <w:szCs w:val="24"/>
        </w:rPr>
        <w:t>.</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On 13 November 2018, the Commission adopted its latest report on progress under the Cooperation and Verification Mechanism (CVM) for Romania. </w:t>
      </w:r>
      <w:r>
        <w:rPr>
          <w:rFonts w:ascii="Times New Roman" w:hAnsi="Times New Roman"/>
          <w:szCs w:val="24"/>
        </w:rPr>
        <w:t>The Commission</w:t>
      </w:r>
      <w:r w:rsidRPr="00722C2C">
        <w:rPr>
          <w:rFonts w:ascii="Times New Roman" w:hAnsi="Times New Roman"/>
          <w:szCs w:val="24"/>
        </w:rPr>
        <w:t xml:space="preserve"> also took note of the </w:t>
      </w:r>
      <w:r>
        <w:rPr>
          <w:rFonts w:ascii="Times New Roman" w:hAnsi="Times New Roman"/>
          <w:szCs w:val="24"/>
        </w:rPr>
        <w:t>r</w:t>
      </w:r>
      <w:r w:rsidRPr="00722C2C">
        <w:rPr>
          <w:rFonts w:ascii="Times New Roman" w:hAnsi="Times New Roman"/>
          <w:szCs w:val="24"/>
        </w:rPr>
        <w:t>esolution of the European Parliament of the same day.</w:t>
      </w:r>
      <w:r>
        <w:rPr>
          <w:rFonts w:ascii="Times New Roman" w:hAnsi="Times New Roman"/>
          <w:szCs w:val="24"/>
        </w:rPr>
        <w:t xml:space="preserve"> The resolution states that</w:t>
      </w:r>
      <w:r w:rsidRPr="00722C2C">
        <w:rPr>
          <w:rFonts w:ascii="Times New Roman" w:hAnsi="Times New Roman"/>
          <w:szCs w:val="24"/>
        </w:rPr>
        <w:t xml:space="preserve"> </w:t>
      </w:r>
      <w:r>
        <w:rPr>
          <w:rFonts w:ascii="Times New Roman" w:hAnsi="Times New Roman"/>
          <w:szCs w:val="24"/>
        </w:rPr>
        <w:t>w</w:t>
      </w:r>
      <w:r w:rsidRPr="00722C2C">
        <w:rPr>
          <w:rFonts w:ascii="Times New Roman" w:hAnsi="Times New Roman"/>
          <w:szCs w:val="24"/>
        </w:rPr>
        <w:t xml:space="preserve">hile some steps </w:t>
      </w:r>
      <w:proofErr w:type="gramStart"/>
      <w:r w:rsidRPr="00722C2C">
        <w:rPr>
          <w:rFonts w:ascii="Times New Roman" w:hAnsi="Times New Roman"/>
          <w:szCs w:val="24"/>
        </w:rPr>
        <w:t>have been taken</w:t>
      </w:r>
      <w:proofErr w:type="gramEnd"/>
      <w:r w:rsidRPr="00722C2C">
        <w:rPr>
          <w:rFonts w:ascii="Times New Roman" w:hAnsi="Times New Roman"/>
          <w:szCs w:val="24"/>
        </w:rPr>
        <w:t xml:space="preserve"> to implement the final recommendations from the January 2017 report, the developments over the past 12 months have put into question and reversed the progress made over the past 10 years. The Commission has therefore set out eight additional recommendations for immediate follow up, referring in particular to the justice laws, the pressure on judicial independence and on the criminal codes. </w:t>
      </w:r>
      <w:r w:rsidRPr="00DC10AB">
        <w:rPr>
          <w:rFonts w:ascii="Times New Roman" w:hAnsi="Times New Roman"/>
          <w:szCs w:val="24"/>
        </w:rPr>
        <w:t xml:space="preserve">The Commission </w:t>
      </w:r>
      <w:r>
        <w:rPr>
          <w:rFonts w:ascii="Times New Roman" w:hAnsi="Times New Roman"/>
          <w:szCs w:val="24"/>
        </w:rPr>
        <w:t xml:space="preserve">is </w:t>
      </w:r>
      <w:r w:rsidRPr="00DC10AB">
        <w:rPr>
          <w:rFonts w:ascii="Times New Roman" w:hAnsi="Times New Roman"/>
          <w:szCs w:val="24"/>
        </w:rPr>
        <w:t>of course continu</w:t>
      </w:r>
      <w:r>
        <w:rPr>
          <w:rFonts w:ascii="Times New Roman" w:hAnsi="Times New Roman"/>
          <w:szCs w:val="24"/>
        </w:rPr>
        <w:t>ing</w:t>
      </w:r>
      <w:r w:rsidRPr="00DC10AB">
        <w:rPr>
          <w:rFonts w:ascii="Times New Roman" w:hAnsi="Times New Roman"/>
          <w:szCs w:val="24"/>
        </w:rPr>
        <w:t xml:space="preserve"> to follow closely the developments in Romania and </w:t>
      </w:r>
      <w:r>
        <w:rPr>
          <w:rFonts w:ascii="Times New Roman" w:hAnsi="Times New Roman"/>
          <w:szCs w:val="24"/>
        </w:rPr>
        <w:t>is assessing</w:t>
      </w:r>
      <w:r w:rsidRPr="00DC10AB">
        <w:rPr>
          <w:rFonts w:ascii="Times New Roman" w:hAnsi="Times New Roman"/>
          <w:szCs w:val="24"/>
        </w:rPr>
        <w:t xml:space="preserve"> progress again still under this Commission’s mandate.</w:t>
      </w:r>
    </w:p>
    <w:p w:rsidR="006C6C77" w:rsidRPr="00722C2C" w:rsidRDefault="006C6C77" w:rsidP="006C6C77">
      <w:pPr>
        <w:widowControl w:val="0"/>
        <w:spacing w:after="120"/>
        <w:rPr>
          <w:rFonts w:ascii="Times New Roman" w:hAnsi="Times New Roman"/>
          <w:szCs w:val="24"/>
          <w:lang w:val="en-US"/>
        </w:rPr>
      </w:pPr>
      <w:r w:rsidRPr="00722C2C">
        <w:rPr>
          <w:rFonts w:ascii="Times New Roman" w:hAnsi="Times New Roman"/>
          <w:szCs w:val="24"/>
          <w:lang w:val="en-US"/>
        </w:rPr>
        <w:t xml:space="preserve">The 2014 EU Anti-Corruption Report provided a useful overview of the situation of corruption in each Member State: measures in place, outstanding issues, policies that are working and areas that </w:t>
      </w:r>
      <w:proofErr w:type="gramStart"/>
      <w:r w:rsidRPr="00722C2C">
        <w:rPr>
          <w:rFonts w:ascii="Times New Roman" w:hAnsi="Times New Roman"/>
          <w:szCs w:val="24"/>
          <w:lang w:val="en-US"/>
        </w:rPr>
        <w:t>could be improved</w:t>
      </w:r>
      <w:proofErr w:type="gramEnd"/>
      <w:r w:rsidRPr="00722C2C">
        <w:rPr>
          <w:rFonts w:ascii="Times New Roman" w:hAnsi="Times New Roman"/>
          <w:szCs w:val="24"/>
          <w:lang w:val="en-US"/>
        </w:rPr>
        <w:t xml:space="preserve">. The report showed that the nature and scope of corruption varies from one Member State to another and that the effectiveness of anti-corruption policies is quite different. It also showed that corruption deserved attention in all EU Member States. In the past years, the Commission has increasingly </w:t>
      </w:r>
      <w:proofErr w:type="spellStart"/>
      <w:r w:rsidRPr="00722C2C">
        <w:rPr>
          <w:rFonts w:ascii="Times New Roman" w:hAnsi="Times New Roman"/>
          <w:szCs w:val="24"/>
          <w:lang w:val="en-US"/>
        </w:rPr>
        <w:t>prioritised</w:t>
      </w:r>
      <w:proofErr w:type="spellEnd"/>
      <w:r w:rsidRPr="00722C2C">
        <w:rPr>
          <w:rFonts w:ascii="Times New Roman" w:hAnsi="Times New Roman"/>
          <w:szCs w:val="24"/>
          <w:lang w:val="en-US"/>
        </w:rPr>
        <w:t xml:space="preserve"> integrity and anti-corruption also in the European Semester of economic governance</w:t>
      </w:r>
      <w:r>
        <w:rPr>
          <w:rFonts w:ascii="Times New Roman" w:hAnsi="Times New Roman"/>
          <w:szCs w:val="24"/>
          <w:lang w:val="en-US"/>
        </w:rPr>
        <w:t xml:space="preserve">, </w:t>
      </w:r>
      <w:r w:rsidRPr="007700B6">
        <w:rPr>
          <w:rFonts w:ascii="Times New Roman" w:hAnsi="Times New Roman"/>
        </w:rPr>
        <w:t>f</w:t>
      </w:r>
      <w:proofErr w:type="spellStart"/>
      <w:r w:rsidRPr="007700B6">
        <w:rPr>
          <w:rFonts w:ascii="Times New Roman" w:hAnsi="Times New Roman"/>
          <w:szCs w:val="24"/>
          <w:lang w:val="en-US"/>
        </w:rPr>
        <w:t>ocusing</w:t>
      </w:r>
      <w:proofErr w:type="spellEnd"/>
      <w:r w:rsidRPr="007700B6">
        <w:rPr>
          <w:rFonts w:ascii="Times New Roman" w:hAnsi="Times New Roman"/>
          <w:szCs w:val="24"/>
          <w:lang w:val="en-US"/>
        </w:rPr>
        <w:t xml:space="preserve"> on anti-corruption policies </w:t>
      </w:r>
      <w:r>
        <w:rPr>
          <w:rFonts w:ascii="Times New Roman" w:hAnsi="Times New Roman"/>
          <w:szCs w:val="24"/>
          <w:lang w:val="en-US"/>
        </w:rPr>
        <w:t xml:space="preserve">in the Member States </w:t>
      </w:r>
      <w:r w:rsidRPr="007700B6">
        <w:rPr>
          <w:rFonts w:ascii="Times New Roman" w:hAnsi="Times New Roman"/>
          <w:szCs w:val="24"/>
          <w:lang w:val="en-US"/>
        </w:rPr>
        <w:t xml:space="preserve">and </w:t>
      </w:r>
      <w:r>
        <w:rPr>
          <w:rFonts w:ascii="Times New Roman" w:hAnsi="Times New Roman"/>
          <w:szCs w:val="24"/>
          <w:lang w:val="en-US"/>
        </w:rPr>
        <w:t xml:space="preserve">their </w:t>
      </w:r>
      <w:r w:rsidRPr="007700B6">
        <w:rPr>
          <w:rFonts w:ascii="Times New Roman" w:hAnsi="Times New Roman"/>
          <w:szCs w:val="24"/>
          <w:lang w:val="en-US"/>
        </w:rPr>
        <w:t xml:space="preserve">efforts, including on effective investigation and prosecution of corruption. </w:t>
      </w:r>
      <w:r w:rsidRPr="00722C2C">
        <w:rPr>
          <w:rFonts w:ascii="Times New Roman" w:hAnsi="Times New Roman"/>
          <w:szCs w:val="24"/>
          <w:lang w:val="en-US"/>
        </w:rPr>
        <w:t>Corruption is still a key issue in a number of Member States, hampering investment, efficient resource allocation, economic performance and growth. The situation calls for continued, persistent and coherent action.</w:t>
      </w:r>
    </w:p>
    <w:p w:rsidR="006C6C77" w:rsidRPr="00722C2C" w:rsidRDefault="006C6C77" w:rsidP="006C6C77">
      <w:pPr>
        <w:widowControl w:val="0"/>
        <w:spacing w:after="120"/>
        <w:rPr>
          <w:rFonts w:ascii="Times New Roman" w:hAnsi="Times New Roman"/>
          <w:szCs w:val="24"/>
          <w:lang w:val="en-US"/>
        </w:rPr>
      </w:pPr>
      <w:proofErr w:type="gramStart"/>
      <w:r w:rsidRPr="00722C2C">
        <w:rPr>
          <w:rFonts w:ascii="Times New Roman" w:hAnsi="Times New Roman"/>
          <w:szCs w:val="24"/>
          <w:lang w:val="en-US"/>
        </w:rPr>
        <w:t>It is against this background, that</w:t>
      </w:r>
      <w:r>
        <w:rPr>
          <w:rFonts w:ascii="Times New Roman" w:hAnsi="Times New Roman"/>
          <w:szCs w:val="24"/>
          <w:lang w:val="en-US"/>
        </w:rPr>
        <w:t>,</w:t>
      </w:r>
      <w:r w:rsidRPr="00722C2C">
        <w:rPr>
          <w:rFonts w:ascii="Times New Roman" w:hAnsi="Times New Roman"/>
          <w:szCs w:val="24"/>
          <w:lang w:val="en-US"/>
        </w:rPr>
        <w:t xml:space="preserve"> in line with the general approach of this Commission to streamline processes and focus on key issues in the relevant fora, </w:t>
      </w:r>
      <w:r>
        <w:rPr>
          <w:rFonts w:ascii="Times New Roman" w:hAnsi="Times New Roman"/>
          <w:szCs w:val="24"/>
          <w:lang w:val="en-US"/>
        </w:rPr>
        <w:t>the Commission</w:t>
      </w:r>
      <w:r w:rsidRPr="00722C2C">
        <w:rPr>
          <w:rFonts w:ascii="Times New Roman" w:hAnsi="Times New Roman"/>
          <w:szCs w:val="24"/>
          <w:lang w:val="en-US"/>
        </w:rPr>
        <w:t xml:space="preserve"> considered that the European Semester, which is the main economic policy dialogue with Member States, is the most appropriate policy instrument for systematically engaging with the Member States in this area of major common interest.</w:t>
      </w:r>
      <w:proofErr w:type="gramEnd"/>
      <w:r w:rsidRPr="00722C2C">
        <w:rPr>
          <w:rFonts w:ascii="Times New Roman" w:hAnsi="Times New Roman"/>
          <w:szCs w:val="24"/>
          <w:lang w:val="en-US"/>
        </w:rPr>
        <w:t xml:space="preserve"> In </w:t>
      </w:r>
      <w:r>
        <w:rPr>
          <w:rFonts w:ascii="Times New Roman" w:hAnsi="Times New Roman"/>
          <w:szCs w:val="24"/>
          <w:lang w:val="en-US"/>
        </w:rPr>
        <w:t>February 2019</w:t>
      </w:r>
      <w:r w:rsidRPr="00722C2C">
        <w:rPr>
          <w:rFonts w:ascii="Times New Roman" w:hAnsi="Times New Roman"/>
          <w:szCs w:val="24"/>
          <w:lang w:val="en-US"/>
        </w:rPr>
        <w:t>, the issue of corruption was included in 1</w:t>
      </w:r>
      <w:r>
        <w:rPr>
          <w:rFonts w:ascii="Times New Roman" w:hAnsi="Times New Roman"/>
          <w:szCs w:val="24"/>
          <w:lang w:val="en-US"/>
        </w:rPr>
        <w:t>5</w:t>
      </w:r>
      <w:r w:rsidRPr="00722C2C">
        <w:rPr>
          <w:rFonts w:ascii="Times New Roman" w:hAnsi="Times New Roman"/>
          <w:szCs w:val="24"/>
          <w:lang w:val="en-US"/>
        </w:rPr>
        <w:t xml:space="preserve"> country reports (Bulgaria, Croatia, Czech Republic, Cyprus, </w:t>
      </w:r>
      <w:r>
        <w:rPr>
          <w:rFonts w:ascii="Times New Roman" w:hAnsi="Times New Roman"/>
          <w:szCs w:val="24"/>
          <w:lang w:val="en-US"/>
        </w:rPr>
        <w:t xml:space="preserve">Greece, </w:t>
      </w:r>
      <w:r w:rsidRPr="00722C2C">
        <w:rPr>
          <w:rFonts w:ascii="Times New Roman" w:hAnsi="Times New Roman"/>
          <w:szCs w:val="24"/>
          <w:lang w:val="en-US"/>
        </w:rPr>
        <w:t xml:space="preserve">Hungary, Italy, Latvia, Lithuania, Malta, Portugal, Romania, Slovakia, Slovenia, Spain). For several Member States, the Commission underlined the need to strengthen effective investigation and prosecution of corruption and enhance prevention. Other areas requiring improvements are whistle-blower protection, lobbying legislation, assets and interests disclosure and verifications, adequate resourcing for anti-corruption bodies, as well as transparency and public access to </w:t>
      </w:r>
      <w:proofErr w:type="gramStart"/>
      <w:r w:rsidRPr="00722C2C">
        <w:rPr>
          <w:rFonts w:ascii="Times New Roman" w:hAnsi="Times New Roman"/>
          <w:szCs w:val="24"/>
          <w:lang w:val="en-US"/>
        </w:rPr>
        <w:t>information.</w:t>
      </w:r>
      <w:proofErr w:type="gramEnd"/>
      <w:r w:rsidRPr="00722C2C">
        <w:rPr>
          <w:rFonts w:ascii="Times New Roman" w:hAnsi="Times New Roman"/>
          <w:szCs w:val="24"/>
          <w:lang w:val="en-US"/>
        </w:rPr>
        <w:t xml:space="preserve"> </w:t>
      </w:r>
      <w:r>
        <w:rPr>
          <w:rFonts w:ascii="Times New Roman" w:hAnsi="Times New Roman"/>
          <w:szCs w:val="24"/>
          <w:lang w:val="en-US"/>
        </w:rPr>
        <w:t>Among the</w:t>
      </w:r>
      <w:r w:rsidRPr="00722C2C">
        <w:rPr>
          <w:rFonts w:ascii="Times New Roman" w:hAnsi="Times New Roman"/>
          <w:szCs w:val="24"/>
          <w:lang w:val="en-US"/>
        </w:rPr>
        <w:t xml:space="preserve"> </w:t>
      </w:r>
      <w:r>
        <w:rPr>
          <w:rFonts w:ascii="Times New Roman" w:hAnsi="Times New Roman"/>
          <w:szCs w:val="24"/>
          <w:lang w:val="en-US"/>
        </w:rPr>
        <w:t xml:space="preserve">2018 </w:t>
      </w:r>
      <w:r w:rsidRPr="00722C2C">
        <w:rPr>
          <w:rFonts w:ascii="Times New Roman" w:hAnsi="Times New Roman"/>
          <w:szCs w:val="24"/>
          <w:lang w:val="en-US"/>
        </w:rPr>
        <w:t xml:space="preserve">Country Specific Recommendations published on 23 May, </w:t>
      </w:r>
      <w:r>
        <w:rPr>
          <w:rFonts w:ascii="Times New Roman" w:hAnsi="Times New Roman"/>
          <w:szCs w:val="24"/>
          <w:lang w:val="en-US"/>
        </w:rPr>
        <w:t>at the end of the previous European Semester cycle, r</w:t>
      </w:r>
      <w:r w:rsidRPr="00722C2C">
        <w:rPr>
          <w:rFonts w:ascii="Times New Roman" w:hAnsi="Times New Roman"/>
          <w:szCs w:val="24"/>
          <w:lang w:val="en-US"/>
        </w:rPr>
        <w:t xml:space="preserve">ecommendations focusing on these aspects </w:t>
      </w:r>
      <w:proofErr w:type="gramStart"/>
      <w:r w:rsidRPr="00722C2C">
        <w:rPr>
          <w:rFonts w:ascii="Times New Roman" w:hAnsi="Times New Roman"/>
          <w:szCs w:val="24"/>
          <w:lang w:val="en-US"/>
        </w:rPr>
        <w:t>were proposed</w:t>
      </w:r>
      <w:proofErr w:type="gramEnd"/>
      <w:r w:rsidRPr="00722C2C">
        <w:rPr>
          <w:rFonts w:ascii="Times New Roman" w:hAnsi="Times New Roman"/>
          <w:szCs w:val="24"/>
          <w:lang w:val="en-US"/>
        </w:rPr>
        <w:t xml:space="preserve"> for six countries (Czech Republic, Hungary, Italy, Latvia, Malta, and Slovakia).</w:t>
      </w:r>
    </w:p>
    <w:p w:rsidR="006C6C77" w:rsidRPr="007A1061" w:rsidRDefault="006C6C77" w:rsidP="006C6C77">
      <w:pPr>
        <w:spacing w:after="120"/>
        <w:rPr>
          <w:rFonts w:ascii="Times New Roman" w:hAnsi="Times New Roman"/>
          <w:szCs w:val="24"/>
        </w:rPr>
      </w:pPr>
      <w:r w:rsidRPr="00722C2C">
        <w:rPr>
          <w:rFonts w:ascii="Times New Roman" w:hAnsi="Times New Roman"/>
          <w:szCs w:val="24"/>
          <w:lang w:val="en-US"/>
        </w:rPr>
        <w:t xml:space="preserve">The Commission has set out its position on the EU participation in the </w:t>
      </w:r>
      <w:r>
        <w:rPr>
          <w:rFonts w:ascii="Times New Roman" w:hAnsi="Times New Roman"/>
          <w:szCs w:val="24"/>
          <w:lang w:val="en-US"/>
        </w:rPr>
        <w:t>Group of States against Corruption (</w:t>
      </w:r>
      <w:r w:rsidRPr="00722C2C">
        <w:rPr>
          <w:rFonts w:ascii="Times New Roman" w:hAnsi="Times New Roman"/>
          <w:szCs w:val="24"/>
          <w:lang w:val="en-US"/>
        </w:rPr>
        <w:t>GRECO</w:t>
      </w:r>
      <w:r>
        <w:rPr>
          <w:rFonts w:ascii="Times New Roman" w:hAnsi="Times New Roman"/>
          <w:szCs w:val="24"/>
          <w:lang w:val="en-US"/>
        </w:rPr>
        <w:t>)</w:t>
      </w:r>
      <w:r w:rsidRPr="00722C2C">
        <w:rPr>
          <w:rFonts w:ascii="Times New Roman" w:hAnsi="Times New Roman"/>
          <w:szCs w:val="24"/>
          <w:lang w:val="en-US"/>
        </w:rPr>
        <w:t xml:space="preserve"> </w:t>
      </w:r>
      <w:r>
        <w:rPr>
          <w:rFonts w:ascii="Times New Roman" w:hAnsi="Times New Roman"/>
          <w:szCs w:val="24"/>
          <w:lang w:val="en-US"/>
        </w:rPr>
        <w:t xml:space="preserve">under the auspices of the Council of Europe </w:t>
      </w:r>
      <w:r w:rsidRPr="00722C2C">
        <w:rPr>
          <w:rFonts w:ascii="Times New Roman" w:hAnsi="Times New Roman"/>
          <w:szCs w:val="24"/>
          <w:lang w:val="en-US"/>
        </w:rPr>
        <w:t>already in 2012.</w:t>
      </w:r>
      <w:r>
        <w:rPr>
          <w:rFonts w:ascii="Times New Roman" w:hAnsi="Times New Roman"/>
          <w:szCs w:val="24"/>
          <w:lang w:val="en-US"/>
        </w:rPr>
        <w:t xml:space="preserve"> At that time, a</w:t>
      </w:r>
      <w:r w:rsidRPr="00530DDC">
        <w:rPr>
          <w:rFonts w:ascii="Times New Roman" w:hAnsi="Times New Roman"/>
          <w:szCs w:val="24"/>
          <w:lang w:val="en-US"/>
        </w:rPr>
        <w:t xml:space="preserve">ccession </w:t>
      </w:r>
      <w:proofErr w:type="gramStart"/>
      <w:r w:rsidRPr="00530DDC">
        <w:rPr>
          <w:rFonts w:ascii="Times New Roman" w:hAnsi="Times New Roman"/>
          <w:szCs w:val="24"/>
          <w:lang w:val="en-US"/>
        </w:rPr>
        <w:t>was envisaged</w:t>
      </w:r>
      <w:proofErr w:type="gramEnd"/>
      <w:r w:rsidRPr="00530DDC">
        <w:rPr>
          <w:rFonts w:ascii="Times New Roman" w:hAnsi="Times New Roman"/>
          <w:szCs w:val="24"/>
          <w:lang w:val="en-US"/>
        </w:rPr>
        <w:t xml:space="preserve"> in a two-step approach: full participant status (i.e. participation in GRECO meetings but no voting rights and no obligation to be reviewed) in a first stage, followed by full membership in a second stage.</w:t>
      </w:r>
      <w:r w:rsidRPr="00722C2C">
        <w:rPr>
          <w:rFonts w:ascii="Times New Roman" w:hAnsi="Times New Roman"/>
          <w:szCs w:val="24"/>
          <w:lang w:val="en-US"/>
        </w:rPr>
        <w:t xml:space="preserve"> EU participation in GRECO </w:t>
      </w:r>
      <w:r>
        <w:rPr>
          <w:rFonts w:ascii="Times New Roman" w:hAnsi="Times New Roman"/>
          <w:szCs w:val="24"/>
          <w:lang w:val="en-US"/>
        </w:rPr>
        <w:t>has been</w:t>
      </w:r>
      <w:r w:rsidRPr="00722C2C">
        <w:rPr>
          <w:rFonts w:ascii="Times New Roman" w:hAnsi="Times New Roman"/>
          <w:szCs w:val="24"/>
          <w:lang w:val="en-US"/>
        </w:rPr>
        <w:t xml:space="preserve"> </w:t>
      </w:r>
      <w:r>
        <w:rPr>
          <w:rFonts w:ascii="Times New Roman" w:hAnsi="Times New Roman"/>
          <w:szCs w:val="24"/>
          <w:lang w:val="en-US"/>
        </w:rPr>
        <w:t xml:space="preserve">the </w:t>
      </w:r>
      <w:r w:rsidRPr="00722C2C">
        <w:rPr>
          <w:rFonts w:ascii="Times New Roman" w:hAnsi="Times New Roman"/>
          <w:szCs w:val="24"/>
          <w:lang w:val="en-US"/>
        </w:rPr>
        <w:t xml:space="preserve">subject of discussion among all EU </w:t>
      </w:r>
      <w:r>
        <w:rPr>
          <w:rFonts w:ascii="Times New Roman" w:hAnsi="Times New Roman"/>
          <w:szCs w:val="24"/>
          <w:lang w:val="en-US"/>
        </w:rPr>
        <w:t>i</w:t>
      </w:r>
      <w:r w:rsidRPr="00722C2C">
        <w:rPr>
          <w:rFonts w:ascii="Times New Roman" w:hAnsi="Times New Roman"/>
          <w:szCs w:val="24"/>
          <w:lang w:val="en-US"/>
        </w:rPr>
        <w:t>nstitutions, including on the legal basis</w:t>
      </w:r>
      <w:r>
        <w:rPr>
          <w:rFonts w:ascii="Times New Roman" w:hAnsi="Times New Roman"/>
          <w:szCs w:val="24"/>
          <w:lang w:val="en-US"/>
        </w:rPr>
        <w:t>.</w:t>
      </w:r>
      <w:r w:rsidRPr="00722C2C">
        <w:rPr>
          <w:rFonts w:ascii="Times New Roman" w:hAnsi="Times New Roman"/>
          <w:szCs w:val="24"/>
          <w:lang w:val="en-US"/>
        </w:rPr>
        <w:t xml:space="preserve"> </w:t>
      </w:r>
      <w:r w:rsidRPr="007A1061">
        <w:rPr>
          <w:rFonts w:ascii="Times New Roman" w:hAnsi="Times New Roman"/>
          <w:szCs w:val="24"/>
        </w:rPr>
        <w:t xml:space="preserve">The proposed legal basis was Article 220 TFEU on cooperation with international organisations. The </w:t>
      </w:r>
      <w:r w:rsidRPr="007A1061">
        <w:rPr>
          <w:rFonts w:ascii="Times New Roman" w:hAnsi="Times New Roman"/>
          <w:szCs w:val="24"/>
        </w:rPr>
        <w:lastRenderedPageBreak/>
        <w:t>Council rejected this proposal arguing that Article 218 TFEU, on the conclusion of agreements with international organisations would be the correct legal basis.</w:t>
      </w:r>
      <w:r w:rsidRPr="003676D6">
        <w:rPr>
          <w:rFonts w:ascii="Times New Roman" w:hAnsi="Times New Roman"/>
          <w:szCs w:val="24"/>
          <w:lang w:val="en-US"/>
        </w:rPr>
        <w:t xml:space="preserve"> Article 218 gives the Council a more prominent role in the accession process, whereas for Article 220 the involvement of the Council is more limited. </w:t>
      </w:r>
      <w:r w:rsidRPr="00722C2C">
        <w:rPr>
          <w:rFonts w:ascii="Times New Roman" w:hAnsi="Times New Roman"/>
          <w:szCs w:val="24"/>
          <w:lang w:val="en-US"/>
        </w:rPr>
        <w:t xml:space="preserve">Further work </w:t>
      </w:r>
      <w:r>
        <w:rPr>
          <w:rFonts w:ascii="Times New Roman" w:hAnsi="Times New Roman"/>
          <w:szCs w:val="24"/>
          <w:lang w:val="en-US"/>
        </w:rPr>
        <w:t>is</w:t>
      </w:r>
      <w:r w:rsidRPr="00722C2C">
        <w:rPr>
          <w:rFonts w:ascii="Times New Roman" w:hAnsi="Times New Roman"/>
          <w:szCs w:val="24"/>
          <w:lang w:val="en-US"/>
        </w:rPr>
        <w:t xml:space="preserve"> necessary for all EU </w:t>
      </w:r>
      <w:r>
        <w:rPr>
          <w:rFonts w:ascii="Times New Roman" w:hAnsi="Times New Roman"/>
          <w:szCs w:val="24"/>
          <w:lang w:val="en-US"/>
        </w:rPr>
        <w:t>i</w:t>
      </w:r>
      <w:r w:rsidRPr="00722C2C">
        <w:rPr>
          <w:rFonts w:ascii="Times New Roman" w:hAnsi="Times New Roman"/>
          <w:szCs w:val="24"/>
          <w:lang w:val="en-US"/>
        </w:rPr>
        <w:t xml:space="preserve">nstitutions to reach a common understanding on the matter. </w:t>
      </w:r>
      <w:r>
        <w:rPr>
          <w:rFonts w:ascii="Times New Roman" w:hAnsi="Times New Roman"/>
          <w:szCs w:val="24"/>
          <w:lang w:val="en-US"/>
        </w:rPr>
        <w:t>In the meantime, t</w:t>
      </w:r>
      <w:r w:rsidRPr="00722C2C">
        <w:rPr>
          <w:rFonts w:ascii="Times New Roman" w:hAnsi="Times New Roman"/>
          <w:szCs w:val="24"/>
          <w:lang w:val="en-US"/>
        </w:rPr>
        <w:t xml:space="preserve">he Commission agrees on the need to cooperate with GRECO on capacity building </w:t>
      </w:r>
      <w:r>
        <w:rPr>
          <w:rFonts w:ascii="Times New Roman" w:hAnsi="Times New Roman"/>
          <w:szCs w:val="24"/>
          <w:lang w:val="en-US"/>
        </w:rPr>
        <w:t xml:space="preserve">measures </w:t>
      </w:r>
      <w:r w:rsidRPr="00722C2C">
        <w:rPr>
          <w:rFonts w:ascii="Times New Roman" w:hAnsi="Times New Roman"/>
          <w:szCs w:val="24"/>
          <w:lang w:val="en-US"/>
        </w:rPr>
        <w:t xml:space="preserve">and </w:t>
      </w:r>
      <w:r w:rsidRPr="007A1061">
        <w:rPr>
          <w:rFonts w:ascii="Times New Roman" w:hAnsi="Times New Roman"/>
          <w:szCs w:val="24"/>
        </w:rPr>
        <w:t xml:space="preserve">implementation of standards in order to strengthen the fight against corruption. The Commission has cooperated informally with GRECO in the framework of the experience-sharing programme that the Commission is rolling out for Member States anti-corruption experts. Another possibility in the future would be to request an observer status. Currently the United Nations Office on Drugs and Crime (UNODC) and the Organisation for Economic Co-operation and Development (OECD) are also observers to GRECO, and this status </w:t>
      </w:r>
      <w:proofErr w:type="gramStart"/>
      <w:r w:rsidRPr="007A1061">
        <w:rPr>
          <w:rFonts w:ascii="Times New Roman" w:hAnsi="Times New Roman"/>
          <w:szCs w:val="24"/>
        </w:rPr>
        <w:t>is used</w:t>
      </w:r>
      <w:proofErr w:type="gramEnd"/>
      <w:r w:rsidRPr="007A1061">
        <w:rPr>
          <w:rFonts w:ascii="Times New Roman" w:hAnsi="Times New Roman"/>
          <w:szCs w:val="24"/>
        </w:rPr>
        <w:t xml:space="preserve"> by the three organisations to coordinate the peer-reviews under each monitoring mechanism.</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The withdrawal of the United Kingdom from the European Union continues to be a main concern of citizens. Safeguarding the status and rights derived from EU law at the date of withdrawal of EU citizens and UK nationals, and their families, was an essential objective of the negotiations with the United Kingdom. In November </w:t>
      </w:r>
      <w:proofErr w:type="gramStart"/>
      <w:r w:rsidRPr="00722C2C">
        <w:rPr>
          <w:rFonts w:ascii="Times New Roman" w:hAnsi="Times New Roman"/>
          <w:szCs w:val="24"/>
        </w:rPr>
        <w:t>2018</w:t>
      </w:r>
      <w:proofErr w:type="gramEnd"/>
      <w:r w:rsidRPr="00722C2C">
        <w:rPr>
          <w:rFonts w:ascii="Times New Roman" w:hAnsi="Times New Roman"/>
          <w:szCs w:val="24"/>
        </w:rPr>
        <w:t xml:space="preserve"> the EU and </w:t>
      </w:r>
      <w:r>
        <w:rPr>
          <w:rFonts w:ascii="Times New Roman" w:hAnsi="Times New Roman"/>
          <w:szCs w:val="24"/>
        </w:rPr>
        <w:t xml:space="preserve">the </w:t>
      </w:r>
      <w:r w:rsidRPr="00722C2C">
        <w:rPr>
          <w:rFonts w:ascii="Times New Roman" w:hAnsi="Times New Roman"/>
          <w:szCs w:val="24"/>
        </w:rPr>
        <w:t xml:space="preserve">United Kingdom reached agreement on a draft Withdrawal Agreement at negotiators’ level, which was then endorsed by the European Council (Article 50) on 25 November 2018. </w:t>
      </w:r>
      <w:proofErr w:type="gramStart"/>
      <w:r w:rsidRPr="00722C2C">
        <w:rPr>
          <w:rFonts w:ascii="Times New Roman" w:hAnsi="Times New Roman"/>
          <w:szCs w:val="24"/>
        </w:rPr>
        <w:t xml:space="preserve">The draft Withdrawal Agreement enshrines in legal form the understanding reached in the December 2017 </w:t>
      </w:r>
      <w:proofErr w:type="spellStart"/>
      <w:r w:rsidRPr="00722C2C">
        <w:rPr>
          <w:rFonts w:ascii="Times New Roman" w:hAnsi="Times New Roman"/>
          <w:szCs w:val="24"/>
        </w:rPr>
        <w:t>J</w:t>
      </w:r>
      <w:r>
        <w:rPr>
          <w:rFonts w:ascii="Times New Roman" w:hAnsi="Times New Roman"/>
          <w:szCs w:val="24"/>
        </w:rPr>
        <w:t>j</w:t>
      </w:r>
      <w:r w:rsidRPr="00722C2C">
        <w:rPr>
          <w:rFonts w:ascii="Times New Roman" w:hAnsi="Times New Roman"/>
          <w:szCs w:val="24"/>
        </w:rPr>
        <w:t>int</w:t>
      </w:r>
      <w:proofErr w:type="spellEnd"/>
      <w:r w:rsidRPr="00722C2C">
        <w:rPr>
          <w:rFonts w:ascii="Times New Roman" w:hAnsi="Times New Roman"/>
          <w:szCs w:val="24"/>
        </w:rPr>
        <w:t xml:space="preserve"> report that those EU and </w:t>
      </w:r>
      <w:r>
        <w:rPr>
          <w:rFonts w:ascii="Times New Roman" w:hAnsi="Times New Roman"/>
          <w:szCs w:val="24"/>
        </w:rPr>
        <w:t xml:space="preserve">the </w:t>
      </w:r>
      <w:r w:rsidRPr="00722C2C">
        <w:rPr>
          <w:rFonts w:ascii="Times New Roman" w:hAnsi="Times New Roman"/>
          <w:szCs w:val="24"/>
        </w:rPr>
        <w:t>United Kingdom citizens who have exercised their right to move and reside freely in accordance with EU law in the host State at the end of a defined transition period and continue to enjoy the plethora of free movement rights including, the right to equal treatment,</w:t>
      </w:r>
      <w:r>
        <w:rPr>
          <w:rFonts w:ascii="Times New Roman" w:hAnsi="Times New Roman"/>
          <w:szCs w:val="24"/>
        </w:rPr>
        <w:t xml:space="preserve"> </w:t>
      </w:r>
      <w:r w:rsidRPr="00722C2C">
        <w:rPr>
          <w:rFonts w:ascii="Times New Roman" w:hAnsi="Times New Roman"/>
          <w:szCs w:val="24"/>
        </w:rPr>
        <w:t>the right to work, study or run a business.</w:t>
      </w:r>
      <w:proofErr w:type="gramEnd"/>
      <w:r w:rsidRPr="00722C2C">
        <w:rPr>
          <w:rFonts w:ascii="Times New Roman" w:hAnsi="Times New Roman"/>
          <w:szCs w:val="24"/>
        </w:rPr>
        <w:t xml:space="preserve"> These rights also cover the family members of the EU and </w:t>
      </w:r>
      <w:r>
        <w:rPr>
          <w:rFonts w:ascii="Times New Roman" w:hAnsi="Times New Roman"/>
          <w:szCs w:val="24"/>
        </w:rPr>
        <w:t xml:space="preserve">the </w:t>
      </w:r>
      <w:r w:rsidRPr="00722C2C">
        <w:rPr>
          <w:rFonts w:ascii="Times New Roman" w:hAnsi="Times New Roman"/>
          <w:szCs w:val="24"/>
        </w:rPr>
        <w:t xml:space="preserve">United Kingdom citizens concerned. One important principle that the Agreement safeguards is that its concepts and rules will need to </w:t>
      </w:r>
      <w:proofErr w:type="gramStart"/>
      <w:r w:rsidRPr="00722C2C">
        <w:rPr>
          <w:rFonts w:ascii="Times New Roman" w:hAnsi="Times New Roman"/>
          <w:szCs w:val="24"/>
        </w:rPr>
        <w:t>be interpreted</w:t>
      </w:r>
      <w:proofErr w:type="gramEnd"/>
      <w:r w:rsidRPr="00722C2C">
        <w:rPr>
          <w:rFonts w:ascii="Times New Roman" w:hAnsi="Times New Roman"/>
          <w:szCs w:val="24"/>
        </w:rPr>
        <w:t xml:space="preserve"> using the methods and general principles of interpretation applicable in Union law. This covers, for instance, the obligation to interpret the concepts or provisions of Union law referred to in the Withdrawal Agreement in a manner consistent with the Charter of Fundamental Rights. This will be particularly important in the application of the citizens’ rights Part of the Agreement.</w:t>
      </w:r>
      <w:r>
        <w:rPr>
          <w:rFonts w:ascii="Times New Roman" w:hAnsi="Times New Roman"/>
          <w:szCs w:val="24"/>
        </w:rPr>
        <w:t xml:space="preserve"> </w:t>
      </w:r>
      <w:r w:rsidRPr="00722C2C">
        <w:rPr>
          <w:rFonts w:ascii="Times New Roman" w:hAnsi="Times New Roman"/>
          <w:szCs w:val="24"/>
        </w:rPr>
        <w:t xml:space="preserve">The Withdrawal Agreement still needs to </w:t>
      </w:r>
      <w:proofErr w:type="gramStart"/>
      <w:r w:rsidRPr="00722C2C">
        <w:rPr>
          <w:rFonts w:ascii="Times New Roman" w:hAnsi="Times New Roman"/>
          <w:szCs w:val="24"/>
        </w:rPr>
        <w:t>be formally approved</w:t>
      </w:r>
      <w:proofErr w:type="gramEnd"/>
      <w:r w:rsidRPr="00722C2C">
        <w:rPr>
          <w:rFonts w:ascii="Times New Roman" w:hAnsi="Times New Roman"/>
          <w:szCs w:val="24"/>
        </w:rPr>
        <w:t xml:space="preserve"> by both the EU and the United Kingdom, in accordance with their respective internal procedures before it can enter into force so that citizens and businesses can actually rely on it. The EU is taking every step in view of its </w:t>
      </w:r>
      <w:proofErr w:type="gramStart"/>
      <w:r w:rsidRPr="00722C2C">
        <w:rPr>
          <w:rFonts w:ascii="Times New Roman" w:hAnsi="Times New Roman"/>
          <w:szCs w:val="24"/>
        </w:rPr>
        <w:t>ratification,</w:t>
      </w:r>
      <w:proofErr w:type="gramEnd"/>
      <w:r w:rsidRPr="00722C2C">
        <w:rPr>
          <w:rFonts w:ascii="Times New Roman" w:hAnsi="Times New Roman"/>
          <w:szCs w:val="24"/>
        </w:rPr>
        <w:t xml:space="preserve"> however the ratification in the United Kingdom is uncertain.</w:t>
      </w:r>
    </w:p>
    <w:p w:rsidR="006C6C77" w:rsidRPr="00722C2C" w:rsidRDefault="006C6C77" w:rsidP="006C6C77">
      <w:pPr>
        <w:widowControl w:val="0"/>
        <w:spacing w:after="120"/>
        <w:rPr>
          <w:rFonts w:ascii="Times New Roman" w:hAnsi="Times New Roman"/>
          <w:b/>
          <w:szCs w:val="24"/>
        </w:rPr>
      </w:pPr>
      <w:r w:rsidRPr="00722C2C">
        <w:rPr>
          <w:rFonts w:ascii="Times New Roman" w:hAnsi="Times New Roman"/>
          <w:b/>
          <w:szCs w:val="24"/>
        </w:rPr>
        <w:t xml:space="preserve">On migration </w:t>
      </w:r>
    </w:p>
    <w:p w:rsidR="006C6C77" w:rsidRPr="00722C2C" w:rsidRDefault="006C6C77" w:rsidP="006C6C77">
      <w:pPr>
        <w:widowControl w:val="0"/>
        <w:spacing w:after="120"/>
        <w:rPr>
          <w:rFonts w:ascii="Times New Roman" w:hAnsi="Times New Roman"/>
          <w:szCs w:val="24"/>
        </w:rPr>
      </w:pPr>
      <w:r w:rsidRPr="00B04673">
        <w:rPr>
          <w:rFonts w:ascii="Times New Roman" w:hAnsi="Times New Roman"/>
          <w:szCs w:val="24"/>
        </w:rPr>
        <w:t xml:space="preserve">The EU legal framework concerning migrant smuggling is in place since 2002. </w:t>
      </w:r>
      <w:proofErr w:type="gramStart"/>
      <w:r w:rsidRPr="00B04673">
        <w:rPr>
          <w:rFonts w:ascii="Times New Roman" w:hAnsi="Times New Roman"/>
          <w:szCs w:val="24"/>
        </w:rPr>
        <w:t xml:space="preserve">It consists of the ‘Facilitators package’ (Directive 2002/90/EC and Framework Decision 2002/946/JHA) that requires </w:t>
      </w:r>
      <w:r>
        <w:rPr>
          <w:rFonts w:ascii="Times New Roman" w:hAnsi="Times New Roman"/>
          <w:szCs w:val="24"/>
        </w:rPr>
        <w:t xml:space="preserve">the </w:t>
      </w:r>
      <w:r w:rsidRPr="00B04673">
        <w:rPr>
          <w:rFonts w:ascii="Times New Roman" w:hAnsi="Times New Roman"/>
          <w:szCs w:val="24"/>
        </w:rPr>
        <w:t>Member States to adopt appropriate sanctions on anyone who intentionally assists another person who is not a national of a Member State to enter or transit or, for financial gain, to reside in the territory of a Member State in breach of its national law.</w:t>
      </w:r>
      <w:proofErr w:type="gramEnd"/>
      <w:r>
        <w:rPr>
          <w:rFonts w:ascii="Times New Roman" w:hAnsi="Times New Roman"/>
          <w:szCs w:val="24"/>
        </w:rPr>
        <w:t xml:space="preserve"> </w:t>
      </w:r>
      <w:r w:rsidRPr="00722C2C">
        <w:rPr>
          <w:rFonts w:ascii="Times New Roman" w:hAnsi="Times New Roman"/>
          <w:szCs w:val="24"/>
        </w:rPr>
        <w:t>Member States can decide not to apply sanctions when such facilitation</w:t>
      </w:r>
      <w:r>
        <w:rPr>
          <w:rFonts w:ascii="Times New Roman" w:hAnsi="Times New Roman"/>
          <w:szCs w:val="24"/>
        </w:rPr>
        <w:t xml:space="preserve"> to enter or transit</w:t>
      </w:r>
      <w:r w:rsidRPr="00722C2C">
        <w:rPr>
          <w:rFonts w:ascii="Times New Roman" w:hAnsi="Times New Roman"/>
          <w:szCs w:val="24"/>
        </w:rPr>
        <w:t xml:space="preserve"> is conducted for humanitarian reasons</w:t>
      </w:r>
      <w:r>
        <w:rPr>
          <w:rFonts w:ascii="Times New Roman" w:hAnsi="Times New Roman"/>
          <w:szCs w:val="24"/>
        </w:rPr>
        <w:t xml:space="preserve"> and a </w:t>
      </w:r>
      <w:r w:rsidRPr="00722C2C">
        <w:rPr>
          <w:rFonts w:ascii="Times New Roman" w:hAnsi="Times New Roman"/>
          <w:szCs w:val="24"/>
        </w:rPr>
        <w:t>number of Member States (BE, EL, ES, FI, IT, MT, UK, HR and IT)</w:t>
      </w:r>
      <w:r>
        <w:rPr>
          <w:rFonts w:ascii="Times New Roman" w:hAnsi="Times New Roman"/>
          <w:szCs w:val="24"/>
        </w:rPr>
        <w:t xml:space="preserve"> have included certain </w:t>
      </w:r>
      <w:r w:rsidRPr="00722C2C">
        <w:rPr>
          <w:rFonts w:ascii="Times New Roman" w:hAnsi="Times New Roman"/>
          <w:szCs w:val="24"/>
        </w:rPr>
        <w:t>typ</w:t>
      </w:r>
      <w:r>
        <w:rPr>
          <w:rFonts w:ascii="Times New Roman" w:hAnsi="Times New Roman"/>
          <w:szCs w:val="24"/>
        </w:rPr>
        <w:t>es of exemption in national law.</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The Commission has repeatedly </w:t>
      </w:r>
      <w:r>
        <w:rPr>
          <w:rFonts w:ascii="Times New Roman" w:hAnsi="Times New Roman"/>
          <w:szCs w:val="24"/>
        </w:rPr>
        <w:t xml:space="preserve">underlined </w:t>
      </w:r>
      <w:r w:rsidRPr="00722C2C">
        <w:rPr>
          <w:rFonts w:ascii="Times New Roman" w:hAnsi="Times New Roman"/>
          <w:szCs w:val="24"/>
        </w:rPr>
        <w:t xml:space="preserve">that criminalisation of genuine humanitarian assistance should be avoided. </w:t>
      </w:r>
      <w:r>
        <w:rPr>
          <w:rFonts w:ascii="Times New Roman" w:hAnsi="Times New Roman"/>
          <w:szCs w:val="24"/>
        </w:rPr>
        <w:t xml:space="preserve">The 2017 evaluation of </w:t>
      </w:r>
      <w:r w:rsidRPr="00722C2C">
        <w:rPr>
          <w:rFonts w:ascii="Times New Roman" w:hAnsi="Times New Roman"/>
          <w:szCs w:val="24"/>
        </w:rPr>
        <w:t>the EU legal framework against facilitation of unauthorised entry, transit and residence,</w:t>
      </w:r>
      <w:r>
        <w:rPr>
          <w:rFonts w:ascii="Times New Roman" w:hAnsi="Times New Roman"/>
          <w:szCs w:val="24"/>
        </w:rPr>
        <w:t xml:space="preserve"> did not</w:t>
      </w:r>
      <w:r w:rsidRPr="00722C2C">
        <w:rPr>
          <w:rFonts w:ascii="Times New Roman" w:hAnsi="Times New Roman"/>
          <w:szCs w:val="24"/>
        </w:rPr>
        <w:t xml:space="preserve"> </w:t>
      </w:r>
      <w:r>
        <w:rPr>
          <w:rFonts w:ascii="Times New Roman" w:hAnsi="Times New Roman"/>
          <w:szCs w:val="24"/>
        </w:rPr>
        <w:t xml:space="preserve">provide </w:t>
      </w:r>
      <w:r w:rsidRPr="00722C2C">
        <w:rPr>
          <w:rFonts w:ascii="Times New Roman" w:hAnsi="Times New Roman"/>
          <w:szCs w:val="24"/>
        </w:rPr>
        <w:t xml:space="preserve">solid evidence </w:t>
      </w:r>
      <w:r>
        <w:rPr>
          <w:rFonts w:ascii="Times New Roman" w:hAnsi="Times New Roman"/>
          <w:szCs w:val="24"/>
        </w:rPr>
        <w:t xml:space="preserve">to </w:t>
      </w:r>
      <w:r w:rsidRPr="00722C2C">
        <w:rPr>
          <w:rFonts w:ascii="Times New Roman" w:hAnsi="Times New Roman"/>
          <w:szCs w:val="24"/>
        </w:rPr>
        <w:t>support</w:t>
      </w:r>
      <w:r>
        <w:rPr>
          <w:rFonts w:ascii="Times New Roman" w:hAnsi="Times New Roman"/>
          <w:szCs w:val="24"/>
        </w:rPr>
        <w:t xml:space="preserve"> </w:t>
      </w:r>
      <w:r w:rsidRPr="00722C2C">
        <w:rPr>
          <w:rFonts w:ascii="Times New Roman" w:hAnsi="Times New Roman"/>
          <w:szCs w:val="24"/>
        </w:rPr>
        <w:t>the need for a legislative review</w:t>
      </w:r>
      <w:r>
        <w:rPr>
          <w:rFonts w:ascii="Times New Roman" w:hAnsi="Times New Roman"/>
          <w:szCs w:val="24"/>
        </w:rPr>
        <w:t xml:space="preserve">; the review however </w:t>
      </w:r>
      <w:r w:rsidRPr="00722C2C">
        <w:rPr>
          <w:rFonts w:ascii="Times New Roman" w:hAnsi="Times New Roman"/>
          <w:szCs w:val="24"/>
        </w:rPr>
        <w:t>identified possible improvements, in particular as regards the clarity of the</w:t>
      </w:r>
      <w:r>
        <w:rPr>
          <w:rFonts w:ascii="Times New Roman" w:hAnsi="Times New Roman"/>
          <w:szCs w:val="24"/>
        </w:rPr>
        <w:t xml:space="preserve"> humanitarian exemption clause.</w:t>
      </w:r>
    </w:p>
    <w:p w:rsidR="006C6C77" w:rsidRPr="00722C2C" w:rsidRDefault="006C6C77" w:rsidP="006C6C77">
      <w:pPr>
        <w:widowControl w:val="0"/>
        <w:spacing w:after="120"/>
        <w:rPr>
          <w:rFonts w:ascii="Times New Roman" w:hAnsi="Times New Roman"/>
          <w:szCs w:val="24"/>
        </w:rPr>
      </w:pPr>
      <w:r>
        <w:rPr>
          <w:rFonts w:ascii="Times New Roman" w:hAnsi="Times New Roman"/>
          <w:szCs w:val="24"/>
        </w:rPr>
        <w:lastRenderedPageBreak/>
        <w:t>Against this background</w:t>
      </w:r>
      <w:r w:rsidRPr="00722C2C">
        <w:rPr>
          <w:rFonts w:ascii="Times New Roman" w:hAnsi="Times New Roman"/>
          <w:szCs w:val="24"/>
        </w:rPr>
        <w:t>, the Commission has</w:t>
      </w:r>
      <w:r>
        <w:rPr>
          <w:rFonts w:ascii="Times New Roman" w:hAnsi="Times New Roman"/>
          <w:szCs w:val="24"/>
        </w:rPr>
        <w:t xml:space="preserve"> </w:t>
      </w:r>
      <w:r w:rsidRPr="00722C2C">
        <w:rPr>
          <w:rFonts w:ascii="Times New Roman" w:hAnsi="Times New Roman"/>
          <w:szCs w:val="24"/>
        </w:rPr>
        <w:t xml:space="preserve">expressed its readiness to further support information sharing for an improved implementation of the Facilitators Package, including through a dialogue with civil society. The Commission is now actively engaging with civil society on this particular aspect. </w:t>
      </w:r>
      <w:r>
        <w:rPr>
          <w:rFonts w:ascii="Times New Roman" w:hAnsi="Times New Roman"/>
          <w:szCs w:val="24"/>
        </w:rPr>
        <w:t>T</w:t>
      </w:r>
      <w:r w:rsidRPr="00722C2C">
        <w:rPr>
          <w:rFonts w:ascii="Times New Roman" w:hAnsi="Times New Roman"/>
          <w:szCs w:val="24"/>
        </w:rPr>
        <w:t xml:space="preserve">he exemption of criminalisation of humanitarian assistance to migrants in the framework of migrant smuggling </w:t>
      </w:r>
      <w:proofErr w:type="gramStart"/>
      <w:r w:rsidRPr="00722C2C">
        <w:rPr>
          <w:rFonts w:ascii="Times New Roman" w:hAnsi="Times New Roman"/>
          <w:szCs w:val="24"/>
        </w:rPr>
        <w:t>was discussed</w:t>
      </w:r>
      <w:proofErr w:type="gramEnd"/>
      <w:r>
        <w:rPr>
          <w:rFonts w:ascii="Times New Roman" w:hAnsi="Times New Roman"/>
          <w:szCs w:val="24"/>
        </w:rPr>
        <w:t xml:space="preserve"> in a </w:t>
      </w:r>
      <w:r w:rsidRPr="00722C2C">
        <w:rPr>
          <w:rFonts w:ascii="Times New Roman" w:hAnsi="Times New Roman"/>
          <w:szCs w:val="24"/>
        </w:rPr>
        <w:t>dedicated meeting with civil society representatives and the Fundamental Rights Agency</w:t>
      </w:r>
      <w:r>
        <w:rPr>
          <w:rFonts w:ascii="Times New Roman" w:hAnsi="Times New Roman"/>
          <w:szCs w:val="24"/>
        </w:rPr>
        <w:t xml:space="preserve"> </w:t>
      </w:r>
      <w:r w:rsidRPr="00722C2C">
        <w:rPr>
          <w:rFonts w:ascii="Times New Roman" w:hAnsi="Times New Roman"/>
          <w:szCs w:val="24"/>
        </w:rPr>
        <w:t>on 3 May 2018</w:t>
      </w:r>
      <w:r>
        <w:rPr>
          <w:rFonts w:ascii="Times New Roman" w:hAnsi="Times New Roman"/>
          <w:szCs w:val="24"/>
        </w:rPr>
        <w:t>,</w:t>
      </w:r>
      <w:r w:rsidRPr="00722C2C">
        <w:rPr>
          <w:rFonts w:ascii="Times New Roman" w:hAnsi="Times New Roman"/>
          <w:szCs w:val="24"/>
        </w:rPr>
        <w:t xml:space="preserve"> in Brussels</w:t>
      </w:r>
      <w:r>
        <w:rPr>
          <w:rFonts w:ascii="Times New Roman" w:hAnsi="Times New Roman"/>
          <w:szCs w:val="24"/>
        </w:rPr>
        <w:t xml:space="preserve">. This </w:t>
      </w:r>
      <w:r w:rsidRPr="00722C2C">
        <w:rPr>
          <w:rFonts w:ascii="Times New Roman" w:hAnsi="Times New Roman"/>
          <w:szCs w:val="24"/>
        </w:rPr>
        <w:t xml:space="preserve">dialogue </w:t>
      </w:r>
      <w:r>
        <w:rPr>
          <w:rFonts w:ascii="Times New Roman" w:hAnsi="Times New Roman"/>
          <w:szCs w:val="24"/>
        </w:rPr>
        <w:t>continues</w:t>
      </w:r>
      <w:r w:rsidRPr="00722C2C">
        <w:rPr>
          <w:rFonts w:ascii="Times New Roman" w:hAnsi="Times New Roman"/>
          <w:szCs w:val="24"/>
        </w:rPr>
        <w:t>. Th</w:t>
      </w:r>
      <w:r>
        <w:rPr>
          <w:rFonts w:ascii="Times New Roman" w:hAnsi="Times New Roman"/>
          <w:szCs w:val="24"/>
        </w:rPr>
        <w:t>is i</w:t>
      </w:r>
      <w:r w:rsidRPr="00722C2C">
        <w:rPr>
          <w:rFonts w:ascii="Times New Roman" w:hAnsi="Times New Roman"/>
          <w:szCs w:val="24"/>
        </w:rPr>
        <w:t xml:space="preserve">ssue </w:t>
      </w:r>
      <w:proofErr w:type="gramStart"/>
      <w:r>
        <w:rPr>
          <w:rFonts w:ascii="Times New Roman" w:hAnsi="Times New Roman"/>
          <w:szCs w:val="24"/>
        </w:rPr>
        <w:t xml:space="preserve">was </w:t>
      </w:r>
      <w:r w:rsidRPr="00722C2C">
        <w:rPr>
          <w:rFonts w:ascii="Times New Roman" w:hAnsi="Times New Roman"/>
          <w:szCs w:val="24"/>
        </w:rPr>
        <w:t>also discussed</w:t>
      </w:r>
      <w:proofErr w:type="gramEnd"/>
      <w:r w:rsidRPr="00722C2C">
        <w:rPr>
          <w:rFonts w:ascii="Times New Roman" w:hAnsi="Times New Roman"/>
          <w:szCs w:val="24"/>
        </w:rPr>
        <w:t xml:space="preserve"> with specialised prosecutors during the last </w:t>
      </w:r>
      <w:proofErr w:type="spellStart"/>
      <w:r w:rsidRPr="00722C2C">
        <w:rPr>
          <w:rFonts w:ascii="Times New Roman" w:hAnsi="Times New Roman"/>
          <w:szCs w:val="24"/>
        </w:rPr>
        <w:t>Eurojust</w:t>
      </w:r>
      <w:proofErr w:type="spellEnd"/>
      <w:r w:rsidRPr="00722C2C">
        <w:rPr>
          <w:rFonts w:ascii="Times New Roman" w:hAnsi="Times New Roman"/>
          <w:szCs w:val="24"/>
        </w:rPr>
        <w:t xml:space="preserve"> meeting on migrant smuggling on 30-31 May 2018.</w:t>
      </w:r>
    </w:p>
    <w:p w:rsidR="006C6C77" w:rsidRPr="00722C2C" w:rsidRDefault="006C6C77" w:rsidP="006C6C77">
      <w:pPr>
        <w:widowControl w:val="0"/>
        <w:spacing w:after="120"/>
        <w:rPr>
          <w:rFonts w:ascii="Times New Roman" w:hAnsi="Times New Roman"/>
          <w:szCs w:val="24"/>
        </w:rPr>
      </w:pPr>
      <w:r>
        <w:rPr>
          <w:rFonts w:ascii="Times New Roman" w:hAnsi="Times New Roman"/>
          <w:szCs w:val="24"/>
        </w:rPr>
        <w:t xml:space="preserve">The Commission recalls that the coordination of </w:t>
      </w:r>
      <w:r w:rsidRPr="00722C2C">
        <w:rPr>
          <w:rFonts w:ascii="Times New Roman" w:hAnsi="Times New Roman"/>
          <w:szCs w:val="24"/>
        </w:rPr>
        <w:t xml:space="preserve">Search and Rescue </w:t>
      </w:r>
      <w:r>
        <w:rPr>
          <w:rFonts w:ascii="Times New Roman" w:hAnsi="Times New Roman"/>
          <w:szCs w:val="24"/>
        </w:rPr>
        <w:t xml:space="preserve">(SAR) </w:t>
      </w:r>
      <w:r w:rsidRPr="00722C2C">
        <w:rPr>
          <w:rFonts w:ascii="Times New Roman" w:hAnsi="Times New Roman"/>
          <w:szCs w:val="24"/>
        </w:rPr>
        <w:t xml:space="preserve">operations in the </w:t>
      </w:r>
      <w:proofErr w:type="gramStart"/>
      <w:r w:rsidRPr="00722C2C">
        <w:rPr>
          <w:rFonts w:ascii="Times New Roman" w:hAnsi="Times New Roman"/>
          <w:szCs w:val="24"/>
        </w:rPr>
        <w:t>Mediterranean,</w:t>
      </w:r>
      <w:proofErr w:type="gramEnd"/>
      <w:r w:rsidRPr="00722C2C">
        <w:rPr>
          <w:rFonts w:ascii="Times New Roman" w:hAnsi="Times New Roman"/>
          <w:szCs w:val="24"/>
        </w:rPr>
        <w:t xml:space="preserve"> takes place under international law and falls under the responsibility of the national Maritime Rescue Coordination Centre in charge. </w:t>
      </w:r>
      <w:r>
        <w:rPr>
          <w:rFonts w:ascii="Times New Roman" w:hAnsi="Times New Roman"/>
          <w:szCs w:val="24"/>
        </w:rPr>
        <w:t>T</w:t>
      </w:r>
      <w:r w:rsidRPr="00722C2C">
        <w:rPr>
          <w:rFonts w:ascii="Times New Roman" w:hAnsi="Times New Roman"/>
          <w:szCs w:val="24"/>
        </w:rPr>
        <w:t xml:space="preserve">he Commission calls on </w:t>
      </w:r>
      <w:r>
        <w:rPr>
          <w:rFonts w:ascii="Times New Roman" w:hAnsi="Times New Roman"/>
          <w:szCs w:val="24"/>
        </w:rPr>
        <w:t xml:space="preserve">all actors to respect the duty of cooperation and to operate </w:t>
      </w:r>
      <w:r w:rsidRPr="00722C2C">
        <w:rPr>
          <w:rFonts w:ascii="Times New Roman" w:hAnsi="Times New Roman"/>
          <w:szCs w:val="24"/>
        </w:rPr>
        <w:t xml:space="preserve">keeping the humanitarian imperative in mind. </w:t>
      </w:r>
      <w:r>
        <w:rPr>
          <w:rFonts w:ascii="Times New Roman" w:hAnsi="Times New Roman"/>
          <w:szCs w:val="24"/>
        </w:rPr>
        <w:t>In parallel, t</w:t>
      </w:r>
      <w:r w:rsidRPr="00722C2C">
        <w:rPr>
          <w:rFonts w:ascii="Times New Roman" w:hAnsi="Times New Roman"/>
          <w:szCs w:val="24"/>
        </w:rPr>
        <w:t xml:space="preserve">he </w:t>
      </w:r>
      <w:proofErr w:type="gramStart"/>
      <w:r w:rsidRPr="00722C2C">
        <w:rPr>
          <w:rFonts w:ascii="Times New Roman" w:hAnsi="Times New Roman"/>
          <w:szCs w:val="24"/>
        </w:rPr>
        <w:t>Commission,</w:t>
      </w:r>
      <w:proofErr w:type="gramEnd"/>
      <w:r>
        <w:rPr>
          <w:rFonts w:ascii="Times New Roman" w:hAnsi="Times New Roman"/>
          <w:szCs w:val="24"/>
        </w:rPr>
        <w:t xml:space="preserve"> </w:t>
      </w:r>
      <w:r w:rsidRPr="00722C2C">
        <w:rPr>
          <w:rFonts w:ascii="Times New Roman" w:hAnsi="Times New Roman"/>
          <w:szCs w:val="24"/>
        </w:rPr>
        <w:t xml:space="preserve">invests in improving the situation in origin and transit countries, fighting smugglers, supporting search and rescue operations as well as strengthening our external borders, and enhancing legal and safe pathways. </w:t>
      </w:r>
      <w:r>
        <w:rPr>
          <w:rFonts w:ascii="Times New Roman" w:hAnsi="Times New Roman"/>
          <w:szCs w:val="24"/>
        </w:rPr>
        <w:t xml:space="preserve">The </w:t>
      </w:r>
      <w:r w:rsidRPr="00722C2C">
        <w:rPr>
          <w:rFonts w:ascii="Times New Roman" w:hAnsi="Times New Roman"/>
          <w:szCs w:val="24"/>
        </w:rPr>
        <w:t>support</w:t>
      </w:r>
      <w:r>
        <w:rPr>
          <w:rFonts w:ascii="Times New Roman" w:hAnsi="Times New Roman"/>
          <w:szCs w:val="24"/>
        </w:rPr>
        <w:t xml:space="preserve"> of </w:t>
      </w:r>
      <w:r w:rsidRPr="00722C2C">
        <w:rPr>
          <w:rFonts w:ascii="Times New Roman" w:hAnsi="Times New Roman"/>
          <w:szCs w:val="24"/>
        </w:rPr>
        <w:t>SAR activities remains a priority</w:t>
      </w:r>
      <w:r>
        <w:rPr>
          <w:rFonts w:ascii="Times New Roman" w:hAnsi="Times New Roman"/>
          <w:szCs w:val="24"/>
        </w:rPr>
        <w:t xml:space="preserve"> in the </w:t>
      </w:r>
      <w:r w:rsidRPr="00722C2C">
        <w:rPr>
          <w:rFonts w:ascii="Times New Roman" w:hAnsi="Times New Roman"/>
          <w:szCs w:val="24"/>
        </w:rPr>
        <w:t>new Integrated Border Management Fund</w:t>
      </w:r>
      <w:r>
        <w:rPr>
          <w:rFonts w:ascii="Times New Roman" w:hAnsi="Times New Roman"/>
          <w:szCs w:val="24"/>
        </w:rPr>
        <w:t>, proposed in June 2018, under the 2021-2027 Financial Framework</w:t>
      </w:r>
      <w:r w:rsidRPr="00722C2C">
        <w:rPr>
          <w:rFonts w:ascii="Times New Roman" w:hAnsi="Times New Roman"/>
          <w:szCs w:val="24"/>
        </w:rPr>
        <w:t>.</w:t>
      </w:r>
    </w:p>
    <w:p w:rsidR="006C6C77" w:rsidRDefault="006C6C77" w:rsidP="006C6C77">
      <w:pPr>
        <w:widowControl w:val="0"/>
        <w:spacing w:after="120"/>
        <w:rPr>
          <w:rFonts w:ascii="Times New Roman" w:hAnsi="Times New Roman"/>
          <w:szCs w:val="24"/>
        </w:rPr>
      </w:pPr>
      <w:r w:rsidRPr="00722C2C">
        <w:rPr>
          <w:rFonts w:ascii="Times New Roman" w:hAnsi="Times New Roman"/>
          <w:szCs w:val="24"/>
        </w:rPr>
        <w:t xml:space="preserve">In the new </w:t>
      </w:r>
      <w:r w:rsidRPr="007901AD">
        <w:rPr>
          <w:rFonts w:ascii="Times New Roman" w:hAnsi="Times New Roman"/>
        </w:rPr>
        <w:t>Multiannual Financial Framework</w:t>
      </w:r>
      <w:r w:rsidRPr="007901AD">
        <w:t xml:space="preserve"> </w:t>
      </w:r>
      <w:r>
        <w:rPr>
          <w:rFonts w:ascii="Times New Roman" w:hAnsi="Times New Roman"/>
          <w:szCs w:val="24"/>
        </w:rPr>
        <w:t>(</w:t>
      </w:r>
      <w:r w:rsidRPr="00722C2C">
        <w:rPr>
          <w:rFonts w:ascii="Times New Roman" w:hAnsi="Times New Roman"/>
          <w:szCs w:val="24"/>
        </w:rPr>
        <w:t>MFF</w:t>
      </w:r>
      <w:r>
        <w:rPr>
          <w:rFonts w:ascii="Times New Roman" w:hAnsi="Times New Roman"/>
          <w:szCs w:val="24"/>
        </w:rPr>
        <w:t>)</w:t>
      </w:r>
      <w:r w:rsidRPr="00722C2C">
        <w:rPr>
          <w:rFonts w:ascii="Times New Roman" w:hAnsi="Times New Roman"/>
          <w:szCs w:val="24"/>
        </w:rPr>
        <w:t xml:space="preserve"> the Commission </w:t>
      </w:r>
      <w:r>
        <w:rPr>
          <w:rFonts w:ascii="Times New Roman" w:hAnsi="Times New Roman"/>
          <w:szCs w:val="24"/>
        </w:rPr>
        <w:t xml:space="preserve">proposed </w:t>
      </w:r>
      <w:r w:rsidRPr="00722C2C">
        <w:rPr>
          <w:rFonts w:ascii="Times New Roman" w:hAnsi="Times New Roman"/>
          <w:szCs w:val="24"/>
        </w:rPr>
        <w:t xml:space="preserve">increased support to </w:t>
      </w:r>
      <w:r>
        <w:rPr>
          <w:rFonts w:ascii="Times New Roman" w:hAnsi="Times New Roman"/>
          <w:szCs w:val="24"/>
        </w:rPr>
        <w:t xml:space="preserve">the </w:t>
      </w:r>
      <w:r w:rsidRPr="00722C2C">
        <w:rPr>
          <w:rFonts w:ascii="Times New Roman" w:hAnsi="Times New Roman"/>
          <w:szCs w:val="24"/>
        </w:rPr>
        <w:t xml:space="preserve">Member States for external border management and </w:t>
      </w:r>
      <w:r>
        <w:rPr>
          <w:rFonts w:ascii="Times New Roman" w:hAnsi="Times New Roman"/>
          <w:szCs w:val="24"/>
        </w:rPr>
        <w:t>S</w:t>
      </w:r>
      <w:r w:rsidRPr="00722C2C">
        <w:rPr>
          <w:rFonts w:ascii="Times New Roman" w:hAnsi="Times New Roman"/>
          <w:szCs w:val="24"/>
        </w:rPr>
        <w:t xml:space="preserve">earch and </w:t>
      </w:r>
      <w:r>
        <w:rPr>
          <w:rFonts w:ascii="Times New Roman" w:hAnsi="Times New Roman"/>
          <w:szCs w:val="24"/>
        </w:rPr>
        <w:t>Re</w:t>
      </w:r>
      <w:r w:rsidRPr="00722C2C">
        <w:rPr>
          <w:rFonts w:ascii="Times New Roman" w:hAnsi="Times New Roman"/>
          <w:szCs w:val="24"/>
        </w:rPr>
        <w:t xml:space="preserve">scue under the new EU budget, </w:t>
      </w:r>
      <w:r>
        <w:rPr>
          <w:rFonts w:ascii="Times New Roman" w:hAnsi="Times New Roman"/>
          <w:szCs w:val="24"/>
        </w:rPr>
        <w:t xml:space="preserve">with an overall envelope of EUR </w:t>
      </w:r>
      <w:r w:rsidRPr="00722C2C">
        <w:rPr>
          <w:rFonts w:ascii="Times New Roman" w:hAnsi="Times New Roman"/>
          <w:szCs w:val="24"/>
        </w:rPr>
        <w:t>21.3 billion</w:t>
      </w:r>
      <w:r>
        <w:rPr>
          <w:rFonts w:ascii="Times New Roman" w:hAnsi="Times New Roman"/>
          <w:szCs w:val="24"/>
        </w:rPr>
        <w:t xml:space="preserve"> for</w:t>
      </w:r>
      <w:r w:rsidRPr="00722C2C">
        <w:rPr>
          <w:rFonts w:ascii="Times New Roman" w:hAnsi="Times New Roman"/>
          <w:szCs w:val="24"/>
        </w:rPr>
        <w:t xml:space="preserve"> border management. </w:t>
      </w:r>
      <w:proofErr w:type="gramStart"/>
      <w:r w:rsidRPr="00722C2C">
        <w:rPr>
          <w:rFonts w:ascii="Times New Roman" w:hAnsi="Times New Roman"/>
          <w:szCs w:val="24"/>
        </w:rPr>
        <w:t>As part of our priorities in strengthening external border management, funding will also be channelled towards support for search and rescue at sea – in addition to tackling migrant smuggling and trafficking in human beings as well as intercepting and stopping those who pose a threat, support equipment and training for border guards, and swift operational support for Member States under pressure.</w:t>
      </w:r>
      <w:proofErr w:type="gramEnd"/>
    </w:p>
    <w:p w:rsidR="006C6C77" w:rsidRPr="00722C2C" w:rsidRDefault="006C6C77" w:rsidP="006C6C77">
      <w:pPr>
        <w:widowControl w:val="0"/>
        <w:spacing w:after="120"/>
        <w:rPr>
          <w:rFonts w:ascii="Times New Roman" w:hAnsi="Times New Roman"/>
          <w:szCs w:val="24"/>
        </w:rPr>
      </w:pPr>
      <w:r w:rsidRPr="00B04673">
        <w:rPr>
          <w:rFonts w:ascii="Times New Roman" w:hAnsi="Times New Roman"/>
          <w:szCs w:val="24"/>
        </w:rPr>
        <w:t>EU legislation also ensures that employers of irregular migrants are appropriately sanctioned (Employers' Sanctions Directive</w:t>
      </w:r>
      <w:r>
        <w:rPr>
          <w:rFonts w:ascii="Times New Roman" w:hAnsi="Times New Roman"/>
          <w:szCs w:val="24"/>
        </w:rPr>
        <w:t xml:space="preserve"> (2009/52/CE)</w:t>
      </w:r>
      <w:r w:rsidRPr="00B04673">
        <w:rPr>
          <w:rFonts w:ascii="Times New Roman" w:hAnsi="Times New Roman"/>
          <w:szCs w:val="24"/>
        </w:rPr>
        <w:t xml:space="preserve"> adopted in 2009).and the European Platform tackling undeclared work enhances cooperation between EU countries by bringing together relevant authorities and actors in the Member States</w:t>
      </w:r>
      <w:r w:rsidRPr="004112C8">
        <w:rPr>
          <w:rFonts w:ascii="Times New Roman" w:hAnsi="Times New Roman"/>
          <w:szCs w:val="24"/>
        </w:rPr>
        <w:t xml:space="preserve">. </w:t>
      </w:r>
      <w:r>
        <w:rPr>
          <w:rFonts w:ascii="Times New Roman" w:hAnsi="Times New Roman"/>
          <w:szCs w:val="24"/>
        </w:rPr>
        <w:t xml:space="preserve">The EU has also stepped up its work </w:t>
      </w:r>
      <w:r w:rsidRPr="00722C2C">
        <w:rPr>
          <w:rFonts w:ascii="Times New Roman" w:hAnsi="Times New Roman"/>
          <w:szCs w:val="24"/>
        </w:rPr>
        <w:t>to reinforce the</w:t>
      </w:r>
      <w:r>
        <w:rPr>
          <w:rFonts w:ascii="Times New Roman" w:hAnsi="Times New Roman"/>
          <w:szCs w:val="24"/>
        </w:rPr>
        <w:t xml:space="preserve"> protection of children in migration, </w:t>
      </w:r>
      <w:r w:rsidRPr="00722C2C">
        <w:rPr>
          <w:rFonts w:ascii="Times New Roman" w:hAnsi="Times New Roman"/>
          <w:szCs w:val="24"/>
        </w:rPr>
        <w:t xml:space="preserve">at all stages of migration routes. The Communication on the protection of children in migration, adopted </w:t>
      </w:r>
      <w:r w:rsidRPr="00AF7C1F">
        <w:rPr>
          <w:rFonts w:ascii="Times New Roman" w:hAnsi="Times New Roman"/>
          <w:szCs w:val="24"/>
        </w:rPr>
        <w:t>in April 2017</w:t>
      </w:r>
      <w:r w:rsidRPr="00AF7C1F">
        <w:rPr>
          <w:rStyle w:val="FootnoteReference"/>
          <w:rFonts w:ascii="Times New Roman" w:hAnsi="Times New Roman"/>
          <w:szCs w:val="24"/>
        </w:rPr>
        <w:footnoteReference w:id="5"/>
      </w:r>
      <w:r w:rsidRPr="00AF7C1F">
        <w:rPr>
          <w:rFonts w:ascii="Times New Roman" w:hAnsi="Times New Roman"/>
          <w:szCs w:val="24"/>
        </w:rPr>
        <w:t>,</w:t>
      </w:r>
      <w:r w:rsidRPr="00722C2C">
        <w:rPr>
          <w:rFonts w:ascii="Times New Roman" w:hAnsi="Times New Roman"/>
          <w:szCs w:val="24"/>
        </w:rPr>
        <w:t xml:space="preserve"> and followed by Council Conclusions of 8 June 2017,</w:t>
      </w:r>
      <w:r>
        <w:rPr>
          <w:rFonts w:ascii="Times New Roman" w:hAnsi="Times New Roman"/>
          <w:szCs w:val="24"/>
        </w:rPr>
        <w:t xml:space="preserve"> has</w:t>
      </w:r>
      <w:r w:rsidRPr="00722C2C">
        <w:rPr>
          <w:rFonts w:ascii="Times New Roman" w:hAnsi="Times New Roman"/>
          <w:szCs w:val="24"/>
        </w:rPr>
        <w:t xml:space="preserve"> set out comprehensive actions </w:t>
      </w:r>
      <w:r>
        <w:rPr>
          <w:rFonts w:ascii="Times New Roman" w:hAnsi="Times New Roman"/>
          <w:szCs w:val="24"/>
        </w:rPr>
        <w:t xml:space="preserve">including </w:t>
      </w:r>
      <w:r w:rsidRPr="00722C2C">
        <w:rPr>
          <w:rFonts w:ascii="Times New Roman" w:hAnsi="Times New Roman"/>
          <w:szCs w:val="24"/>
        </w:rPr>
        <w:t>recommendations to EU Member States for actions to protect children in migration. The Commission is monitoring progress</w:t>
      </w:r>
      <w:r>
        <w:rPr>
          <w:rFonts w:ascii="Times New Roman" w:hAnsi="Times New Roman"/>
          <w:szCs w:val="24"/>
        </w:rPr>
        <w:t xml:space="preserve">, by </w:t>
      </w:r>
      <w:r w:rsidRPr="00722C2C">
        <w:rPr>
          <w:rFonts w:ascii="Times New Roman" w:hAnsi="Times New Roman"/>
          <w:szCs w:val="24"/>
        </w:rPr>
        <w:t>publish</w:t>
      </w:r>
      <w:r>
        <w:rPr>
          <w:rFonts w:ascii="Times New Roman" w:hAnsi="Times New Roman"/>
          <w:szCs w:val="24"/>
        </w:rPr>
        <w:t xml:space="preserve">ing </w:t>
      </w:r>
      <w:r w:rsidRPr="00722C2C">
        <w:rPr>
          <w:rFonts w:ascii="Times New Roman" w:hAnsi="Times New Roman"/>
          <w:szCs w:val="24"/>
        </w:rPr>
        <w:t xml:space="preserve">online </w:t>
      </w:r>
      <w:r>
        <w:rPr>
          <w:rFonts w:ascii="Times New Roman" w:hAnsi="Times New Roman"/>
          <w:szCs w:val="24"/>
        </w:rPr>
        <w:t xml:space="preserve">and updating regularly </w:t>
      </w:r>
      <w:r w:rsidRPr="00722C2C">
        <w:rPr>
          <w:rFonts w:ascii="Times New Roman" w:hAnsi="Times New Roman"/>
          <w:szCs w:val="24"/>
        </w:rPr>
        <w:t>an overview of Commission and EU agency actions following up to the April 2017 Communication</w:t>
      </w:r>
      <w:r>
        <w:rPr>
          <w:rFonts w:ascii="Times New Roman" w:hAnsi="Times New Roman"/>
          <w:szCs w:val="24"/>
        </w:rPr>
        <w:t xml:space="preserve">, and by publishing, </w:t>
      </w:r>
      <w:r w:rsidRPr="00722C2C">
        <w:rPr>
          <w:rFonts w:ascii="Times New Roman" w:hAnsi="Times New Roman"/>
          <w:szCs w:val="24"/>
        </w:rPr>
        <w:t xml:space="preserve">in cooperation with </w:t>
      </w:r>
      <w:r>
        <w:rPr>
          <w:rFonts w:ascii="Times New Roman" w:hAnsi="Times New Roman"/>
          <w:szCs w:val="24"/>
        </w:rPr>
        <w:t xml:space="preserve">the </w:t>
      </w:r>
      <w:r w:rsidRPr="00722C2C">
        <w:rPr>
          <w:rFonts w:ascii="Times New Roman" w:hAnsi="Times New Roman"/>
          <w:szCs w:val="24"/>
        </w:rPr>
        <w:t>Member States’ migration and child protection authorities,</w:t>
      </w:r>
      <w:r>
        <w:rPr>
          <w:rFonts w:ascii="Times New Roman" w:hAnsi="Times New Roman"/>
          <w:szCs w:val="24"/>
        </w:rPr>
        <w:t xml:space="preserve"> </w:t>
      </w:r>
      <w:r w:rsidRPr="00722C2C">
        <w:rPr>
          <w:rFonts w:ascii="Times New Roman" w:hAnsi="Times New Roman"/>
          <w:szCs w:val="24"/>
        </w:rPr>
        <w:t xml:space="preserve">survey responses progress made at national level. </w:t>
      </w:r>
      <w:r>
        <w:rPr>
          <w:rFonts w:ascii="Times New Roman" w:hAnsi="Times New Roman"/>
          <w:szCs w:val="24"/>
        </w:rPr>
        <w:t>While t</w:t>
      </w:r>
      <w:r w:rsidRPr="00722C2C">
        <w:rPr>
          <w:rFonts w:ascii="Times New Roman" w:hAnsi="Times New Roman"/>
          <w:szCs w:val="24"/>
        </w:rPr>
        <w:t>he Commission will continue</w:t>
      </w:r>
      <w:r>
        <w:rPr>
          <w:rFonts w:ascii="Times New Roman" w:hAnsi="Times New Roman"/>
          <w:szCs w:val="24"/>
        </w:rPr>
        <w:t xml:space="preserve"> </w:t>
      </w:r>
      <w:r w:rsidRPr="00722C2C">
        <w:rPr>
          <w:rFonts w:ascii="Times New Roman" w:hAnsi="Times New Roman"/>
          <w:szCs w:val="24"/>
        </w:rPr>
        <w:t xml:space="preserve">monitoring </w:t>
      </w:r>
      <w:r>
        <w:rPr>
          <w:rFonts w:ascii="Times New Roman" w:hAnsi="Times New Roman"/>
          <w:szCs w:val="24"/>
        </w:rPr>
        <w:t xml:space="preserve">developments </w:t>
      </w:r>
      <w:r w:rsidRPr="00722C2C">
        <w:rPr>
          <w:rFonts w:ascii="Times New Roman" w:hAnsi="Times New Roman"/>
          <w:szCs w:val="24"/>
        </w:rPr>
        <w:t xml:space="preserve">and encourage exchange of good practice with migration and child protection </w:t>
      </w:r>
      <w:proofErr w:type="gramStart"/>
      <w:r w:rsidRPr="00722C2C">
        <w:rPr>
          <w:rFonts w:ascii="Times New Roman" w:hAnsi="Times New Roman"/>
          <w:szCs w:val="24"/>
        </w:rPr>
        <w:t>e</w:t>
      </w:r>
      <w:r>
        <w:rPr>
          <w:rFonts w:ascii="Times New Roman" w:hAnsi="Times New Roman"/>
          <w:szCs w:val="24"/>
        </w:rPr>
        <w:t xml:space="preserve">xperts, </w:t>
      </w:r>
      <w:r w:rsidRPr="00722C2C">
        <w:rPr>
          <w:rFonts w:ascii="Times New Roman" w:hAnsi="Times New Roman"/>
          <w:szCs w:val="24"/>
        </w:rPr>
        <w:t>also</w:t>
      </w:r>
      <w:proofErr w:type="gramEnd"/>
      <w:r w:rsidRPr="00722C2C">
        <w:rPr>
          <w:rFonts w:ascii="Times New Roman" w:hAnsi="Times New Roman"/>
          <w:szCs w:val="24"/>
        </w:rPr>
        <w:t xml:space="preserve"> in close cooperation with international and non-governmental organisations</w:t>
      </w:r>
      <w:r>
        <w:rPr>
          <w:rFonts w:ascii="Times New Roman" w:hAnsi="Times New Roman"/>
          <w:szCs w:val="24"/>
        </w:rPr>
        <w:t xml:space="preserve">, it is noted that </w:t>
      </w:r>
      <w:r w:rsidRPr="00722C2C">
        <w:rPr>
          <w:rFonts w:ascii="Times New Roman" w:hAnsi="Times New Roman"/>
          <w:szCs w:val="24"/>
        </w:rPr>
        <w:t xml:space="preserve">child protection for migrant children is still fragmented across </w:t>
      </w:r>
      <w:r>
        <w:rPr>
          <w:rFonts w:ascii="Times New Roman" w:hAnsi="Times New Roman"/>
          <w:szCs w:val="24"/>
        </w:rPr>
        <w:t xml:space="preserve">the </w:t>
      </w:r>
      <w:r w:rsidRPr="00722C2C">
        <w:rPr>
          <w:rFonts w:ascii="Times New Roman" w:hAnsi="Times New Roman"/>
          <w:szCs w:val="24"/>
        </w:rPr>
        <w:t>Member States. A number of challenges</w:t>
      </w:r>
      <w:r>
        <w:rPr>
          <w:rFonts w:ascii="Times New Roman" w:hAnsi="Times New Roman"/>
          <w:szCs w:val="24"/>
        </w:rPr>
        <w:t xml:space="preserve"> remain </w:t>
      </w:r>
      <w:r w:rsidRPr="00722C2C">
        <w:rPr>
          <w:rFonts w:ascii="Times New Roman" w:hAnsi="Times New Roman"/>
          <w:szCs w:val="24"/>
        </w:rPr>
        <w:t xml:space="preserve">to </w:t>
      </w:r>
      <w:proofErr w:type="gramStart"/>
      <w:r w:rsidRPr="00722C2C">
        <w:rPr>
          <w:rFonts w:ascii="Times New Roman" w:hAnsi="Times New Roman"/>
          <w:szCs w:val="24"/>
        </w:rPr>
        <w:t>be addressed</w:t>
      </w:r>
      <w:proofErr w:type="gramEnd"/>
      <w:r w:rsidRPr="00722C2C">
        <w:rPr>
          <w:rFonts w:ascii="Times New Roman" w:hAnsi="Times New Roman"/>
          <w:szCs w:val="24"/>
        </w:rPr>
        <w:t xml:space="preserve"> in order to make the policy on the protection of children in mig</w:t>
      </w:r>
      <w:r>
        <w:rPr>
          <w:rFonts w:ascii="Times New Roman" w:hAnsi="Times New Roman"/>
          <w:szCs w:val="24"/>
        </w:rPr>
        <w:t>ration tangible and consistent.</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Detention conditions are primarily a responsibility of </w:t>
      </w:r>
      <w:r>
        <w:rPr>
          <w:rFonts w:ascii="Times New Roman" w:hAnsi="Times New Roman"/>
          <w:szCs w:val="24"/>
        </w:rPr>
        <w:t xml:space="preserve">the </w:t>
      </w:r>
      <w:r w:rsidRPr="00722C2C">
        <w:rPr>
          <w:rFonts w:ascii="Times New Roman" w:hAnsi="Times New Roman"/>
          <w:szCs w:val="24"/>
        </w:rPr>
        <w:t xml:space="preserve">Member States who agreed to respect the existing Council of Europe standards on the matter, such as the European Prison Rules adopted in 2006. The Commission has devoted the 2017 European Forum on the rights of the child to the topic of children deprived of liberty, in an effort to promote good practices </w:t>
      </w:r>
      <w:r w:rsidRPr="00722C2C">
        <w:rPr>
          <w:rFonts w:ascii="Times New Roman" w:hAnsi="Times New Roman"/>
          <w:szCs w:val="24"/>
        </w:rPr>
        <w:lastRenderedPageBreak/>
        <w:t xml:space="preserve">on alternatives to detention. The Commission is also </w:t>
      </w:r>
      <w:r>
        <w:rPr>
          <w:rFonts w:ascii="Times New Roman" w:hAnsi="Times New Roman"/>
          <w:szCs w:val="24"/>
        </w:rPr>
        <w:t xml:space="preserve">contributing to the </w:t>
      </w:r>
      <w:r w:rsidRPr="00722C2C">
        <w:rPr>
          <w:rFonts w:ascii="Times New Roman" w:hAnsi="Times New Roman"/>
          <w:szCs w:val="24"/>
        </w:rPr>
        <w:t xml:space="preserve">financing the ongoing </w:t>
      </w:r>
      <w:r>
        <w:rPr>
          <w:rFonts w:ascii="Times New Roman" w:hAnsi="Times New Roman"/>
          <w:szCs w:val="24"/>
        </w:rPr>
        <w:t xml:space="preserve">United </w:t>
      </w:r>
      <w:r w:rsidRPr="00722C2C">
        <w:rPr>
          <w:rFonts w:ascii="Times New Roman" w:hAnsi="Times New Roman"/>
          <w:szCs w:val="24"/>
        </w:rPr>
        <w:t>N</w:t>
      </w:r>
      <w:r>
        <w:rPr>
          <w:rFonts w:ascii="Times New Roman" w:hAnsi="Times New Roman"/>
          <w:szCs w:val="24"/>
        </w:rPr>
        <w:t>ations (UN)</w:t>
      </w:r>
      <w:r w:rsidRPr="00722C2C">
        <w:rPr>
          <w:rFonts w:ascii="Times New Roman" w:hAnsi="Times New Roman"/>
          <w:szCs w:val="24"/>
        </w:rPr>
        <w:t xml:space="preserve"> Global study on children deprived o</w:t>
      </w:r>
      <w:r>
        <w:rPr>
          <w:rFonts w:ascii="Times New Roman" w:hAnsi="Times New Roman"/>
          <w:szCs w:val="24"/>
        </w:rPr>
        <w:t>f</w:t>
      </w:r>
      <w:r w:rsidRPr="00722C2C">
        <w:rPr>
          <w:rFonts w:ascii="Times New Roman" w:hAnsi="Times New Roman"/>
          <w:szCs w:val="24"/>
        </w:rPr>
        <w:t xml:space="preserve"> their liberties and alternatives to detention. Under the Asylum, Migration and Integration Fund</w:t>
      </w:r>
      <w:r>
        <w:rPr>
          <w:rFonts w:ascii="Times New Roman" w:hAnsi="Times New Roman"/>
          <w:szCs w:val="24"/>
        </w:rPr>
        <w:t xml:space="preserve"> (AMIF)</w:t>
      </w:r>
      <w:r w:rsidRPr="00722C2C">
        <w:rPr>
          <w:rFonts w:ascii="Times New Roman" w:hAnsi="Times New Roman"/>
          <w:szCs w:val="24"/>
        </w:rPr>
        <w:t>, a call for proposal was launched in 2018 to finance the exchange of good practices and/</w:t>
      </w:r>
      <w:r>
        <w:rPr>
          <w:rFonts w:ascii="Times New Roman" w:hAnsi="Times New Roman"/>
          <w:szCs w:val="24"/>
        </w:rPr>
        <w:t xml:space="preserve"> </w:t>
      </w:r>
      <w:r w:rsidRPr="00722C2C">
        <w:rPr>
          <w:rFonts w:ascii="Times New Roman" w:hAnsi="Times New Roman"/>
          <w:szCs w:val="24"/>
        </w:rPr>
        <w:t xml:space="preserve">or provision of the necessary training so as to support the alternative care systems (such as family-based care, or foster care, or supervised independent housing arrangements) or of effective alternatives to detention. </w:t>
      </w:r>
      <w:proofErr w:type="gramStart"/>
      <w:r>
        <w:rPr>
          <w:rFonts w:ascii="Times New Roman" w:hAnsi="Times New Roman"/>
          <w:szCs w:val="24"/>
        </w:rPr>
        <w:t>2019</w:t>
      </w:r>
      <w:proofErr w:type="gramEnd"/>
      <w:r>
        <w:rPr>
          <w:rFonts w:ascii="Times New Roman" w:hAnsi="Times New Roman"/>
          <w:szCs w:val="24"/>
        </w:rPr>
        <w:t xml:space="preserve"> will be</w:t>
      </w:r>
      <w:r w:rsidRPr="00947B2F">
        <w:rPr>
          <w:rFonts w:ascii="Times New Roman" w:hAnsi="Times New Roman"/>
          <w:szCs w:val="24"/>
        </w:rPr>
        <w:t xml:space="preserve"> </w:t>
      </w:r>
      <w:r>
        <w:rPr>
          <w:rFonts w:ascii="Times New Roman" w:hAnsi="Times New Roman"/>
          <w:szCs w:val="24"/>
        </w:rPr>
        <w:t xml:space="preserve">a </w:t>
      </w:r>
      <w:r w:rsidRPr="00947B2F">
        <w:rPr>
          <w:rFonts w:ascii="Times New Roman" w:hAnsi="Times New Roman"/>
          <w:szCs w:val="24"/>
        </w:rPr>
        <w:t xml:space="preserve">particularly important </w:t>
      </w:r>
      <w:r>
        <w:rPr>
          <w:rFonts w:ascii="Times New Roman" w:hAnsi="Times New Roman"/>
          <w:szCs w:val="24"/>
        </w:rPr>
        <w:t xml:space="preserve">year, </w:t>
      </w:r>
      <w:r w:rsidRPr="00947B2F">
        <w:rPr>
          <w:rFonts w:ascii="Times New Roman" w:hAnsi="Times New Roman"/>
          <w:szCs w:val="24"/>
        </w:rPr>
        <w:t xml:space="preserve">as it marks the 30th Anniversary of the UN Convention on the Rights of the Child and the 10th Anniversary of the UN Guidelines on the Alternative Care for Children. In addition, the 2019 UN Resolution on the Rights of the Child will focus on ‘Children without parental care’. The EU is one of the main donors to ensure children’s survival and development around the world. It is also playing an active role in promoting family and community-based care for children both within and outside the EU. In external action, the EU is supporting a number of projects around the world and is raising </w:t>
      </w:r>
      <w:r>
        <w:rPr>
          <w:rFonts w:ascii="Times New Roman" w:hAnsi="Times New Roman"/>
          <w:szCs w:val="24"/>
        </w:rPr>
        <w:t xml:space="preserve">awareness of </w:t>
      </w:r>
      <w:r w:rsidRPr="00947B2F">
        <w:rPr>
          <w:rFonts w:ascii="Times New Roman" w:hAnsi="Times New Roman"/>
          <w:szCs w:val="24"/>
        </w:rPr>
        <w:t>this issue in human rights dialogues with partner countries.</w:t>
      </w:r>
      <w:r>
        <w:rPr>
          <w:rFonts w:ascii="Times New Roman" w:hAnsi="Times New Roman"/>
          <w:szCs w:val="24"/>
        </w:rPr>
        <w:t xml:space="preserve"> The third priority of the call for proposals for Union grants in 2018 under the AMIF addressed the integration of third country national victims of trafficking in human beings, with focus on gender-specific and child –sensitive approach.</w:t>
      </w:r>
    </w:p>
    <w:p w:rsidR="006C6C77" w:rsidRPr="00722C2C" w:rsidRDefault="006C6C77" w:rsidP="006C6C77">
      <w:pPr>
        <w:widowControl w:val="0"/>
        <w:spacing w:after="120"/>
        <w:rPr>
          <w:rFonts w:ascii="Times New Roman" w:hAnsi="Times New Roman"/>
          <w:szCs w:val="24"/>
          <w:lang w:val="en-IE"/>
        </w:rPr>
      </w:pPr>
      <w:r>
        <w:rPr>
          <w:rFonts w:ascii="Times New Roman" w:hAnsi="Times New Roman"/>
          <w:szCs w:val="24"/>
          <w:lang w:val="en-IE"/>
        </w:rPr>
        <w:t xml:space="preserve">The Commission in its </w:t>
      </w:r>
      <w:r w:rsidRPr="00722C2C">
        <w:rPr>
          <w:rFonts w:ascii="Times New Roman" w:hAnsi="Times New Roman"/>
          <w:szCs w:val="24"/>
          <w:lang w:val="en-IE"/>
        </w:rPr>
        <w:t>2017 Communication o</w:t>
      </w:r>
      <w:r>
        <w:rPr>
          <w:rFonts w:ascii="Times New Roman" w:hAnsi="Times New Roman"/>
          <w:szCs w:val="24"/>
          <w:lang w:val="en-IE"/>
        </w:rPr>
        <w:t>n</w:t>
      </w:r>
      <w:r w:rsidRPr="00722C2C">
        <w:rPr>
          <w:rFonts w:ascii="Times New Roman" w:hAnsi="Times New Roman"/>
          <w:szCs w:val="24"/>
          <w:lang w:val="en-IE"/>
        </w:rPr>
        <w:t xml:space="preserve"> the protection of children in migration</w:t>
      </w:r>
      <w:r>
        <w:rPr>
          <w:rFonts w:ascii="Times New Roman" w:hAnsi="Times New Roman"/>
          <w:szCs w:val="24"/>
          <w:lang w:val="en-IE"/>
        </w:rPr>
        <w:t xml:space="preserve">, called on the </w:t>
      </w:r>
      <w:r w:rsidRPr="00722C2C">
        <w:rPr>
          <w:rFonts w:ascii="Times New Roman" w:hAnsi="Times New Roman"/>
          <w:szCs w:val="24"/>
          <w:lang w:val="en-IE"/>
        </w:rPr>
        <w:t>Member States to reflect the</w:t>
      </w:r>
      <w:r>
        <w:rPr>
          <w:rFonts w:ascii="Times New Roman" w:hAnsi="Times New Roman"/>
          <w:szCs w:val="24"/>
          <w:lang w:val="en-IE"/>
        </w:rPr>
        <w:t xml:space="preserve"> </w:t>
      </w:r>
      <w:r w:rsidRPr="00722C2C">
        <w:rPr>
          <w:rFonts w:ascii="Times New Roman" w:hAnsi="Times New Roman"/>
          <w:szCs w:val="24"/>
          <w:lang w:val="en-IE"/>
        </w:rPr>
        <w:t xml:space="preserve">diverse social and economic background and conditions </w:t>
      </w:r>
      <w:r>
        <w:rPr>
          <w:rFonts w:ascii="Times New Roman" w:hAnsi="Times New Roman"/>
          <w:szCs w:val="24"/>
          <w:lang w:val="en-IE"/>
        </w:rPr>
        <w:t xml:space="preserve">of children when establishing </w:t>
      </w:r>
      <w:r w:rsidRPr="00722C2C">
        <w:rPr>
          <w:rFonts w:ascii="Times New Roman" w:hAnsi="Times New Roman"/>
          <w:szCs w:val="24"/>
          <w:lang w:val="en-IE"/>
        </w:rPr>
        <w:t xml:space="preserve">integration policies. </w:t>
      </w:r>
      <w:r>
        <w:rPr>
          <w:rFonts w:ascii="Times New Roman" w:hAnsi="Times New Roman"/>
          <w:szCs w:val="24"/>
          <w:lang w:val="en-IE"/>
        </w:rPr>
        <w:t xml:space="preserve">The Communication highlighted </w:t>
      </w:r>
      <w:r w:rsidRPr="00722C2C">
        <w:rPr>
          <w:rFonts w:ascii="Times New Roman" w:hAnsi="Times New Roman"/>
          <w:szCs w:val="24"/>
          <w:lang w:val="en-IE"/>
        </w:rPr>
        <w:t xml:space="preserve">how education is one of the most important and powerful tools for the integration of children. The Commission supports financially the European Agency for Special Needs and Inclusive Education, which works closely with </w:t>
      </w:r>
      <w:r>
        <w:rPr>
          <w:rFonts w:ascii="Times New Roman" w:hAnsi="Times New Roman"/>
          <w:szCs w:val="24"/>
          <w:lang w:val="en-IE"/>
        </w:rPr>
        <w:t>E</w:t>
      </w:r>
      <w:r w:rsidRPr="00722C2C">
        <w:rPr>
          <w:rFonts w:ascii="Times New Roman" w:hAnsi="Times New Roman"/>
          <w:szCs w:val="24"/>
          <w:lang w:val="en-IE"/>
        </w:rPr>
        <w:t xml:space="preserve">ducation </w:t>
      </w:r>
      <w:r>
        <w:rPr>
          <w:rFonts w:ascii="Times New Roman" w:hAnsi="Times New Roman"/>
          <w:szCs w:val="24"/>
          <w:lang w:val="en-IE"/>
        </w:rPr>
        <w:t>M</w:t>
      </w:r>
      <w:r w:rsidRPr="00722C2C">
        <w:rPr>
          <w:rFonts w:ascii="Times New Roman" w:hAnsi="Times New Roman"/>
          <w:szCs w:val="24"/>
          <w:lang w:val="en-IE"/>
        </w:rPr>
        <w:t>inistries</w:t>
      </w:r>
      <w:r>
        <w:rPr>
          <w:rFonts w:ascii="Times New Roman" w:hAnsi="Times New Roman"/>
          <w:szCs w:val="24"/>
          <w:lang w:val="en-IE"/>
        </w:rPr>
        <w:t xml:space="preserve"> of the Member States</w:t>
      </w:r>
      <w:r w:rsidRPr="00722C2C">
        <w:rPr>
          <w:rFonts w:ascii="Times New Roman" w:hAnsi="Times New Roman"/>
          <w:szCs w:val="24"/>
          <w:lang w:val="en-IE"/>
        </w:rPr>
        <w:t xml:space="preserve">. The </w:t>
      </w:r>
      <w:r>
        <w:rPr>
          <w:rFonts w:ascii="Times New Roman" w:hAnsi="Times New Roman"/>
          <w:szCs w:val="24"/>
          <w:lang w:val="en-IE"/>
        </w:rPr>
        <w:t>A</w:t>
      </w:r>
      <w:r w:rsidRPr="00722C2C">
        <w:rPr>
          <w:rFonts w:ascii="Times New Roman" w:hAnsi="Times New Roman"/>
          <w:szCs w:val="24"/>
          <w:lang w:val="en-IE"/>
        </w:rPr>
        <w:t>gency provides analysis, evidence and information about inclusive education across Europe, recommendations for policy and practice as well as tools for monitoring progress.</w:t>
      </w:r>
    </w:p>
    <w:p w:rsidR="006C6C77" w:rsidRPr="00722C2C" w:rsidRDefault="006C6C77" w:rsidP="006C6C77">
      <w:pPr>
        <w:widowControl w:val="0"/>
        <w:spacing w:after="120"/>
        <w:rPr>
          <w:rFonts w:ascii="Times New Roman" w:hAnsi="Times New Roman"/>
          <w:szCs w:val="24"/>
          <w:lang w:val="en-IE"/>
        </w:rPr>
      </w:pPr>
      <w:r w:rsidRPr="00722C2C">
        <w:rPr>
          <w:rFonts w:ascii="Times New Roman" w:hAnsi="Times New Roman"/>
          <w:szCs w:val="24"/>
          <w:lang w:val="en-IE"/>
        </w:rPr>
        <w:t xml:space="preserve">The Commission has funded numerous projects to protect children from violence, through the Rights, Equality and Citizenship programme and </w:t>
      </w:r>
      <w:r>
        <w:rPr>
          <w:rFonts w:ascii="Times New Roman" w:hAnsi="Times New Roman"/>
          <w:szCs w:val="24"/>
          <w:lang w:val="en-IE"/>
        </w:rPr>
        <w:t xml:space="preserve">the </w:t>
      </w:r>
      <w:r w:rsidRPr="00722C2C">
        <w:rPr>
          <w:rFonts w:ascii="Times New Roman" w:hAnsi="Times New Roman"/>
          <w:szCs w:val="24"/>
          <w:lang w:val="en-IE"/>
        </w:rPr>
        <w:t xml:space="preserve">DAPHNE programme. At the </w:t>
      </w:r>
      <w:proofErr w:type="gramStart"/>
      <w:r w:rsidRPr="00722C2C">
        <w:rPr>
          <w:rFonts w:ascii="Times New Roman" w:hAnsi="Times New Roman"/>
          <w:szCs w:val="24"/>
          <w:lang w:val="en-IE"/>
        </w:rPr>
        <w:t>9</w:t>
      </w:r>
      <w:r w:rsidRPr="007700B6">
        <w:rPr>
          <w:rFonts w:ascii="Times New Roman" w:hAnsi="Times New Roman"/>
          <w:szCs w:val="24"/>
          <w:vertAlign w:val="superscript"/>
          <w:lang w:val="en-IE"/>
        </w:rPr>
        <w:t>th</w:t>
      </w:r>
      <w:proofErr w:type="gramEnd"/>
      <w:r>
        <w:rPr>
          <w:rFonts w:ascii="Times New Roman" w:hAnsi="Times New Roman"/>
          <w:szCs w:val="24"/>
          <w:lang w:val="en-IE"/>
        </w:rPr>
        <w:t xml:space="preserve"> </w:t>
      </w:r>
      <w:r w:rsidRPr="00722C2C">
        <w:rPr>
          <w:rFonts w:ascii="Times New Roman" w:hAnsi="Times New Roman"/>
          <w:szCs w:val="24"/>
          <w:lang w:val="en-IE"/>
        </w:rPr>
        <w:t>European Forum on the rights of the child in 2015, the Commission proposed 10 Principles for integrated child protection systems.</w:t>
      </w:r>
    </w:p>
    <w:p w:rsidR="006C6C77" w:rsidRPr="00722C2C" w:rsidRDefault="006C6C77" w:rsidP="006C6C77">
      <w:pPr>
        <w:widowControl w:val="0"/>
        <w:spacing w:after="120"/>
        <w:rPr>
          <w:rFonts w:ascii="Times New Roman" w:hAnsi="Times New Roman"/>
          <w:szCs w:val="24"/>
          <w:lang w:val="en-IE"/>
        </w:rPr>
      </w:pPr>
      <w:r>
        <w:rPr>
          <w:rFonts w:ascii="Times New Roman" w:hAnsi="Times New Roman"/>
          <w:szCs w:val="24"/>
          <w:lang w:val="en-IE"/>
        </w:rPr>
        <w:t xml:space="preserve">The Commission considers </w:t>
      </w:r>
      <w:proofErr w:type="gramStart"/>
      <w:r>
        <w:rPr>
          <w:rFonts w:ascii="Times New Roman" w:hAnsi="Times New Roman"/>
          <w:szCs w:val="24"/>
          <w:lang w:val="en-IE"/>
        </w:rPr>
        <w:t>that the important work on the rights of the Child of the last years is not complete and should continue delivering the objectives set in 2017</w:t>
      </w:r>
      <w:proofErr w:type="gramEnd"/>
      <w:r>
        <w:rPr>
          <w:rFonts w:ascii="Times New Roman" w:hAnsi="Times New Roman"/>
          <w:szCs w:val="24"/>
          <w:lang w:val="en-IE"/>
        </w:rPr>
        <w:t xml:space="preserve">; work should now focus </w:t>
      </w:r>
      <w:r w:rsidRPr="00722C2C">
        <w:rPr>
          <w:rFonts w:ascii="Times New Roman" w:hAnsi="Times New Roman"/>
          <w:szCs w:val="24"/>
          <w:lang w:val="en-IE"/>
        </w:rPr>
        <w:t xml:space="preserve">on mainstreaming these issues across all policy </w:t>
      </w:r>
      <w:r>
        <w:rPr>
          <w:rFonts w:ascii="Times New Roman" w:hAnsi="Times New Roman"/>
          <w:szCs w:val="24"/>
          <w:lang w:val="en-IE"/>
        </w:rPr>
        <w:t>fields, rather than embarking on any new initiatives.</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With regard to the Information Systems for Border and Security: on 12 December 2017, the Commission adopted proposals on a framework for interoperability between EU information systems to close information gaps and better protect EU citizens. </w:t>
      </w:r>
      <w:r>
        <w:rPr>
          <w:rFonts w:ascii="Times New Roman" w:hAnsi="Times New Roman"/>
          <w:szCs w:val="24"/>
        </w:rPr>
        <w:t xml:space="preserve">Co-legislators have reached political agreement on the file. </w:t>
      </w:r>
      <w:r w:rsidRPr="00722C2C">
        <w:rPr>
          <w:rFonts w:ascii="Times New Roman" w:hAnsi="Times New Roman"/>
          <w:szCs w:val="24"/>
        </w:rPr>
        <w:t>The aim is to improve the efficiency and effectiveness of EU-wide information-sharing tools by making it possible for them to work together in a better way. Authorised users (such as police officers, migration officials and border guards) will have faster, seamless and more systematic access to the information they need to do their jobs, in full compliance with fundamental rights. The Commission’s overall evaluation of the instruments will include an examination of their impa</w:t>
      </w:r>
      <w:r>
        <w:rPr>
          <w:rFonts w:ascii="Times New Roman" w:hAnsi="Times New Roman"/>
          <w:szCs w:val="24"/>
        </w:rPr>
        <w:t>ct on fundamental rights.</w:t>
      </w:r>
    </w:p>
    <w:p w:rsidR="006C6C77" w:rsidRDefault="006C6C77" w:rsidP="006C6C77">
      <w:pPr>
        <w:widowControl w:val="0"/>
        <w:spacing w:after="120"/>
        <w:rPr>
          <w:rFonts w:ascii="Times New Roman" w:hAnsi="Times New Roman"/>
          <w:szCs w:val="24"/>
        </w:rPr>
      </w:pPr>
      <w:r w:rsidRPr="00722C2C">
        <w:rPr>
          <w:rFonts w:ascii="Times New Roman" w:hAnsi="Times New Roman"/>
          <w:szCs w:val="24"/>
        </w:rPr>
        <w:t xml:space="preserve">No additional information about people will be collected </w:t>
      </w:r>
      <w:proofErr w:type="gramStart"/>
      <w:r w:rsidRPr="00722C2C">
        <w:rPr>
          <w:rFonts w:ascii="Times New Roman" w:hAnsi="Times New Roman"/>
          <w:szCs w:val="24"/>
        </w:rPr>
        <w:t>as a result</w:t>
      </w:r>
      <w:proofErr w:type="gramEnd"/>
      <w:r w:rsidRPr="00722C2C">
        <w:rPr>
          <w:rFonts w:ascii="Times New Roman" w:hAnsi="Times New Roman"/>
          <w:szCs w:val="24"/>
        </w:rPr>
        <w:t xml:space="preserve"> of the interoperability measures in this proposal. The high existing standards of EU data protection laws </w:t>
      </w:r>
      <w:proofErr w:type="gramStart"/>
      <w:r w:rsidRPr="00722C2C">
        <w:rPr>
          <w:rFonts w:ascii="Times New Roman" w:hAnsi="Times New Roman"/>
          <w:szCs w:val="24"/>
        </w:rPr>
        <w:t>will be maintained</w:t>
      </w:r>
      <w:proofErr w:type="gramEnd"/>
      <w:r w:rsidRPr="00722C2C">
        <w:rPr>
          <w:rFonts w:ascii="Times New Roman" w:hAnsi="Times New Roman"/>
          <w:szCs w:val="24"/>
        </w:rPr>
        <w:t xml:space="preserve"> and will ensure that personal data is processed fairly and proportionately. Interoperability of information systems is a way to ensure that information </w:t>
      </w:r>
      <w:proofErr w:type="gramStart"/>
      <w:r w:rsidRPr="00722C2C">
        <w:rPr>
          <w:rFonts w:ascii="Times New Roman" w:hAnsi="Times New Roman"/>
          <w:szCs w:val="24"/>
        </w:rPr>
        <w:t>is shared</w:t>
      </w:r>
      <w:proofErr w:type="gramEnd"/>
      <w:r w:rsidRPr="00722C2C">
        <w:rPr>
          <w:rFonts w:ascii="Times New Roman" w:hAnsi="Times New Roman"/>
          <w:szCs w:val="24"/>
        </w:rPr>
        <w:t xml:space="preserve"> appropriately and efficiently with those who have both the need and the right to access it. Ensuring efficient information sharing will also contribute to simplifying procedures for the </w:t>
      </w:r>
      <w:r w:rsidRPr="00722C2C">
        <w:rPr>
          <w:rFonts w:ascii="Times New Roman" w:hAnsi="Times New Roman"/>
          <w:szCs w:val="24"/>
        </w:rPr>
        <w:lastRenderedPageBreak/>
        <w:t>individuals concerned. Overall, the measures will help reassure EU citizens that any third-country national on the European territory has a known genuine identity and a valid reason to be there. Furthermore, the interoperability measures will strengthen the capability of the EU to combat crime and terrorism and to ensure security.</w:t>
      </w:r>
    </w:p>
    <w:p w:rsidR="006C6C77" w:rsidRPr="005D0379" w:rsidRDefault="006C6C77" w:rsidP="006C6C77">
      <w:pPr>
        <w:widowControl w:val="0"/>
        <w:spacing w:after="120"/>
        <w:rPr>
          <w:rFonts w:ascii="Times New Roman" w:hAnsi="Times New Roman"/>
          <w:szCs w:val="24"/>
        </w:rPr>
      </w:pPr>
      <w:r>
        <w:rPr>
          <w:rFonts w:ascii="Times New Roman" w:hAnsi="Times New Roman"/>
          <w:szCs w:val="24"/>
        </w:rPr>
        <w:t xml:space="preserve">As regards the call </w:t>
      </w:r>
      <w:r w:rsidRPr="005D0379">
        <w:rPr>
          <w:rFonts w:ascii="Times New Roman" w:hAnsi="Times New Roman"/>
          <w:szCs w:val="24"/>
        </w:rPr>
        <w:t>for</w:t>
      </w:r>
      <w:r>
        <w:rPr>
          <w:rFonts w:ascii="Times New Roman" w:hAnsi="Times New Roman"/>
          <w:szCs w:val="24"/>
        </w:rPr>
        <w:t xml:space="preserve"> stronger effort</w:t>
      </w:r>
      <w:r w:rsidRPr="005D0379">
        <w:rPr>
          <w:rFonts w:ascii="Times New Roman" w:hAnsi="Times New Roman"/>
          <w:szCs w:val="24"/>
        </w:rPr>
        <w:t xml:space="preserve"> </w:t>
      </w:r>
      <w:r>
        <w:rPr>
          <w:rFonts w:ascii="Times New Roman" w:hAnsi="Times New Roman"/>
          <w:szCs w:val="24"/>
        </w:rPr>
        <w:t xml:space="preserve">on integration and </w:t>
      </w:r>
      <w:r w:rsidRPr="005D0379">
        <w:rPr>
          <w:rFonts w:ascii="Times New Roman" w:hAnsi="Times New Roman"/>
          <w:szCs w:val="24"/>
        </w:rPr>
        <w:t xml:space="preserve">the stepping-up of the sharing between </w:t>
      </w:r>
      <w:r>
        <w:rPr>
          <w:rFonts w:ascii="Times New Roman" w:hAnsi="Times New Roman"/>
          <w:szCs w:val="24"/>
        </w:rPr>
        <w:t xml:space="preserve">the </w:t>
      </w:r>
      <w:r w:rsidRPr="005D0379">
        <w:rPr>
          <w:rFonts w:ascii="Times New Roman" w:hAnsi="Times New Roman"/>
          <w:szCs w:val="24"/>
        </w:rPr>
        <w:t>Member State</w:t>
      </w:r>
      <w:r>
        <w:rPr>
          <w:rFonts w:ascii="Times New Roman" w:hAnsi="Times New Roman"/>
          <w:szCs w:val="24"/>
        </w:rPr>
        <w:t xml:space="preserve">s of good integration practices, the Commission is supporting the Member States in the framework of a revamped European Integration Network. Regular meetings of this network, as well as study visits – within past months to Germany, Sweden, Portugal and Norway – provide ample possibilities to exchange of good practices on integration between the Member States. The most recent meeting of the Network in November 2018 </w:t>
      </w:r>
      <w:r w:rsidRPr="005D0379">
        <w:rPr>
          <w:rFonts w:ascii="Times New Roman" w:hAnsi="Times New Roman"/>
          <w:szCs w:val="24"/>
        </w:rPr>
        <w:t xml:space="preserve">addressed </w:t>
      </w:r>
      <w:r>
        <w:rPr>
          <w:rFonts w:ascii="Times New Roman" w:hAnsi="Times New Roman"/>
          <w:szCs w:val="24"/>
        </w:rPr>
        <w:t xml:space="preserve">specifically the situation of migrant women. Member States </w:t>
      </w:r>
      <w:r w:rsidRPr="005D0379">
        <w:rPr>
          <w:rFonts w:ascii="Times New Roman" w:hAnsi="Times New Roman"/>
          <w:szCs w:val="24"/>
        </w:rPr>
        <w:t xml:space="preserve">exchanged </w:t>
      </w:r>
      <w:r>
        <w:rPr>
          <w:rFonts w:ascii="Times New Roman" w:hAnsi="Times New Roman"/>
          <w:szCs w:val="24"/>
        </w:rPr>
        <w:t xml:space="preserve">their ideas on how to effectively </w:t>
      </w:r>
      <w:r w:rsidRPr="005D0379">
        <w:rPr>
          <w:rFonts w:ascii="Times New Roman" w:hAnsi="Times New Roman"/>
          <w:szCs w:val="24"/>
        </w:rPr>
        <w:t xml:space="preserve">outreach to </w:t>
      </w:r>
      <w:r>
        <w:rPr>
          <w:rFonts w:ascii="Times New Roman" w:hAnsi="Times New Roman"/>
          <w:szCs w:val="24"/>
        </w:rPr>
        <w:t xml:space="preserve">and empower </w:t>
      </w:r>
      <w:r w:rsidRPr="005D0379">
        <w:rPr>
          <w:rFonts w:ascii="Times New Roman" w:hAnsi="Times New Roman"/>
          <w:szCs w:val="24"/>
        </w:rPr>
        <w:t xml:space="preserve">migrant women, strengthen their participation in the labour market and their social integration. </w:t>
      </w:r>
      <w:r w:rsidRPr="001B75B3">
        <w:rPr>
          <w:rFonts w:ascii="Times New Roman" w:hAnsi="Times New Roman"/>
          <w:szCs w:val="24"/>
        </w:rPr>
        <w:t>The Commission finances also mutual assistance projects - targeted bilateral exchanges between Member States on specif</w:t>
      </w:r>
      <w:r>
        <w:rPr>
          <w:rFonts w:ascii="Times New Roman" w:hAnsi="Times New Roman"/>
          <w:szCs w:val="24"/>
        </w:rPr>
        <w:t>ic integration challenges they face</w:t>
      </w:r>
      <w:r w:rsidRPr="001B75B3">
        <w:rPr>
          <w:rFonts w:ascii="Times New Roman" w:hAnsi="Times New Roman"/>
          <w:szCs w:val="24"/>
        </w:rPr>
        <w:t>.</w:t>
      </w:r>
    </w:p>
    <w:p w:rsidR="006C6C77" w:rsidRDefault="006C6C77" w:rsidP="006C6C77">
      <w:pPr>
        <w:widowControl w:val="0"/>
        <w:spacing w:after="120"/>
        <w:rPr>
          <w:rFonts w:ascii="Times New Roman" w:hAnsi="Times New Roman"/>
          <w:szCs w:val="24"/>
        </w:rPr>
      </w:pPr>
      <w:r>
        <w:rPr>
          <w:rFonts w:ascii="Times New Roman" w:hAnsi="Times New Roman"/>
          <w:szCs w:val="24"/>
        </w:rPr>
        <w:t>The Asylum Migration and Integration Fund provides support to strengthen integration measures and enable the dissemination of good practices. S</w:t>
      </w:r>
      <w:r w:rsidRPr="005D0379">
        <w:rPr>
          <w:rFonts w:ascii="Times New Roman" w:hAnsi="Times New Roman"/>
          <w:szCs w:val="24"/>
        </w:rPr>
        <w:t xml:space="preserve">everal projects </w:t>
      </w:r>
      <w:proofErr w:type="gramStart"/>
      <w:r>
        <w:rPr>
          <w:rFonts w:ascii="Times New Roman" w:hAnsi="Times New Roman"/>
          <w:szCs w:val="24"/>
        </w:rPr>
        <w:t>were deployed</w:t>
      </w:r>
      <w:proofErr w:type="gramEnd"/>
      <w:r>
        <w:rPr>
          <w:rFonts w:ascii="Times New Roman" w:hAnsi="Times New Roman"/>
          <w:szCs w:val="24"/>
        </w:rPr>
        <w:t xml:space="preserve"> recently to</w:t>
      </w:r>
      <w:r w:rsidRPr="005D0379">
        <w:rPr>
          <w:rFonts w:ascii="Times New Roman" w:hAnsi="Times New Roman"/>
          <w:szCs w:val="24"/>
        </w:rPr>
        <w:t xml:space="preserve"> suppo</w:t>
      </w:r>
      <w:r>
        <w:rPr>
          <w:rFonts w:ascii="Times New Roman" w:hAnsi="Times New Roman"/>
          <w:szCs w:val="24"/>
        </w:rPr>
        <w:t xml:space="preserve">rt the integration of migrant women and to </w:t>
      </w:r>
      <w:r w:rsidRPr="001B75B3">
        <w:rPr>
          <w:rFonts w:ascii="Times New Roman" w:hAnsi="Times New Roman"/>
          <w:szCs w:val="24"/>
        </w:rPr>
        <w:t>rais</w:t>
      </w:r>
      <w:r>
        <w:rPr>
          <w:rFonts w:ascii="Times New Roman" w:hAnsi="Times New Roman"/>
          <w:szCs w:val="24"/>
        </w:rPr>
        <w:t xml:space="preserve">e </w:t>
      </w:r>
      <w:r w:rsidRPr="001B75B3">
        <w:rPr>
          <w:rFonts w:ascii="Times New Roman" w:hAnsi="Times New Roman"/>
          <w:szCs w:val="24"/>
        </w:rPr>
        <w:t>awareness on migrants' contribution to EU societies</w:t>
      </w:r>
      <w:r>
        <w:rPr>
          <w:rFonts w:ascii="Times New Roman" w:hAnsi="Times New Roman"/>
          <w:szCs w:val="24"/>
        </w:rPr>
        <w:t xml:space="preserve">. </w:t>
      </w:r>
    </w:p>
    <w:p w:rsidR="006C6C77" w:rsidRPr="00722C2C" w:rsidRDefault="006C6C77" w:rsidP="006C6C77">
      <w:pPr>
        <w:widowControl w:val="0"/>
        <w:spacing w:after="120"/>
        <w:rPr>
          <w:rFonts w:ascii="Times New Roman" w:hAnsi="Times New Roman"/>
          <w:b/>
          <w:szCs w:val="24"/>
        </w:rPr>
      </w:pPr>
      <w:r w:rsidRPr="00722C2C">
        <w:rPr>
          <w:rFonts w:ascii="Times New Roman" w:hAnsi="Times New Roman"/>
          <w:b/>
          <w:szCs w:val="24"/>
        </w:rPr>
        <w:t>On women’s rights</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The Commission continues to be unequivocally committed to protecting, and promoting women's fundamental rights, and to achieving gender equality. This continued and unwavering commitment is evident in our ongoing work on, for instance, promoting equal sharing of paid and unpaid work between women and men, closing the gender pay gap, preventing violence against women and supporting victims, and striving towards gender balance in decision-making</w:t>
      </w:r>
      <w:r>
        <w:rPr>
          <w:rFonts w:ascii="Times New Roman" w:hAnsi="Times New Roman"/>
          <w:szCs w:val="24"/>
        </w:rPr>
        <w:t xml:space="preserve"> within and outside the EU.</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Violence against women and girls is a serious violation of their human rights. This is why the Commission has placed combating all forms of violence against women at the front line of its work in achieving gender equality. It has in particular pushed </w:t>
      </w:r>
      <w:proofErr w:type="gramStart"/>
      <w:r w:rsidRPr="00722C2C">
        <w:rPr>
          <w:rFonts w:ascii="Times New Roman" w:hAnsi="Times New Roman"/>
          <w:szCs w:val="24"/>
        </w:rPr>
        <w:t>for the</w:t>
      </w:r>
      <w:proofErr w:type="gramEnd"/>
      <w:r w:rsidRPr="00722C2C">
        <w:rPr>
          <w:rFonts w:ascii="Times New Roman" w:hAnsi="Times New Roman"/>
          <w:szCs w:val="24"/>
        </w:rPr>
        <w:t xml:space="preserve"> EU to accede to the Council of Europe Convention on preventing and combating violence against women and domestic violence (the Istanbul Convention). The ratification of the Istanbul Convention is a top priority for the Commission. We thank the European Parliament for its strong support for as broad a scope of the EU’s accession as possible. So far, 20 Member States have ratified the Convention and all the others (BG, HU, IRL, LT, LV, SK, CZ</w:t>
      </w:r>
      <w:r>
        <w:rPr>
          <w:rFonts w:ascii="Times New Roman" w:hAnsi="Times New Roman"/>
          <w:szCs w:val="24"/>
        </w:rPr>
        <w:t xml:space="preserve"> and</w:t>
      </w:r>
      <w:r w:rsidRPr="00722C2C">
        <w:rPr>
          <w:rFonts w:ascii="Times New Roman" w:hAnsi="Times New Roman"/>
          <w:szCs w:val="24"/>
        </w:rPr>
        <w:t>, UK)</w:t>
      </w:r>
      <w:r>
        <w:rPr>
          <w:rFonts w:ascii="Times New Roman" w:hAnsi="Times New Roman"/>
          <w:szCs w:val="24"/>
        </w:rPr>
        <w:t xml:space="preserve"> are encouraged to ratify as soon as possible.</w:t>
      </w:r>
    </w:p>
    <w:p w:rsidR="006C6C77" w:rsidRPr="00722C2C" w:rsidRDefault="006C6C77" w:rsidP="006C6C77">
      <w:pPr>
        <w:widowControl w:val="0"/>
        <w:spacing w:after="120"/>
        <w:rPr>
          <w:rFonts w:ascii="Times New Roman" w:hAnsi="Times New Roman"/>
          <w:szCs w:val="24"/>
          <w:lang w:val="en-IE"/>
        </w:rPr>
      </w:pPr>
      <w:r w:rsidRPr="00722C2C">
        <w:rPr>
          <w:rFonts w:ascii="Times New Roman" w:hAnsi="Times New Roman"/>
          <w:szCs w:val="24"/>
        </w:rPr>
        <w:t>As to the calls on the Commission to propose a new legal act on the prevention and elimination of all forms of violence against women and girls and of gender-based vio</w:t>
      </w:r>
      <w:r>
        <w:rPr>
          <w:rFonts w:ascii="Times New Roman" w:hAnsi="Times New Roman"/>
          <w:szCs w:val="24"/>
        </w:rPr>
        <w:t>lence, the completion of the on</w:t>
      </w:r>
      <w:r w:rsidRPr="00722C2C">
        <w:rPr>
          <w:rFonts w:ascii="Times New Roman" w:hAnsi="Times New Roman"/>
          <w:szCs w:val="24"/>
        </w:rPr>
        <w:t>going accession process by the Union to the Istanbul Convention is a priority for the Commission. The Istanbul Convention sets out comprehensive measures to address violence against women and domestic violence. In addition, the so-called “</w:t>
      </w:r>
      <w:proofErr w:type="spellStart"/>
      <w:r w:rsidRPr="00722C2C">
        <w:rPr>
          <w:rFonts w:ascii="Times New Roman" w:hAnsi="Times New Roman"/>
          <w:szCs w:val="24"/>
        </w:rPr>
        <w:t>passerelle</w:t>
      </w:r>
      <w:proofErr w:type="spellEnd"/>
      <w:r w:rsidRPr="00722C2C">
        <w:rPr>
          <w:rFonts w:ascii="Times New Roman" w:hAnsi="Times New Roman"/>
          <w:szCs w:val="24"/>
        </w:rPr>
        <w:t xml:space="preserve"> clause” in Article 83(1) TFEU can only be activated subject to strict conditions laid down in the said provision and related to the cross-border dimension of the serious crimes in question. The Council is the institution authorised to identify, by a unanimous decision, violence against women and girls as an area of crime covered by Article 83(1) TFEU.</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It is important to note that the definiti</w:t>
      </w:r>
      <w:r>
        <w:rPr>
          <w:rFonts w:ascii="Times New Roman" w:hAnsi="Times New Roman"/>
          <w:szCs w:val="24"/>
        </w:rPr>
        <w:t>on of</w:t>
      </w:r>
      <w:r w:rsidRPr="00722C2C">
        <w:rPr>
          <w:rFonts w:ascii="Times New Roman" w:hAnsi="Times New Roman"/>
          <w:szCs w:val="24"/>
        </w:rPr>
        <w:t xml:space="preserve"> sexual harassment </w:t>
      </w:r>
      <w:r>
        <w:rPr>
          <w:rFonts w:ascii="Times New Roman" w:hAnsi="Times New Roman"/>
          <w:szCs w:val="24"/>
        </w:rPr>
        <w:t xml:space="preserve">in the Istanbul Convention </w:t>
      </w:r>
      <w:r w:rsidRPr="00722C2C">
        <w:rPr>
          <w:rFonts w:ascii="Times New Roman" w:hAnsi="Times New Roman"/>
          <w:szCs w:val="24"/>
        </w:rPr>
        <w:t xml:space="preserve">corresponds to already existing EU law on non-discrimination. Such behaviour </w:t>
      </w:r>
      <w:proofErr w:type="gramStart"/>
      <w:r w:rsidRPr="00722C2C">
        <w:rPr>
          <w:rFonts w:ascii="Times New Roman" w:hAnsi="Times New Roman"/>
          <w:szCs w:val="24"/>
        </w:rPr>
        <w:t>is sanctioned</w:t>
      </w:r>
      <w:proofErr w:type="gramEnd"/>
      <w:r w:rsidRPr="00722C2C">
        <w:rPr>
          <w:rFonts w:ascii="Times New Roman" w:hAnsi="Times New Roman"/>
          <w:szCs w:val="24"/>
        </w:rPr>
        <w:t xml:space="preserve"> in EU legislation, but reporting rates continue to be very low and cases rarely make it to </w:t>
      </w:r>
      <w:r w:rsidRPr="00722C2C">
        <w:rPr>
          <w:rFonts w:ascii="Times New Roman" w:hAnsi="Times New Roman"/>
          <w:szCs w:val="24"/>
        </w:rPr>
        <w:lastRenderedPageBreak/>
        <w:t xml:space="preserve">courts. The Commission is committed to continue working with national equality bodies to address this problem and provide support to victims. The Victims' Rights Directive, which came into force in 2015, requires the Member States to protect and support victims and give them an active role in criminal proceedings. Unfortunately, not all </w:t>
      </w:r>
      <w:r>
        <w:rPr>
          <w:rFonts w:ascii="Times New Roman" w:hAnsi="Times New Roman"/>
          <w:szCs w:val="24"/>
        </w:rPr>
        <w:t xml:space="preserve">the </w:t>
      </w:r>
      <w:r w:rsidRPr="00722C2C">
        <w:rPr>
          <w:rFonts w:ascii="Times New Roman" w:hAnsi="Times New Roman"/>
          <w:szCs w:val="24"/>
        </w:rPr>
        <w:t xml:space="preserve">Member States have transposed the </w:t>
      </w:r>
      <w:r>
        <w:rPr>
          <w:rFonts w:ascii="Times New Roman" w:hAnsi="Times New Roman"/>
          <w:szCs w:val="24"/>
        </w:rPr>
        <w:t>d</w:t>
      </w:r>
      <w:r w:rsidRPr="00722C2C">
        <w:rPr>
          <w:rFonts w:ascii="Times New Roman" w:hAnsi="Times New Roman"/>
          <w:szCs w:val="24"/>
        </w:rPr>
        <w:t xml:space="preserve">irective and in November </w:t>
      </w:r>
      <w:proofErr w:type="gramStart"/>
      <w:r w:rsidRPr="00722C2C">
        <w:rPr>
          <w:rFonts w:ascii="Times New Roman" w:hAnsi="Times New Roman"/>
          <w:szCs w:val="24"/>
        </w:rPr>
        <w:t>2018</w:t>
      </w:r>
      <w:proofErr w:type="gramEnd"/>
      <w:r w:rsidRPr="00722C2C">
        <w:rPr>
          <w:rFonts w:ascii="Times New Roman" w:hAnsi="Times New Roman"/>
          <w:szCs w:val="24"/>
        </w:rPr>
        <w:t xml:space="preserve"> the Commission issued Reasoned Opinions to Romania, Slovenia and Ireland.</w:t>
      </w:r>
      <w:r>
        <w:rPr>
          <w:rFonts w:ascii="Times New Roman" w:hAnsi="Times New Roman"/>
          <w:szCs w:val="24"/>
        </w:rPr>
        <w:t xml:space="preserve"> </w:t>
      </w:r>
      <w:r w:rsidRPr="00722C2C">
        <w:rPr>
          <w:rFonts w:ascii="Times New Roman" w:hAnsi="Times New Roman"/>
          <w:szCs w:val="24"/>
        </w:rPr>
        <w:t xml:space="preserve">Currently, the Commission is carefully analysing the state of completeness and correctness of transposition in all </w:t>
      </w:r>
      <w:r>
        <w:rPr>
          <w:rFonts w:ascii="Times New Roman" w:hAnsi="Times New Roman"/>
          <w:szCs w:val="24"/>
        </w:rPr>
        <w:t xml:space="preserve">the </w:t>
      </w:r>
      <w:r w:rsidRPr="00722C2C">
        <w:rPr>
          <w:rFonts w:ascii="Times New Roman" w:hAnsi="Times New Roman"/>
          <w:szCs w:val="24"/>
        </w:rPr>
        <w:t xml:space="preserve">Member States and may proceed with further infringements </w:t>
      </w:r>
      <w:r>
        <w:rPr>
          <w:rFonts w:ascii="Times New Roman" w:hAnsi="Times New Roman"/>
          <w:szCs w:val="24"/>
        </w:rPr>
        <w:t xml:space="preserve">proceedings </w:t>
      </w:r>
      <w:r w:rsidRPr="00722C2C">
        <w:rPr>
          <w:rFonts w:ascii="Times New Roman" w:hAnsi="Times New Roman"/>
          <w:szCs w:val="24"/>
        </w:rPr>
        <w:t>if necessary. In 2019, the Commission will publish a report to the European Parliament and to the Council assessing the extent to which the Member States have taken the necessary measures in order to comply with</w:t>
      </w:r>
      <w:r>
        <w:rPr>
          <w:rFonts w:ascii="Times New Roman" w:hAnsi="Times New Roman"/>
          <w:szCs w:val="24"/>
        </w:rPr>
        <w:t xml:space="preserve"> the Victims’ Rights Directive.</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Commissioner </w:t>
      </w:r>
      <w:proofErr w:type="spellStart"/>
      <w:r w:rsidRPr="00722C2C">
        <w:rPr>
          <w:rFonts w:ascii="Times New Roman" w:hAnsi="Times New Roman"/>
          <w:szCs w:val="24"/>
        </w:rPr>
        <w:t>Jourová</w:t>
      </w:r>
      <w:proofErr w:type="spellEnd"/>
      <w:r w:rsidRPr="00722C2C">
        <w:rPr>
          <w:rFonts w:ascii="Times New Roman" w:hAnsi="Times New Roman"/>
          <w:szCs w:val="24"/>
        </w:rPr>
        <w:t xml:space="preserve"> dedicated 2017 </w:t>
      </w:r>
      <w:r>
        <w:rPr>
          <w:rFonts w:ascii="Times New Roman" w:hAnsi="Times New Roman"/>
          <w:szCs w:val="24"/>
        </w:rPr>
        <w:t>as</w:t>
      </w:r>
      <w:r w:rsidRPr="00722C2C">
        <w:rPr>
          <w:rFonts w:ascii="Times New Roman" w:hAnsi="Times New Roman"/>
          <w:szCs w:val="24"/>
        </w:rPr>
        <w:t xml:space="preserve"> a Year of Focused Actions to Combat Violence against Women. The aim was to support national authorities, as well as local actors, in their ongoing fight to prevent and combat violence against women, and to support its victims. EUR 15 </w:t>
      </w:r>
      <w:proofErr w:type="gramStart"/>
      <w:r w:rsidRPr="00722C2C">
        <w:rPr>
          <w:rFonts w:ascii="Times New Roman" w:hAnsi="Times New Roman"/>
          <w:szCs w:val="24"/>
        </w:rPr>
        <w:t>million</w:t>
      </w:r>
      <w:proofErr w:type="gramEnd"/>
      <w:r w:rsidRPr="00722C2C">
        <w:rPr>
          <w:rFonts w:ascii="Times New Roman" w:hAnsi="Times New Roman"/>
          <w:szCs w:val="24"/>
        </w:rPr>
        <w:t xml:space="preserve"> was made available to fund 32 civil society and national authority-led projects. The aim was also to raise awareness about the problem and call on people to reject violence against women and speak up against it, with a dedicated communication campaign </w:t>
      </w:r>
      <w:proofErr w:type="gramStart"/>
      <w:r w:rsidRPr="00722C2C">
        <w:rPr>
          <w:rFonts w:ascii="Times New Roman" w:hAnsi="Times New Roman"/>
          <w:szCs w:val="24"/>
        </w:rPr>
        <w:t>was launched</w:t>
      </w:r>
      <w:proofErr w:type="gramEnd"/>
      <w:r w:rsidRPr="00722C2C">
        <w:rPr>
          <w:rFonts w:ascii="Times New Roman" w:hAnsi="Times New Roman"/>
          <w:szCs w:val="24"/>
        </w:rPr>
        <w:t>, under the hashtag #</w:t>
      </w:r>
      <w:proofErr w:type="spellStart"/>
      <w:r w:rsidRPr="00722C2C">
        <w:rPr>
          <w:rFonts w:ascii="Times New Roman" w:hAnsi="Times New Roman"/>
          <w:szCs w:val="24"/>
        </w:rPr>
        <w:t>SayNOStopVAW</w:t>
      </w:r>
      <w:proofErr w:type="spellEnd"/>
      <w:r w:rsidRPr="00722C2C">
        <w:rPr>
          <w:rFonts w:ascii="Times New Roman" w:hAnsi="Times New Roman"/>
          <w:szCs w:val="24"/>
        </w:rPr>
        <w:t xml:space="preserve">. The campaign ran until the end of 2018, with communication outputs still </w:t>
      </w:r>
      <w:proofErr w:type="gramStart"/>
      <w:r w:rsidRPr="00722C2C">
        <w:rPr>
          <w:rFonts w:ascii="Times New Roman" w:hAnsi="Times New Roman"/>
          <w:szCs w:val="24"/>
        </w:rPr>
        <w:t>being disseminated</w:t>
      </w:r>
      <w:proofErr w:type="gramEnd"/>
      <w:r w:rsidRPr="00722C2C">
        <w:rPr>
          <w:rFonts w:ascii="Times New Roman" w:hAnsi="Times New Roman"/>
          <w:szCs w:val="24"/>
        </w:rPr>
        <w:t xml:space="preserve"> in 2019.</w:t>
      </w:r>
    </w:p>
    <w:p w:rsidR="006C6C77" w:rsidRPr="00722C2C" w:rsidRDefault="006C6C77" w:rsidP="006C6C77">
      <w:pPr>
        <w:widowControl w:val="0"/>
        <w:spacing w:after="120"/>
        <w:rPr>
          <w:rFonts w:ascii="Times New Roman" w:hAnsi="Times New Roman"/>
          <w:szCs w:val="24"/>
        </w:rPr>
      </w:pPr>
      <w:proofErr w:type="gramStart"/>
      <w:r w:rsidRPr="00722C2C">
        <w:rPr>
          <w:rFonts w:ascii="Times New Roman" w:hAnsi="Times New Roman"/>
          <w:szCs w:val="24"/>
        </w:rPr>
        <w:t xml:space="preserve">With regard to the call on the Commission for the gender mainstreaming, the Commission points out that its gender equality policy framework, the Strategic Engagement on Gender Equality 2016-2019, focuses on five priority areas (increasing women’s labour market participation </w:t>
      </w:r>
      <w:r>
        <w:rPr>
          <w:rFonts w:ascii="Times New Roman" w:hAnsi="Times New Roman"/>
          <w:szCs w:val="24"/>
        </w:rPr>
        <w:t>and</w:t>
      </w:r>
      <w:r w:rsidRPr="00722C2C">
        <w:rPr>
          <w:rFonts w:ascii="Times New Roman" w:hAnsi="Times New Roman"/>
          <w:szCs w:val="24"/>
        </w:rPr>
        <w:t xml:space="preserve"> equal economic independence; reducing the gender pay</w:t>
      </w:r>
      <w:r>
        <w:rPr>
          <w:rFonts w:ascii="Times New Roman" w:hAnsi="Times New Roman"/>
          <w:szCs w:val="24"/>
        </w:rPr>
        <w:t xml:space="preserve"> </w:t>
      </w:r>
      <w:r w:rsidRPr="00722C2C">
        <w:rPr>
          <w:rFonts w:ascii="Times New Roman" w:hAnsi="Times New Roman"/>
          <w:szCs w:val="24"/>
        </w:rPr>
        <w:t>/earnings/</w:t>
      </w:r>
      <w:r>
        <w:rPr>
          <w:rFonts w:ascii="Times New Roman" w:hAnsi="Times New Roman"/>
          <w:szCs w:val="24"/>
        </w:rPr>
        <w:t xml:space="preserve"> </w:t>
      </w:r>
      <w:r w:rsidRPr="00722C2C">
        <w:rPr>
          <w:rFonts w:ascii="Times New Roman" w:hAnsi="Times New Roman"/>
          <w:szCs w:val="24"/>
        </w:rPr>
        <w:t>pension gaps and thus fighting poverty among women; promoting equality between women and men in decision-making; combating gender-based violence and protecting and supporting victims; as well as promoting gender equality and women's rights across the world).</w:t>
      </w:r>
      <w:proofErr w:type="gramEnd"/>
      <w:r w:rsidRPr="00722C2C">
        <w:rPr>
          <w:rFonts w:ascii="Times New Roman" w:hAnsi="Times New Roman"/>
          <w:szCs w:val="24"/>
        </w:rPr>
        <w:t xml:space="preserve"> </w:t>
      </w:r>
      <w:r>
        <w:rPr>
          <w:rFonts w:ascii="Times New Roman" w:hAnsi="Times New Roman"/>
          <w:szCs w:val="24"/>
        </w:rPr>
        <w:t xml:space="preserve">The Commission is implementing its Gender Action Plan (2016-2020) to transform lives of girls and women through EU external relations. The 2017 Gender Action Plan Implementation Report underlines that </w:t>
      </w:r>
      <w:r w:rsidRPr="00550E9D">
        <w:rPr>
          <w:rFonts w:ascii="Times New Roman" w:hAnsi="Times New Roman"/>
          <w:szCs w:val="24"/>
        </w:rPr>
        <w:t>62.8</w:t>
      </w:r>
      <w:r>
        <w:rPr>
          <w:rFonts w:ascii="Times New Roman" w:hAnsi="Times New Roman"/>
          <w:szCs w:val="24"/>
        </w:rPr>
        <w:t xml:space="preserve"> </w:t>
      </w:r>
      <w:r w:rsidRPr="00550E9D">
        <w:rPr>
          <w:rFonts w:ascii="Times New Roman" w:hAnsi="Times New Roman"/>
          <w:szCs w:val="24"/>
        </w:rPr>
        <w:t>% of EU Offi</w:t>
      </w:r>
      <w:r>
        <w:rPr>
          <w:rFonts w:ascii="Times New Roman" w:hAnsi="Times New Roman"/>
          <w:szCs w:val="24"/>
        </w:rPr>
        <w:t xml:space="preserve">cial Development Aid was committed </w:t>
      </w:r>
      <w:r w:rsidRPr="00550E9D">
        <w:rPr>
          <w:rFonts w:ascii="Times New Roman" w:hAnsi="Times New Roman"/>
          <w:szCs w:val="24"/>
        </w:rPr>
        <w:t>in a gender sensitive or gender focused way</w:t>
      </w:r>
      <w:r>
        <w:rPr>
          <w:rFonts w:ascii="Times New Roman" w:hAnsi="Times New Roman"/>
          <w:szCs w:val="24"/>
        </w:rPr>
        <w:t xml:space="preserve"> in 2017; a steady progression from </w:t>
      </w:r>
      <w:r w:rsidRPr="00550E9D">
        <w:rPr>
          <w:rFonts w:ascii="Times New Roman" w:hAnsi="Times New Roman"/>
          <w:szCs w:val="24"/>
        </w:rPr>
        <w:t>13</w:t>
      </w:r>
      <w:r>
        <w:rPr>
          <w:rFonts w:ascii="Times New Roman" w:hAnsi="Times New Roman"/>
          <w:szCs w:val="24"/>
        </w:rPr>
        <w:t xml:space="preserve"> </w:t>
      </w:r>
      <w:r w:rsidRPr="00550E9D">
        <w:rPr>
          <w:rFonts w:ascii="Times New Roman" w:hAnsi="Times New Roman"/>
          <w:szCs w:val="24"/>
        </w:rPr>
        <w:t>% in 2011 and slightly above 30</w:t>
      </w:r>
      <w:r>
        <w:rPr>
          <w:rFonts w:ascii="Times New Roman" w:hAnsi="Times New Roman"/>
          <w:szCs w:val="24"/>
        </w:rPr>
        <w:t xml:space="preserve"> </w:t>
      </w:r>
      <w:r w:rsidRPr="00550E9D">
        <w:rPr>
          <w:rFonts w:ascii="Times New Roman" w:hAnsi="Times New Roman"/>
          <w:szCs w:val="24"/>
        </w:rPr>
        <w:t>% in 2014</w:t>
      </w:r>
      <w:r>
        <w:rPr>
          <w:rFonts w:ascii="Times New Roman" w:hAnsi="Times New Roman"/>
          <w:szCs w:val="24"/>
        </w:rPr>
        <w:t xml:space="preserve">. </w:t>
      </w:r>
      <w:r w:rsidRPr="00722C2C">
        <w:rPr>
          <w:rFonts w:ascii="Times New Roman" w:hAnsi="Times New Roman"/>
          <w:szCs w:val="24"/>
        </w:rPr>
        <w:t xml:space="preserve">The importance of economic empowerment of women </w:t>
      </w:r>
      <w:proofErr w:type="gramStart"/>
      <w:r w:rsidRPr="00722C2C">
        <w:rPr>
          <w:rFonts w:ascii="Times New Roman" w:hAnsi="Times New Roman"/>
          <w:szCs w:val="24"/>
        </w:rPr>
        <w:t>has been highlighted</w:t>
      </w:r>
      <w:proofErr w:type="gramEnd"/>
      <w:r w:rsidRPr="00722C2C">
        <w:rPr>
          <w:rFonts w:ascii="Times New Roman" w:hAnsi="Times New Roman"/>
          <w:szCs w:val="24"/>
        </w:rPr>
        <w:t xml:space="preserve"> also in the European Pillar of Social Rights, which was endorsed by the European Council in November 2017. In 2019, the Commission is taking stock of the progress on gender equality under the Strategic Engagement, identifying gaps and reflecting on the priorities for the next five years.</w:t>
      </w:r>
      <w:r>
        <w:rPr>
          <w:rFonts w:ascii="Times New Roman" w:hAnsi="Times New Roman"/>
          <w:szCs w:val="24"/>
        </w:rPr>
        <w:t xml:space="preserve"> </w:t>
      </w:r>
      <w:r w:rsidRPr="00722C2C">
        <w:rPr>
          <w:rFonts w:ascii="Times New Roman" w:hAnsi="Times New Roman"/>
          <w:szCs w:val="24"/>
        </w:rPr>
        <w:t xml:space="preserve">The aim is to present the incoming Commission with a robust and ambitious policy framework for gender equality. The </w:t>
      </w:r>
      <w:proofErr w:type="gramStart"/>
      <w:r w:rsidRPr="00722C2C">
        <w:rPr>
          <w:rFonts w:ascii="Times New Roman" w:hAnsi="Times New Roman"/>
          <w:szCs w:val="24"/>
        </w:rPr>
        <w:t>decision on the institutional format of the next action will be taken by the next Commission</w:t>
      </w:r>
      <w:proofErr w:type="gramEnd"/>
      <w:r w:rsidRPr="00722C2C">
        <w:rPr>
          <w:rFonts w:ascii="Times New Roman" w:hAnsi="Times New Roman"/>
          <w:szCs w:val="24"/>
        </w:rPr>
        <w:t>.</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A crucial instrument to achieve gender equality in the European Union is the initiative adopted by the Commission in April 2017 on work-life balance of working parents and carers, allowing for both men and women to better balance their working life and family responsibilities. </w:t>
      </w:r>
      <w:proofErr w:type="gramStart"/>
      <w:r w:rsidRPr="00722C2C">
        <w:rPr>
          <w:rFonts w:ascii="Times New Roman" w:hAnsi="Times New Roman"/>
          <w:szCs w:val="24"/>
        </w:rPr>
        <w:t>A provisional agreement was reached by the co-legislators</w:t>
      </w:r>
      <w:proofErr w:type="gramEnd"/>
      <w:r w:rsidRPr="00722C2C">
        <w:rPr>
          <w:rFonts w:ascii="Times New Roman" w:hAnsi="Times New Roman"/>
          <w:szCs w:val="24"/>
        </w:rPr>
        <w:t xml:space="preserve"> in January 2019 on the proposal for a directive included in the initiative. The provisional agreement ensures that fathers across the Union will have the right to paid paternity leave (for ten working days at sick pay level). In addition, each parent will have the right to a parental leave of four months, of which at least two months </w:t>
      </w:r>
      <w:proofErr w:type="gramStart"/>
      <w:r w:rsidRPr="00722C2C">
        <w:rPr>
          <w:rFonts w:ascii="Times New Roman" w:hAnsi="Times New Roman"/>
          <w:szCs w:val="24"/>
        </w:rPr>
        <w:t>will be reserved for each parent, non-transferable between the parents and paid</w:t>
      </w:r>
      <w:proofErr w:type="gramEnd"/>
      <w:r w:rsidRPr="00722C2C">
        <w:rPr>
          <w:rFonts w:ascii="Times New Roman" w:hAnsi="Times New Roman"/>
          <w:szCs w:val="24"/>
        </w:rPr>
        <w:t xml:space="preserve">. Finally, carers will be entitled to a carers’ leave of at least five working days per year and parents with children up to at least eight years old and carers will have the right to request flexible working arrangements. This provisional agreement needs to </w:t>
      </w:r>
      <w:proofErr w:type="gramStart"/>
      <w:r w:rsidRPr="00722C2C">
        <w:rPr>
          <w:rFonts w:ascii="Times New Roman" w:hAnsi="Times New Roman"/>
          <w:szCs w:val="24"/>
        </w:rPr>
        <w:t>be adopted</w:t>
      </w:r>
      <w:proofErr w:type="gramEnd"/>
      <w:r w:rsidRPr="00722C2C">
        <w:rPr>
          <w:rFonts w:ascii="Times New Roman" w:hAnsi="Times New Roman"/>
          <w:szCs w:val="24"/>
        </w:rPr>
        <w:t xml:space="preserve"> by both the Europ</w:t>
      </w:r>
      <w:r>
        <w:rPr>
          <w:rFonts w:ascii="Times New Roman" w:hAnsi="Times New Roman"/>
          <w:szCs w:val="24"/>
        </w:rPr>
        <w:t>ean Parliament and the Council.</w:t>
      </w:r>
    </w:p>
    <w:p w:rsidR="006C6C77" w:rsidRDefault="006C6C77" w:rsidP="006C6C77">
      <w:pPr>
        <w:widowControl w:val="0"/>
        <w:spacing w:after="120"/>
        <w:rPr>
          <w:rFonts w:ascii="Times New Roman" w:hAnsi="Times New Roman"/>
        </w:rPr>
      </w:pPr>
      <w:r w:rsidRPr="00722C2C">
        <w:rPr>
          <w:rFonts w:ascii="Times New Roman" w:hAnsi="Times New Roman"/>
        </w:rPr>
        <w:lastRenderedPageBreak/>
        <w:t xml:space="preserve">Finally, the Commission recalls its legislative proposal to improve gender balance in corporate boards from 2012. It </w:t>
      </w:r>
      <w:proofErr w:type="gramStart"/>
      <w:r w:rsidRPr="00722C2C">
        <w:rPr>
          <w:rFonts w:ascii="Times New Roman" w:hAnsi="Times New Roman"/>
        </w:rPr>
        <w:t>is based</w:t>
      </w:r>
      <w:proofErr w:type="gramEnd"/>
      <w:r w:rsidRPr="00722C2C">
        <w:rPr>
          <w:rFonts w:ascii="Times New Roman" w:hAnsi="Times New Roman"/>
        </w:rPr>
        <w:t xml:space="preserve"> on a flexible and proportionate approach, which does not imply binding quota obligations. It sets a quantitative objective of at least 40 per cent representation for each gender among non-executive directors, or of 33 per cent for all types of directors. This objective </w:t>
      </w:r>
      <w:proofErr w:type="gramStart"/>
      <w:r w:rsidRPr="00722C2C">
        <w:rPr>
          <w:rFonts w:ascii="Times New Roman" w:hAnsi="Times New Roman"/>
        </w:rPr>
        <w:t>is not linked</w:t>
      </w:r>
      <w:proofErr w:type="gramEnd"/>
      <w:r w:rsidRPr="00722C2C">
        <w:rPr>
          <w:rFonts w:ascii="Times New Roman" w:hAnsi="Times New Roman"/>
        </w:rPr>
        <w:t xml:space="preserve"> to a binding quota obligation that would lead to sanctions if not reached, but to a procedural commitment: listed companies that do not meet the target would need to ensure fair and transparent selection procedures for the selection of candidates for board positions. The proposed directive explicitly provides for the possibility of </w:t>
      </w:r>
      <w:r>
        <w:rPr>
          <w:rFonts w:ascii="Times New Roman" w:hAnsi="Times New Roman"/>
        </w:rPr>
        <w:t xml:space="preserve">the </w:t>
      </w:r>
      <w:r w:rsidRPr="00722C2C">
        <w:rPr>
          <w:rFonts w:ascii="Times New Roman" w:hAnsi="Times New Roman"/>
        </w:rPr>
        <w:t>Member States to reach the objectives by alternative means -</w:t>
      </w:r>
      <w:r w:rsidRPr="00722C2C">
        <w:t xml:space="preserve"> </w:t>
      </w:r>
      <w:r w:rsidRPr="00722C2C">
        <w:rPr>
          <w:rFonts w:ascii="Times New Roman" w:hAnsi="Times New Roman"/>
        </w:rPr>
        <w:t xml:space="preserve">they would be free to maintain and apply their existing effective measures aimed to improve gender balance in corporate boards. The proposal </w:t>
      </w:r>
      <w:proofErr w:type="gramStart"/>
      <w:r w:rsidRPr="00722C2C">
        <w:rPr>
          <w:rFonts w:ascii="Times New Roman" w:hAnsi="Times New Roman"/>
        </w:rPr>
        <w:t>is being negotiated</w:t>
      </w:r>
      <w:proofErr w:type="gramEnd"/>
      <w:r w:rsidRPr="00722C2C">
        <w:rPr>
          <w:rFonts w:ascii="Times New Roman" w:hAnsi="Times New Roman"/>
        </w:rPr>
        <w:t xml:space="preserve"> between the Member States, with the majority of them supporting it. Unfortunately, some Member States have not yet defined their position, which does not permit the co-legislators to co</w:t>
      </w:r>
      <w:r>
        <w:rPr>
          <w:rFonts w:ascii="Times New Roman" w:hAnsi="Times New Roman"/>
        </w:rPr>
        <w:t>mplete the negotiation process.</w:t>
      </w:r>
    </w:p>
    <w:p w:rsidR="006C6C77" w:rsidRPr="0066025B" w:rsidRDefault="006C6C77" w:rsidP="006C6C77">
      <w:pPr>
        <w:widowControl w:val="0"/>
        <w:spacing w:after="120"/>
        <w:rPr>
          <w:rFonts w:ascii="Times New Roman" w:hAnsi="Times New Roman"/>
        </w:rPr>
      </w:pPr>
      <w:r w:rsidRPr="0066025B">
        <w:rPr>
          <w:rFonts w:ascii="Times New Roman" w:hAnsi="Times New Roman"/>
        </w:rPr>
        <w:t>As concerns advocacy and civil society involvement, apart from support of European Women’s Lobby the Commission also financially supports the operating costs of a number of EU level networks on disability through the Rights, Equality and Citizenship programme. They work on issues relevant to people with disabilities, including women, girls and boys. For example, the European Disability Forum was implementing a Gender Equality Action Plan 2015-2017.</w:t>
      </w:r>
    </w:p>
    <w:p w:rsidR="006C6C77" w:rsidRPr="0066025B" w:rsidRDefault="006C6C77" w:rsidP="006C6C77">
      <w:pPr>
        <w:widowControl w:val="0"/>
        <w:spacing w:after="120"/>
        <w:rPr>
          <w:rFonts w:ascii="Times New Roman" w:hAnsi="Times New Roman"/>
        </w:rPr>
      </w:pPr>
      <w:r w:rsidRPr="0066025B">
        <w:rPr>
          <w:rFonts w:ascii="Times New Roman" w:hAnsi="Times New Roman"/>
        </w:rPr>
        <w:t xml:space="preserve">At the same </w:t>
      </w:r>
      <w:proofErr w:type="gramStart"/>
      <w:r w:rsidRPr="0066025B">
        <w:rPr>
          <w:rFonts w:ascii="Times New Roman" w:hAnsi="Times New Roman"/>
        </w:rPr>
        <w:t>time</w:t>
      </w:r>
      <w:proofErr w:type="gramEnd"/>
      <w:r w:rsidRPr="0066025B">
        <w:rPr>
          <w:rFonts w:ascii="Times New Roman" w:hAnsi="Times New Roman"/>
        </w:rPr>
        <w:t xml:space="preserve"> the Commission provides for sharing information and good practices via the High Level Group on Disability (which is composed of representatives of </w:t>
      </w:r>
      <w:r>
        <w:rPr>
          <w:rFonts w:ascii="Times New Roman" w:hAnsi="Times New Roman"/>
        </w:rPr>
        <w:t xml:space="preserve">the </w:t>
      </w:r>
      <w:r w:rsidRPr="0066025B">
        <w:rPr>
          <w:rFonts w:ascii="Times New Roman" w:hAnsi="Times New Roman"/>
        </w:rPr>
        <w:t>Member States, civil society</w:t>
      </w:r>
      <w:r>
        <w:rPr>
          <w:rFonts w:ascii="Times New Roman" w:hAnsi="Times New Roman"/>
        </w:rPr>
        <w:t xml:space="preserve"> and</w:t>
      </w:r>
      <w:r w:rsidRPr="0066025B">
        <w:rPr>
          <w:rFonts w:ascii="Times New Roman" w:hAnsi="Times New Roman"/>
        </w:rPr>
        <w:t xml:space="preserve"> the Council of Europe). There were three discussions in the group on women on 15 December 2016 (in general on women with disabilities, and on the Strategic Engagement for gender equality), on 18 May 2017 (campaign on violence) and on 25 October 2018 (</w:t>
      </w:r>
      <w:r>
        <w:rPr>
          <w:rFonts w:ascii="Times New Roman" w:hAnsi="Times New Roman"/>
        </w:rPr>
        <w:t xml:space="preserve">the </w:t>
      </w:r>
      <w:r w:rsidRPr="0066025B">
        <w:rPr>
          <w:rFonts w:ascii="Times New Roman" w:hAnsi="Times New Roman"/>
        </w:rPr>
        <w:t xml:space="preserve">European Economic and Social Committee presented its </w:t>
      </w:r>
      <w:r>
        <w:rPr>
          <w:rFonts w:ascii="Times New Roman" w:hAnsi="Times New Roman"/>
        </w:rPr>
        <w:t>o</w:t>
      </w:r>
      <w:r w:rsidRPr="0066025B">
        <w:rPr>
          <w:rFonts w:ascii="Times New Roman" w:hAnsi="Times New Roman"/>
        </w:rPr>
        <w:t>pinion on the situation of women with disabilities). Other discussions take place in scope of annual Work Forums and European Day of Persons with Disabilities conferences.</w:t>
      </w:r>
    </w:p>
    <w:p w:rsidR="006C6C77" w:rsidRPr="00722C2C" w:rsidRDefault="006C6C77" w:rsidP="006C6C77">
      <w:pPr>
        <w:widowControl w:val="0"/>
        <w:spacing w:after="120"/>
        <w:rPr>
          <w:rFonts w:ascii="Times New Roman" w:hAnsi="Times New Roman"/>
        </w:rPr>
      </w:pPr>
      <w:r w:rsidRPr="0066025B">
        <w:rPr>
          <w:rFonts w:ascii="Times New Roman" w:hAnsi="Times New Roman"/>
        </w:rPr>
        <w:t xml:space="preserve">For making policy and legal practitioners aware of the UN Convention on the Rights of Persons with Disabilities and its legal implication, the Commission supports the Academy of European Law to provide trainings on this area. Partners of </w:t>
      </w:r>
      <w:r>
        <w:rPr>
          <w:rFonts w:ascii="Times New Roman" w:hAnsi="Times New Roman"/>
        </w:rPr>
        <w:t xml:space="preserve">the </w:t>
      </w:r>
      <w:r w:rsidRPr="0066025B">
        <w:rPr>
          <w:rFonts w:ascii="Times New Roman" w:hAnsi="Times New Roman"/>
        </w:rPr>
        <w:t xml:space="preserve">Academy of European Law are European Disability Forum and the European Foundation Centre. In </w:t>
      </w:r>
      <w:proofErr w:type="gramStart"/>
      <w:r w:rsidRPr="0066025B">
        <w:rPr>
          <w:rFonts w:ascii="Times New Roman" w:hAnsi="Times New Roman"/>
        </w:rPr>
        <w:t>2017</w:t>
      </w:r>
      <w:proofErr w:type="gramEnd"/>
      <w:r w:rsidRPr="0066025B">
        <w:rPr>
          <w:rFonts w:ascii="Times New Roman" w:hAnsi="Times New Roman"/>
        </w:rPr>
        <w:t xml:space="preserve"> they organised six seminars. The seminars covered the Convention and its legal status in general, and several specific topics, articles of the Convention and case studies. For example during a seminar in Prague in October </w:t>
      </w:r>
      <w:proofErr w:type="gramStart"/>
      <w:r w:rsidRPr="0066025B">
        <w:rPr>
          <w:rFonts w:ascii="Times New Roman" w:hAnsi="Times New Roman"/>
        </w:rPr>
        <w:t>2017</w:t>
      </w:r>
      <w:proofErr w:type="gramEnd"/>
      <w:r w:rsidRPr="0066025B">
        <w:rPr>
          <w:rFonts w:ascii="Times New Roman" w:hAnsi="Times New Roman"/>
        </w:rPr>
        <w:t xml:space="preserve"> women with disabilities were specifically covered.</w:t>
      </w:r>
    </w:p>
    <w:p w:rsidR="006C6C77" w:rsidRPr="00722C2C" w:rsidRDefault="006C6C77" w:rsidP="006C6C77">
      <w:pPr>
        <w:pStyle w:val="Normal12Hanging"/>
        <w:spacing w:after="120"/>
        <w:jc w:val="both"/>
        <w:rPr>
          <w:b/>
        </w:rPr>
      </w:pPr>
      <w:r w:rsidRPr="00722C2C">
        <w:rPr>
          <w:b/>
        </w:rPr>
        <w:t>On media freedom, freedom of expression and freedom of assembly</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The Commission defends media freedom and pluralism within its competences. </w:t>
      </w:r>
      <w:r>
        <w:rPr>
          <w:rFonts w:ascii="Times New Roman" w:hAnsi="Times New Roman"/>
          <w:szCs w:val="24"/>
        </w:rPr>
        <w:t>I</w:t>
      </w:r>
      <w:r w:rsidRPr="00722C2C">
        <w:rPr>
          <w:rFonts w:ascii="Times New Roman" w:hAnsi="Times New Roman"/>
          <w:szCs w:val="24"/>
        </w:rPr>
        <w:t xml:space="preserve">t </w:t>
      </w:r>
      <w:r>
        <w:rPr>
          <w:rFonts w:ascii="Times New Roman" w:hAnsi="Times New Roman"/>
          <w:szCs w:val="24"/>
        </w:rPr>
        <w:t xml:space="preserve">also </w:t>
      </w:r>
      <w:r w:rsidRPr="00722C2C">
        <w:rPr>
          <w:rFonts w:ascii="Times New Roman" w:hAnsi="Times New Roman"/>
          <w:szCs w:val="24"/>
        </w:rPr>
        <w:t xml:space="preserve">acts as a facilitator. In particular, the Commission has provided funds for the establishment and </w:t>
      </w:r>
      <w:r>
        <w:rPr>
          <w:rFonts w:ascii="Times New Roman" w:hAnsi="Times New Roman"/>
          <w:szCs w:val="24"/>
        </w:rPr>
        <w:t>activities</w:t>
      </w:r>
      <w:r w:rsidRPr="00722C2C">
        <w:rPr>
          <w:rFonts w:ascii="Times New Roman" w:hAnsi="Times New Roman"/>
          <w:szCs w:val="24"/>
        </w:rPr>
        <w:t xml:space="preserve"> of the European Centre for Press and Media Freedom (ECPMF), based in Leipzig, to unite Europe’s fragmented media freedom community and to address media freedom violations in EU member states and beyond. The Centre </w:t>
      </w:r>
      <w:r>
        <w:rPr>
          <w:rFonts w:ascii="Times New Roman" w:hAnsi="Times New Roman"/>
          <w:szCs w:val="24"/>
        </w:rPr>
        <w:t>has</w:t>
      </w:r>
      <w:r w:rsidRPr="00722C2C">
        <w:rPr>
          <w:rFonts w:ascii="Times New Roman" w:hAnsi="Times New Roman"/>
          <w:szCs w:val="24"/>
        </w:rPr>
        <w:t xml:space="preserve"> operat</w:t>
      </w:r>
      <w:r>
        <w:rPr>
          <w:rFonts w:ascii="Times New Roman" w:hAnsi="Times New Roman"/>
          <w:szCs w:val="24"/>
        </w:rPr>
        <w:t>ed</w:t>
      </w:r>
      <w:r w:rsidRPr="00722C2C">
        <w:rPr>
          <w:rFonts w:ascii="Times New Roman" w:hAnsi="Times New Roman"/>
          <w:szCs w:val="24"/>
        </w:rPr>
        <w:t xml:space="preserve"> a funding scheme for cross-border investigative journalism, with the International Press Institute (IPI). In June 2018, an independent jury selected 12 investigative journalism projects for funding under the inaugural round of the Investigative Journalism for EU (IJ4EU) fund.</w:t>
      </w:r>
      <w:r>
        <w:rPr>
          <w:rFonts w:ascii="Times New Roman" w:hAnsi="Times New Roman"/>
          <w:szCs w:val="24"/>
        </w:rPr>
        <w:t xml:space="preserve"> </w:t>
      </w:r>
      <w:r w:rsidRPr="00722C2C">
        <w:rPr>
          <w:rFonts w:ascii="Times New Roman" w:hAnsi="Times New Roman"/>
          <w:szCs w:val="24"/>
        </w:rPr>
        <w:t>More than 60 teams of EU-based journalists pres</w:t>
      </w:r>
      <w:r>
        <w:rPr>
          <w:rFonts w:ascii="Times New Roman" w:hAnsi="Times New Roman"/>
          <w:szCs w:val="24"/>
        </w:rPr>
        <w:t xml:space="preserve">ented projects worth more than EUR </w:t>
      </w:r>
      <w:r w:rsidRPr="00722C2C">
        <w:rPr>
          <w:rFonts w:ascii="Times New Roman" w:hAnsi="Times New Roman"/>
          <w:szCs w:val="24"/>
        </w:rPr>
        <w:t xml:space="preserve">3 million as part of the call. Also thanks to EU funding, Index on Censorship </w:t>
      </w:r>
      <w:r>
        <w:rPr>
          <w:rFonts w:ascii="Times New Roman" w:hAnsi="Times New Roman"/>
          <w:szCs w:val="24"/>
        </w:rPr>
        <w:t xml:space="preserve">managed the </w:t>
      </w:r>
      <w:proofErr w:type="gramStart"/>
      <w:r w:rsidRPr="00722C2C">
        <w:rPr>
          <w:rFonts w:ascii="Times New Roman" w:hAnsi="Times New Roman"/>
          <w:szCs w:val="24"/>
        </w:rPr>
        <w:t>mapping media freedom platform</w:t>
      </w:r>
      <w:proofErr w:type="gramEnd"/>
      <w:r w:rsidRPr="00722C2C">
        <w:rPr>
          <w:rFonts w:ascii="Times New Roman" w:hAnsi="Times New Roman"/>
          <w:szCs w:val="24"/>
        </w:rPr>
        <w:t>, to provide further assistance to journalists and disseminate knowledge</w:t>
      </w:r>
      <w:r>
        <w:rPr>
          <w:rFonts w:ascii="Times New Roman" w:hAnsi="Times New Roman"/>
          <w:szCs w:val="24"/>
        </w:rPr>
        <w:t xml:space="preserve"> about media freedom in Europe.</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Another EU-financed project is the Media Pluralism Monitor</w:t>
      </w:r>
      <w:r>
        <w:rPr>
          <w:rFonts w:ascii="Times New Roman" w:hAnsi="Times New Roman"/>
          <w:szCs w:val="24"/>
        </w:rPr>
        <w:t>, which</w:t>
      </w:r>
      <w:r w:rsidRPr="00722C2C">
        <w:rPr>
          <w:rFonts w:ascii="Times New Roman" w:hAnsi="Times New Roman"/>
          <w:szCs w:val="24"/>
        </w:rPr>
        <w:t xml:space="preserve"> aims at identifying and </w:t>
      </w:r>
      <w:r w:rsidRPr="00722C2C">
        <w:rPr>
          <w:rFonts w:ascii="Times New Roman" w:hAnsi="Times New Roman"/>
          <w:szCs w:val="24"/>
        </w:rPr>
        <w:lastRenderedPageBreak/>
        <w:t xml:space="preserve">highlighting risks faced by media pluralism in the EU with a broad set of indicators, covering legal, economic and socio-demographic aspects. Over the past years, the European University Institute (EUI) in Florence has monitored the situation in all </w:t>
      </w:r>
      <w:r>
        <w:rPr>
          <w:rFonts w:ascii="Times New Roman" w:hAnsi="Times New Roman"/>
          <w:szCs w:val="24"/>
        </w:rPr>
        <w:t xml:space="preserve">the </w:t>
      </w:r>
      <w:r w:rsidRPr="00722C2C">
        <w:rPr>
          <w:rFonts w:ascii="Times New Roman" w:hAnsi="Times New Roman"/>
          <w:szCs w:val="24"/>
        </w:rPr>
        <w:t>Member States in an independent manner. While the level of risks vary significantly across the EU, the results of this monitoring exercise show that no Member State is immune from risks when it comes to media pluralism. In 2019, the Centre for Media Pluralism and Media Freedom (CMPF) is conducting a study on the Indicators required to assess risks to Information Pluralism in the Digital Age.</w:t>
      </w:r>
      <w:r>
        <w:rPr>
          <w:rFonts w:ascii="Times New Roman" w:hAnsi="Times New Roman"/>
          <w:szCs w:val="24"/>
        </w:rPr>
        <w:t xml:space="preserve"> </w:t>
      </w:r>
      <w:r w:rsidRPr="00722C2C">
        <w:rPr>
          <w:rFonts w:ascii="Times New Roman" w:hAnsi="Times New Roman"/>
          <w:szCs w:val="24"/>
        </w:rPr>
        <w:t>It will then implement this Media Pluralism Monitor in the EU Member States and in two candidate countries, covering the years 2018 and 2019.</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Following the initiative of the European Parliament, the Commission </w:t>
      </w:r>
      <w:r>
        <w:rPr>
          <w:rFonts w:ascii="Times New Roman" w:hAnsi="Times New Roman"/>
          <w:szCs w:val="24"/>
        </w:rPr>
        <w:t>has</w:t>
      </w:r>
      <w:r w:rsidRPr="00722C2C">
        <w:rPr>
          <w:rFonts w:ascii="Times New Roman" w:hAnsi="Times New Roman"/>
          <w:szCs w:val="24"/>
        </w:rPr>
        <w:t xml:space="preserve"> launch</w:t>
      </w:r>
      <w:r>
        <w:rPr>
          <w:rFonts w:ascii="Times New Roman" w:hAnsi="Times New Roman"/>
          <w:szCs w:val="24"/>
        </w:rPr>
        <w:t>ed</w:t>
      </w:r>
      <w:r w:rsidRPr="00722C2C">
        <w:rPr>
          <w:rFonts w:ascii="Times New Roman" w:hAnsi="Times New Roman"/>
          <w:szCs w:val="24"/>
        </w:rPr>
        <w:t xml:space="preserve"> </w:t>
      </w:r>
      <w:r>
        <w:rPr>
          <w:rFonts w:ascii="Times New Roman" w:hAnsi="Times New Roman"/>
          <w:szCs w:val="24"/>
        </w:rPr>
        <w:t xml:space="preserve">three </w:t>
      </w:r>
      <w:r w:rsidRPr="00722C2C">
        <w:rPr>
          <w:rFonts w:ascii="Times New Roman" w:hAnsi="Times New Roman"/>
          <w:szCs w:val="24"/>
        </w:rPr>
        <w:t xml:space="preserve">calls for new </w:t>
      </w:r>
      <w:r>
        <w:rPr>
          <w:rFonts w:ascii="Times New Roman" w:hAnsi="Times New Roman"/>
          <w:szCs w:val="24"/>
        </w:rPr>
        <w:t>p</w:t>
      </w:r>
      <w:r w:rsidRPr="00722C2C">
        <w:rPr>
          <w:rFonts w:ascii="Times New Roman" w:hAnsi="Times New Roman"/>
          <w:szCs w:val="24"/>
        </w:rPr>
        <w:t xml:space="preserve">ilot </w:t>
      </w:r>
      <w:proofErr w:type="gramStart"/>
      <w:r>
        <w:rPr>
          <w:rFonts w:ascii="Times New Roman" w:hAnsi="Times New Roman"/>
          <w:szCs w:val="24"/>
        </w:rPr>
        <w:t>p</w:t>
      </w:r>
      <w:r w:rsidRPr="00722C2C">
        <w:rPr>
          <w:rFonts w:ascii="Times New Roman" w:hAnsi="Times New Roman"/>
          <w:szCs w:val="24"/>
        </w:rPr>
        <w:t>rojects which</w:t>
      </w:r>
      <w:proofErr w:type="gramEnd"/>
      <w:r w:rsidRPr="00722C2C">
        <w:rPr>
          <w:rFonts w:ascii="Times New Roman" w:hAnsi="Times New Roman"/>
          <w:szCs w:val="24"/>
        </w:rPr>
        <w:t xml:space="preserve"> are expected to establish exchange programmes for media practitioners and training for minority languages journalists, support media councils</w:t>
      </w:r>
      <w:r>
        <w:rPr>
          <w:rFonts w:ascii="Times New Roman" w:hAnsi="Times New Roman"/>
          <w:szCs w:val="24"/>
        </w:rPr>
        <w:t>.</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It </w:t>
      </w:r>
      <w:proofErr w:type="gramStart"/>
      <w:r w:rsidRPr="00722C2C">
        <w:rPr>
          <w:rFonts w:ascii="Times New Roman" w:hAnsi="Times New Roman"/>
          <w:szCs w:val="24"/>
        </w:rPr>
        <w:t>is expected</w:t>
      </w:r>
      <w:proofErr w:type="gramEnd"/>
      <w:r w:rsidRPr="00722C2C">
        <w:rPr>
          <w:rFonts w:ascii="Times New Roman" w:hAnsi="Times New Roman"/>
          <w:szCs w:val="24"/>
        </w:rPr>
        <w:t xml:space="preserve"> that the next MFF will allow funding activities in the field of quality journalism, media freedom, media pluralism and media literacy in a more stable and structured way under the Creative Europe Programme proposed by the Commission and currently under negotiation by Parliament and Council.</w:t>
      </w:r>
    </w:p>
    <w:p w:rsidR="006C6C77" w:rsidRPr="00722C2C" w:rsidRDefault="006C6C77" w:rsidP="006C6C77">
      <w:pPr>
        <w:pStyle w:val="Normal12Hanging"/>
        <w:spacing w:after="120"/>
        <w:ind w:left="0" w:firstLine="0"/>
        <w:jc w:val="both"/>
        <w:rPr>
          <w:szCs w:val="24"/>
        </w:rPr>
      </w:pPr>
      <w:r w:rsidRPr="00722C2C">
        <w:rPr>
          <w:szCs w:val="24"/>
        </w:rPr>
        <w:t xml:space="preserve">On 26 April </w:t>
      </w:r>
      <w:proofErr w:type="gramStart"/>
      <w:r w:rsidRPr="00722C2C">
        <w:rPr>
          <w:szCs w:val="24"/>
        </w:rPr>
        <w:t>2018</w:t>
      </w:r>
      <w:proofErr w:type="gramEnd"/>
      <w:r w:rsidRPr="00722C2C">
        <w:rPr>
          <w:szCs w:val="24"/>
        </w:rPr>
        <w:t xml:space="preserve"> the Commission adopted a Communication on Tackling online disinformation: a European approach. The Communication is the Commission's policy response to the phenomenon of disinformation. The Communication reflects the Commission's commitment to improving European citizens' access to quality and unbiased information online. It was developed following a multi-stakeholder </w:t>
      </w:r>
      <w:proofErr w:type="gramStart"/>
      <w:r w:rsidRPr="00722C2C">
        <w:rPr>
          <w:szCs w:val="24"/>
        </w:rPr>
        <w:t>consultation which</w:t>
      </w:r>
      <w:proofErr w:type="gramEnd"/>
      <w:r w:rsidRPr="00722C2C">
        <w:rPr>
          <w:szCs w:val="24"/>
        </w:rPr>
        <w:t xml:space="preserve"> delivered rich results, notably the recommendations of the independent High Level Group. This comprehensive approach to disinformation seeks to be both inclusive and action-oriented in order to achieve a speedy reduction in the volume of fake news. It incentivises the market players and civil society to take immediate action starting in July 2018. On 5 December </w:t>
      </w:r>
      <w:proofErr w:type="gramStart"/>
      <w:r w:rsidRPr="00722C2C">
        <w:rPr>
          <w:szCs w:val="24"/>
        </w:rPr>
        <w:t>2018</w:t>
      </w:r>
      <w:proofErr w:type="gramEnd"/>
      <w:r w:rsidRPr="00722C2C">
        <w:rPr>
          <w:szCs w:val="24"/>
        </w:rPr>
        <w:t xml:space="preserve"> the Commission adopted its Action Plan against Disinformation which is based on four pillars: (i) improving the capabilities of Union institutions to detect, analyse and expose disinformation;</w:t>
      </w:r>
      <w:r>
        <w:rPr>
          <w:szCs w:val="24"/>
        </w:rPr>
        <w:t xml:space="preserve"> </w:t>
      </w:r>
      <w:r w:rsidRPr="00722C2C">
        <w:rPr>
          <w:szCs w:val="24"/>
        </w:rPr>
        <w:t>(ii) strengthening coordinated and joint responses to disinformation; (iii) mobilising private sector to tackle disinformation; (iv) raising awareness and improving societal resilience.</w:t>
      </w:r>
    </w:p>
    <w:p w:rsidR="006C6C77" w:rsidRDefault="006C6C77" w:rsidP="006C6C77">
      <w:pPr>
        <w:pStyle w:val="Normal12Hanging"/>
        <w:spacing w:after="120"/>
        <w:ind w:left="0" w:firstLine="0"/>
        <w:jc w:val="both"/>
        <w:rPr>
          <w:szCs w:val="24"/>
        </w:rPr>
      </w:pPr>
      <w:proofErr w:type="gramStart"/>
      <w:r w:rsidRPr="00722C2C">
        <w:rPr>
          <w:szCs w:val="24"/>
        </w:rPr>
        <w:t>The Commission is aware of challenges to media freedom and pluralism in the Member States and is taking a number of measures to strengthen media freedom and pluralism across the EU</w:t>
      </w:r>
      <w:r>
        <w:rPr>
          <w:rStyle w:val="FootnoteReference"/>
          <w:szCs w:val="24"/>
        </w:rPr>
        <w:footnoteReference w:id="6"/>
      </w:r>
      <w:r w:rsidRPr="00722C2C">
        <w:rPr>
          <w:szCs w:val="24"/>
        </w:rPr>
        <w:t>.</w:t>
      </w:r>
      <w:proofErr w:type="gramEnd"/>
      <w:r w:rsidRPr="00722C2C">
        <w:rPr>
          <w:szCs w:val="24"/>
        </w:rPr>
        <w:t xml:space="preserve"> For example, the revised </w:t>
      </w:r>
      <w:proofErr w:type="spellStart"/>
      <w:r w:rsidRPr="00722C2C">
        <w:rPr>
          <w:szCs w:val="24"/>
        </w:rPr>
        <w:t>Audiovisual</w:t>
      </w:r>
      <w:proofErr w:type="spellEnd"/>
      <w:r w:rsidRPr="00722C2C">
        <w:rPr>
          <w:szCs w:val="24"/>
        </w:rPr>
        <w:t xml:space="preserve"> Media Services Directive will require regulatory authorities in the field of </w:t>
      </w:r>
      <w:proofErr w:type="spellStart"/>
      <w:r w:rsidRPr="00722C2C">
        <w:rPr>
          <w:szCs w:val="24"/>
        </w:rPr>
        <w:t>audiovisual</w:t>
      </w:r>
      <w:proofErr w:type="spellEnd"/>
      <w:r w:rsidRPr="00722C2C">
        <w:rPr>
          <w:szCs w:val="24"/>
        </w:rPr>
        <w:t xml:space="preserve"> media services to be independent and lays down the requirements of independence </w:t>
      </w:r>
      <w:r>
        <w:rPr>
          <w:szCs w:val="24"/>
        </w:rPr>
        <w:t>with which</w:t>
      </w:r>
      <w:r w:rsidRPr="00722C2C">
        <w:rPr>
          <w:szCs w:val="24"/>
        </w:rPr>
        <w:t xml:space="preserve"> they have to comply.</w:t>
      </w:r>
      <w:r>
        <w:rPr>
          <w:szCs w:val="24"/>
        </w:rPr>
        <w:t xml:space="preserve"> </w:t>
      </w:r>
      <w:r w:rsidRPr="00722C2C">
        <w:rPr>
          <w:szCs w:val="24"/>
        </w:rPr>
        <w:t xml:space="preserve">The Commission's proposal for a </w:t>
      </w:r>
      <w:r>
        <w:rPr>
          <w:szCs w:val="24"/>
        </w:rPr>
        <w:t>d</w:t>
      </w:r>
      <w:r w:rsidRPr="00722C2C">
        <w:rPr>
          <w:szCs w:val="24"/>
        </w:rPr>
        <w:t>irective on copyright in the Digital Single Market includes a new rela</w:t>
      </w:r>
      <w:r>
        <w:rPr>
          <w:szCs w:val="24"/>
        </w:rPr>
        <w:t>ted right for press publishers.</w:t>
      </w:r>
    </w:p>
    <w:p w:rsidR="006C6C77" w:rsidRPr="00722C2C" w:rsidRDefault="006C6C77" w:rsidP="006C6C77">
      <w:pPr>
        <w:pStyle w:val="Normal12Hanging"/>
        <w:spacing w:after="120"/>
        <w:ind w:left="0" w:firstLine="0"/>
        <w:jc w:val="both"/>
        <w:rPr>
          <w:szCs w:val="24"/>
        </w:rPr>
      </w:pPr>
      <w:r w:rsidRPr="00722C2C">
        <w:rPr>
          <w:szCs w:val="24"/>
        </w:rPr>
        <w:t>The Commission has also presented an initiative for the protection of whistle-blowers, with an aim to adopt it before the end of the mandate. Whistle-blowers play an important role also as a source of information for journalists. Protecting them is therefore crucial for safeguarding the "watchdog" role of investigative journalism.</w:t>
      </w:r>
    </w:p>
    <w:p w:rsidR="006C6C77" w:rsidRPr="00722C2C" w:rsidRDefault="006C6C77" w:rsidP="006C6C77">
      <w:pPr>
        <w:pStyle w:val="Normal12Hanging"/>
        <w:spacing w:after="120"/>
        <w:ind w:left="0" w:firstLine="0"/>
        <w:jc w:val="both"/>
        <w:rPr>
          <w:szCs w:val="24"/>
        </w:rPr>
      </w:pPr>
      <w:r w:rsidRPr="00722C2C">
        <w:rPr>
          <w:szCs w:val="24"/>
        </w:rPr>
        <w:t xml:space="preserve">With regard to the freedom of assembly and of association, they constitute the essential foundations of our democratic societies, enshrined in the Charter of Fundamental Rights. The provisions of the Charter, however, </w:t>
      </w:r>
      <w:proofErr w:type="gramStart"/>
      <w:r w:rsidRPr="00722C2C">
        <w:rPr>
          <w:szCs w:val="24"/>
        </w:rPr>
        <w:t>are addressed</w:t>
      </w:r>
      <w:proofErr w:type="gramEnd"/>
      <w:r w:rsidRPr="00722C2C">
        <w:rPr>
          <w:szCs w:val="24"/>
        </w:rPr>
        <w:t xml:space="preserve"> to the Member States only when they are </w:t>
      </w:r>
      <w:r w:rsidRPr="00722C2C">
        <w:rPr>
          <w:szCs w:val="24"/>
        </w:rPr>
        <w:lastRenderedPageBreak/>
        <w:t xml:space="preserve">implementing European Union law. Accordingly, under the Charter and the Treaties, the Commission has no general power to intervene with the Member States in the area of fundamental rights. Moreover, the definition and application of rules governing the exercise of the right to freedom of assembly and the holding of demonstrations, and the sanctions thereof, is a </w:t>
      </w:r>
      <w:proofErr w:type="gramStart"/>
      <w:r w:rsidRPr="00722C2C">
        <w:rPr>
          <w:szCs w:val="24"/>
        </w:rPr>
        <w:t>matter which</w:t>
      </w:r>
      <w:proofErr w:type="gramEnd"/>
      <w:r w:rsidRPr="00722C2C">
        <w:rPr>
          <w:szCs w:val="24"/>
        </w:rPr>
        <w:t xml:space="preserve"> pertains to the Member States only. It is for </w:t>
      </w:r>
      <w:r>
        <w:rPr>
          <w:szCs w:val="24"/>
        </w:rPr>
        <w:t xml:space="preserve">the </w:t>
      </w:r>
      <w:r w:rsidRPr="00722C2C">
        <w:rPr>
          <w:szCs w:val="24"/>
        </w:rPr>
        <w:t xml:space="preserve">Member States, including their judicial authorities, to ensure that fundamental rights </w:t>
      </w:r>
      <w:proofErr w:type="gramStart"/>
      <w:r w:rsidRPr="00722C2C">
        <w:rPr>
          <w:szCs w:val="24"/>
        </w:rPr>
        <w:t>are effectively respected and protected in accordance with their national legislation and internat</w:t>
      </w:r>
      <w:r>
        <w:rPr>
          <w:szCs w:val="24"/>
        </w:rPr>
        <w:t>ional human rights obligations</w:t>
      </w:r>
      <w:proofErr w:type="gramEnd"/>
      <w:r>
        <w:rPr>
          <w:szCs w:val="24"/>
        </w:rPr>
        <w:t>.</w:t>
      </w:r>
    </w:p>
    <w:p w:rsidR="006C6C77" w:rsidRPr="00722C2C" w:rsidRDefault="006C6C77" w:rsidP="006C6C77">
      <w:pPr>
        <w:pStyle w:val="Normal12Hanging"/>
        <w:spacing w:after="120"/>
        <w:ind w:left="0" w:firstLine="0"/>
        <w:jc w:val="both"/>
        <w:rPr>
          <w:szCs w:val="24"/>
        </w:rPr>
      </w:pPr>
      <w:r w:rsidRPr="00722C2C">
        <w:rPr>
          <w:szCs w:val="24"/>
        </w:rPr>
        <w:t xml:space="preserve">The importance of preserving and protecting the civil society space, highlighted in the </w:t>
      </w:r>
      <w:r>
        <w:rPr>
          <w:szCs w:val="24"/>
        </w:rPr>
        <w:t>resolution</w:t>
      </w:r>
      <w:r w:rsidRPr="00722C2C">
        <w:rPr>
          <w:szCs w:val="24"/>
        </w:rPr>
        <w:t>, has become more evident recently, when fundamental rights and values are under pressure.</w:t>
      </w:r>
      <w:r>
        <w:rPr>
          <w:szCs w:val="24"/>
        </w:rPr>
        <w:t xml:space="preserve"> </w:t>
      </w:r>
      <w:r w:rsidRPr="00722C2C">
        <w:rPr>
          <w:szCs w:val="24"/>
        </w:rPr>
        <w:t>The “shrinking space” for civil society in some Member States was underlined in the F</w:t>
      </w:r>
      <w:r>
        <w:rPr>
          <w:szCs w:val="24"/>
        </w:rPr>
        <w:t xml:space="preserve">undamental </w:t>
      </w:r>
      <w:r w:rsidRPr="00722C2C">
        <w:rPr>
          <w:szCs w:val="24"/>
        </w:rPr>
        <w:t>R</w:t>
      </w:r>
      <w:r>
        <w:rPr>
          <w:szCs w:val="24"/>
        </w:rPr>
        <w:t xml:space="preserve">ights </w:t>
      </w:r>
      <w:r w:rsidRPr="00722C2C">
        <w:rPr>
          <w:szCs w:val="24"/>
        </w:rPr>
        <w:t>A</w:t>
      </w:r>
      <w:r>
        <w:rPr>
          <w:szCs w:val="24"/>
        </w:rPr>
        <w:t>gency</w:t>
      </w:r>
      <w:r w:rsidRPr="00722C2C">
        <w:rPr>
          <w:szCs w:val="24"/>
        </w:rPr>
        <w:t xml:space="preserve"> report of 2018, </w:t>
      </w:r>
      <w:proofErr w:type="gramStart"/>
      <w:r w:rsidRPr="00722C2C">
        <w:rPr>
          <w:szCs w:val="24"/>
        </w:rPr>
        <w:t>and also</w:t>
      </w:r>
      <w:proofErr w:type="gramEnd"/>
      <w:r w:rsidRPr="00722C2C">
        <w:rPr>
          <w:szCs w:val="24"/>
        </w:rPr>
        <w:t xml:space="preserve"> discussed at length in various </w:t>
      </w:r>
      <w:r w:rsidRPr="00FB27AD">
        <w:rPr>
          <w:i/>
          <w:szCs w:val="24"/>
        </w:rPr>
        <w:t>fora</w:t>
      </w:r>
      <w:r w:rsidRPr="00722C2C">
        <w:rPr>
          <w:szCs w:val="24"/>
        </w:rPr>
        <w:t xml:space="preserve">. In its role as </w:t>
      </w:r>
      <w:r>
        <w:rPr>
          <w:szCs w:val="24"/>
        </w:rPr>
        <w:t>g</w:t>
      </w:r>
      <w:r w:rsidRPr="00722C2C">
        <w:rPr>
          <w:szCs w:val="24"/>
        </w:rPr>
        <w:t xml:space="preserve">uardian of the Treaties, the Commission monitors legislative developments at national level that have an impact on the role and functioning of civil society organisations. The Commission has already undertaken enforcement action with regard to a number of measures adopted at national </w:t>
      </w:r>
      <w:proofErr w:type="gramStart"/>
      <w:r w:rsidRPr="00722C2C">
        <w:rPr>
          <w:szCs w:val="24"/>
        </w:rPr>
        <w:t>level which</w:t>
      </w:r>
      <w:proofErr w:type="gramEnd"/>
      <w:r w:rsidRPr="00722C2C">
        <w:rPr>
          <w:szCs w:val="24"/>
        </w:rPr>
        <w:t xml:space="preserve"> </w:t>
      </w:r>
      <w:r>
        <w:rPr>
          <w:szCs w:val="24"/>
        </w:rPr>
        <w:t>affect</w:t>
      </w:r>
      <w:r w:rsidRPr="00722C2C">
        <w:rPr>
          <w:szCs w:val="24"/>
        </w:rPr>
        <w:t xml:space="preserve"> the work of civil society organisation in a manner contrary to EU law and the Charter, as was the case in Hungary, where laws limiting the activities of civil society in breach of EU law were passed in 2017. The Commission did not hesitate to take action again where necessary.</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The Commission engages in a regular dialogue with civil society organisations, both on general fundamental rights issues and on thematic areas falling within the remit of its competences. It will reflect on how to maximise the </w:t>
      </w:r>
      <w:proofErr w:type="gramStart"/>
      <w:r w:rsidRPr="00722C2C">
        <w:rPr>
          <w:rFonts w:ascii="Times New Roman" w:hAnsi="Times New Roman"/>
          <w:szCs w:val="24"/>
        </w:rPr>
        <w:t>added value</w:t>
      </w:r>
      <w:proofErr w:type="gramEnd"/>
      <w:r w:rsidRPr="00722C2C">
        <w:rPr>
          <w:rFonts w:ascii="Times New Roman" w:hAnsi="Times New Roman"/>
          <w:szCs w:val="24"/>
        </w:rPr>
        <w:t xml:space="preserve"> and effectiveness of existing tools and fora, as a means to discuss and showcase the space and work of civil society organisations promoting and protecting fundamental rights and values in the EU.</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A reflection on how further to support the development of a free and vibrant civil society space in Europe has been at the core </w:t>
      </w:r>
      <w:r w:rsidRPr="00962C25">
        <w:rPr>
          <w:rFonts w:ascii="Times New Roman" w:hAnsi="Times New Roman"/>
          <w:szCs w:val="24"/>
        </w:rPr>
        <w:t>of the</w:t>
      </w:r>
      <w:r w:rsidRPr="00722C2C">
        <w:rPr>
          <w:rFonts w:ascii="Times New Roman" w:hAnsi="Times New Roman"/>
          <w:szCs w:val="24"/>
        </w:rPr>
        <w:t xml:space="preserve"> Colloquium on Fundamental Rights, devoted to the topic of "Democracy in the EU” on </w:t>
      </w:r>
      <w:r w:rsidRPr="00962C25">
        <w:rPr>
          <w:rFonts w:ascii="Times New Roman" w:hAnsi="Times New Roman"/>
          <w:szCs w:val="24"/>
        </w:rPr>
        <w:t>26-27 November 2018.</w:t>
      </w:r>
      <w:r w:rsidRPr="00722C2C">
        <w:rPr>
          <w:rFonts w:ascii="Times New Roman" w:hAnsi="Times New Roman"/>
          <w:szCs w:val="24"/>
        </w:rPr>
        <w:t xml:space="preserve"> The discussions revolved around current challenges facing civil society organisations and key avenues to enhance support for the development and sustainability of the civil society space: as we cannot expect democracy to remain resilient and inclusive if we do not invest in preserving and protecting it.</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The Commission is also aware that the capacity of civil society </w:t>
      </w:r>
      <w:proofErr w:type="gramStart"/>
      <w:r w:rsidRPr="00722C2C">
        <w:rPr>
          <w:rFonts w:ascii="Times New Roman" w:hAnsi="Times New Roman"/>
          <w:szCs w:val="24"/>
        </w:rPr>
        <w:t>must be reinforced</w:t>
      </w:r>
      <w:proofErr w:type="gramEnd"/>
      <w:r w:rsidRPr="00722C2C">
        <w:rPr>
          <w:rFonts w:ascii="Times New Roman" w:hAnsi="Times New Roman"/>
          <w:szCs w:val="24"/>
        </w:rPr>
        <w:t xml:space="preserve">. On 30 May </w:t>
      </w:r>
      <w:proofErr w:type="gramStart"/>
      <w:r w:rsidRPr="00722C2C">
        <w:rPr>
          <w:rFonts w:ascii="Times New Roman" w:hAnsi="Times New Roman"/>
          <w:szCs w:val="24"/>
        </w:rPr>
        <w:t>2018</w:t>
      </w:r>
      <w:proofErr w:type="gramEnd"/>
      <w:r w:rsidRPr="00722C2C">
        <w:rPr>
          <w:rFonts w:ascii="Times New Roman" w:hAnsi="Times New Roman"/>
          <w:szCs w:val="24"/>
        </w:rPr>
        <w:t xml:space="preserve"> the Commission adopted its proposal for a new Justice, Rights and Values Fund comprising both the Rights and Values Programme and the Justice programme. The Commission intention is to further enhance synergies between the current different funding programmes to give EU values an ever more prominent and visible place in our funding priorities. The new Justice, Rights and Values Fund </w:t>
      </w:r>
      <w:proofErr w:type="gramStart"/>
      <w:r w:rsidRPr="00722C2C">
        <w:rPr>
          <w:rFonts w:ascii="Times New Roman" w:hAnsi="Times New Roman"/>
          <w:szCs w:val="24"/>
        </w:rPr>
        <w:t>is also</w:t>
      </w:r>
      <w:proofErr w:type="gramEnd"/>
      <w:r w:rsidRPr="00722C2C">
        <w:rPr>
          <w:rFonts w:ascii="Times New Roman" w:hAnsi="Times New Roman"/>
          <w:szCs w:val="24"/>
        </w:rPr>
        <w:t xml:space="preserve"> a response to the </w:t>
      </w:r>
      <w:r>
        <w:rPr>
          <w:rFonts w:ascii="Times New Roman" w:hAnsi="Times New Roman"/>
          <w:szCs w:val="24"/>
        </w:rPr>
        <w:t xml:space="preserve">2018 </w:t>
      </w:r>
      <w:r w:rsidRPr="00722C2C">
        <w:rPr>
          <w:rFonts w:ascii="Times New Roman" w:hAnsi="Times New Roman"/>
          <w:szCs w:val="24"/>
        </w:rPr>
        <w:t xml:space="preserve">resolution </w:t>
      </w:r>
      <w:r>
        <w:rPr>
          <w:rFonts w:ascii="Times New Roman" w:hAnsi="Times New Roman"/>
          <w:szCs w:val="24"/>
        </w:rPr>
        <w:t xml:space="preserve">of the European Parliament </w:t>
      </w:r>
      <w:r w:rsidRPr="00722C2C">
        <w:rPr>
          <w:rFonts w:ascii="Times New Roman" w:hAnsi="Times New Roman"/>
          <w:szCs w:val="24"/>
        </w:rPr>
        <w:t xml:space="preserve">to promote core support civil society organisations. Working together with national budgets and complementing other efforts at European and national level, the Union budget will provide concrete support to civil society in many key areas. In particular, the Rights and Values programme will aim "to protect and promote rights and values as enshrined in the EU Treaties, including by supporting civil society organisations, in order to sustain open, democratic and inclusive societies". The role of </w:t>
      </w:r>
      <w:r>
        <w:rPr>
          <w:rFonts w:ascii="Times New Roman" w:hAnsi="Times New Roman"/>
          <w:szCs w:val="24"/>
        </w:rPr>
        <w:t>non-governmental organisations</w:t>
      </w:r>
      <w:r w:rsidRPr="00722C2C">
        <w:rPr>
          <w:rFonts w:ascii="Times New Roman" w:hAnsi="Times New Roman"/>
          <w:szCs w:val="24"/>
        </w:rPr>
        <w:t xml:space="preserve"> </w:t>
      </w:r>
      <w:proofErr w:type="gramStart"/>
      <w:r w:rsidRPr="00722C2C">
        <w:rPr>
          <w:rFonts w:ascii="Times New Roman" w:hAnsi="Times New Roman"/>
          <w:szCs w:val="24"/>
        </w:rPr>
        <w:t>is therefore recognised</w:t>
      </w:r>
      <w:proofErr w:type="gramEnd"/>
      <w:r w:rsidRPr="00722C2C">
        <w:rPr>
          <w:rFonts w:ascii="Times New Roman" w:hAnsi="Times New Roman"/>
          <w:szCs w:val="24"/>
        </w:rPr>
        <w:t xml:space="preserve"> at the highest level, in the general objective of the programme and this is a key element of the Commission proposal.</w:t>
      </w:r>
    </w:p>
    <w:p w:rsidR="006C6C77" w:rsidRDefault="006C6C77" w:rsidP="006C6C77">
      <w:pPr>
        <w:widowControl w:val="0"/>
        <w:spacing w:after="120"/>
        <w:rPr>
          <w:rFonts w:ascii="Times New Roman" w:hAnsi="Times New Roman"/>
          <w:szCs w:val="24"/>
        </w:rPr>
      </w:pPr>
      <w:r w:rsidRPr="00722C2C">
        <w:rPr>
          <w:rFonts w:ascii="Times New Roman" w:hAnsi="Times New Roman"/>
          <w:szCs w:val="24"/>
        </w:rPr>
        <w:t>The Commission is also implementing a preparatory action for a</w:t>
      </w:r>
      <w:r>
        <w:rPr>
          <w:rFonts w:ascii="Times New Roman" w:hAnsi="Times New Roman"/>
          <w:szCs w:val="24"/>
        </w:rPr>
        <w:t>n</w:t>
      </w:r>
      <w:r w:rsidRPr="00722C2C">
        <w:rPr>
          <w:rFonts w:ascii="Times New Roman" w:hAnsi="Times New Roman"/>
          <w:szCs w:val="24"/>
        </w:rPr>
        <w:t xml:space="preserve"> “EU fund for financial support for litigating cases relating to violations of democracy, rule of law and fundamental rights”. </w:t>
      </w:r>
      <w:proofErr w:type="gramStart"/>
      <w:r w:rsidRPr="00722C2C">
        <w:rPr>
          <w:rFonts w:ascii="Times New Roman" w:hAnsi="Times New Roman"/>
          <w:szCs w:val="24"/>
        </w:rPr>
        <w:t xml:space="preserve">The Commission is determined to make good use of the envelope entrusted to it by the Parliament, and implement the </w:t>
      </w:r>
      <w:r>
        <w:rPr>
          <w:rFonts w:ascii="Times New Roman" w:hAnsi="Times New Roman"/>
          <w:szCs w:val="24"/>
        </w:rPr>
        <w:t>p</w:t>
      </w:r>
      <w:r w:rsidRPr="00722C2C">
        <w:rPr>
          <w:rFonts w:ascii="Times New Roman" w:hAnsi="Times New Roman"/>
          <w:szCs w:val="24"/>
        </w:rPr>
        <w:t xml:space="preserve">reparatory </w:t>
      </w:r>
      <w:r>
        <w:rPr>
          <w:rFonts w:ascii="Times New Roman" w:hAnsi="Times New Roman"/>
          <w:szCs w:val="24"/>
        </w:rPr>
        <w:t>a</w:t>
      </w:r>
      <w:r w:rsidRPr="00722C2C">
        <w:rPr>
          <w:rFonts w:ascii="Times New Roman" w:hAnsi="Times New Roman"/>
          <w:szCs w:val="24"/>
        </w:rPr>
        <w:t>ction swiftly and efficiently, in order</w:t>
      </w:r>
      <w:r>
        <w:rPr>
          <w:rFonts w:ascii="Times New Roman" w:hAnsi="Times New Roman"/>
          <w:szCs w:val="24"/>
        </w:rPr>
        <w:t xml:space="preserve"> best </w:t>
      </w:r>
      <w:r w:rsidRPr="00722C2C">
        <w:rPr>
          <w:rFonts w:ascii="Times New Roman" w:hAnsi="Times New Roman"/>
          <w:szCs w:val="24"/>
        </w:rPr>
        <w:t xml:space="preserve">to </w:t>
      </w:r>
      <w:r w:rsidRPr="00722C2C">
        <w:rPr>
          <w:rFonts w:ascii="Times New Roman" w:hAnsi="Times New Roman"/>
          <w:szCs w:val="24"/>
        </w:rPr>
        <w:lastRenderedPageBreak/>
        <w:t>achieve</w:t>
      </w:r>
      <w:r>
        <w:rPr>
          <w:rFonts w:ascii="Times New Roman" w:hAnsi="Times New Roman"/>
          <w:szCs w:val="24"/>
        </w:rPr>
        <w:t xml:space="preserve"> </w:t>
      </w:r>
      <w:r w:rsidRPr="00722C2C">
        <w:rPr>
          <w:rFonts w:ascii="Times New Roman" w:hAnsi="Times New Roman"/>
          <w:szCs w:val="24"/>
        </w:rPr>
        <w:t>its objectives within the possibilities of the existing legal and financial framework – to that end, the Commission plans to launch the call for proposals and a procurement procedure for a feasibility study in the first quarter of 2019.</w:t>
      </w:r>
      <w:proofErr w:type="gramEnd"/>
    </w:p>
    <w:p w:rsidR="006C6C77" w:rsidRPr="00722C2C" w:rsidRDefault="006C6C77" w:rsidP="006C6C77">
      <w:pPr>
        <w:widowControl w:val="0"/>
        <w:spacing w:after="120"/>
        <w:rPr>
          <w:rFonts w:ascii="Times New Roman" w:hAnsi="Times New Roman"/>
          <w:szCs w:val="24"/>
        </w:rPr>
      </w:pPr>
      <w:r>
        <w:rPr>
          <w:rFonts w:ascii="Times New Roman" w:hAnsi="Times New Roman"/>
          <w:szCs w:val="24"/>
        </w:rPr>
        <w:t>Through its Human Rights Defenders Mechanism under the European Instrument for Democracy and Human Rights, the Commission takes a leading role in the protection of human rights defenders worldwide.</w:t>
      </w:r>
    </w:p>
    <w:p w:rsidR="006C6C77" w:rsidRPr="00722C2C" w:rsidRDefault="006C6C77" w:rsidP="006C6C77">
      <w:pPr>
        <w:pStyle w:val="Normal12Hanging"/>
        <w:spacing w:after="120"/>
        <w:jc w:val="both"/>
        <w:rPr>
          <w:b/>
        </w:rPr>
      </w:pPr>
      <w:r w:rsidRPr="00722C2C">
        <w:rPr>
          <w:b/>
        </w:rPr>
        <w:t>Racism, xenophobia, discrimination, hate speech and other forms of intolerance</w:t>
      </w:r>
    </w:p>
    <w:p w:rsidR="006C6C77" w:rsidRPr="00722C2C" w:rsidRDefault="006C6C77" w:rsidP="006C6C77">
      <w:pPr>
        <w:pStyle w:val="Normal12Hanging"/>
        <w:spacing w:after="120"/>
        <w:ind w:left="0" w:firstLine="0"/>
        <w:jc w:val="both"/>
        <w:rPr>
          <w:szCs w:val="24"/>
        </w:rPr>
      </w:pPr>
      <w:r w:rsidRPr="00722C2C">
        <w:rPr>
          <w:szCs w:val="24"/>
        </w:rPr>
        <w:t xml:space="preserve">Combatting racism and discrimination is central to the Commission’s work on fundamental rights. It is about what the EU does to implement Article 2 </w:t>
      </w:r>
      <w:r>
        <w:rPr>
          <w:szCs w:val="24"/>
        </w:rPr>
        <w:t>TEU</w:t>
      </w:r>
      <w:r w:rsidRPr="00722C2C">
        <w:rPr>
          <w:szCs w:val="24"/>
        </w:rPr>
        <w:t xml:space="preserve">, namely </w:t>
      </w:r>
      <w:r>
        <w:rPr>
          <w:szCs w:val="24"/>
        </w:rPr>
        <w:t xml:space="preserve">to </w:t>
      </w:r>
      <w:r w:rsidRPr="00722C2C">
        <w:rPr>
          <w:szCs w:val="24"/>
        </w:rPr>
        <w:t xml:space="preserve">promote a </w:t>
      </w:r>
      <w:r>
        <w:rPr>
          <w:szCs w:val="24"/>
        </w:rPr>
        <w:t>society in which pluralism, non-</w:t>
      </w:r>
      <w:r w:rsidRPr="00722C2C">
        <w:rPr>
          <w:szCs w:val="24"/>
        </w:rPr>
        <w:t>discrimination, justice, s</w:t>
      </w:r>
      <w:r>
        <w:rPr>
          <w:szCs w:val="24"/>
        </w:rPr>
        <w:t>olidarity and equality prevail.</w:t>
      </w:r>
    </w:p>
    <w:p w:rsidR="006C6C77" w:rsidRPr="00722C2C" w:rsidRDefault="006C6C77" w:rsidP="006C6C77">
      <w:pPr>
        <w:pStyle w:val="Normal12Hanging"/>
        <w:spacing w:after="120"/>
        <w:ind w:left="0" w:firstLine="0"/>
        <w:jc w:val="both"/>
        <w:rPr>
          <w:szCs w:val="24"/>
        </w:rPr>
      </w:pPr>
      <w:r w:rsidRPr="00722C2C">
        <w:rPr>
          <w:szCs w:val="24"/>
        </w:rPr>
        <w:t xml:space="preserve">The High-Level Group on combating racism, xenophobia and other forms of intolerance continued to work hard in 2018 on improving responses to hatred and intolerance. </w:t>
      </w:r>
      <w:proofErr w:type="gramStart"/>
      <w:r w:rsidRPr="00722C2C">
        <w:rPr>
          <w:szCs w:val="24"/>
        </w:rPr>
        <w:t>Following a number of practical guidance tools in key areas such as hate crime training, access to justice, support and protection for victims of hate crime and hate speech and hate crime recording, the work of the High Level Group led to the publication in 2018 of a comprehensive guidance document on the practical application of the Framework Decision on combating racism, on the occasion of the 10</w:t>
      </w:r>
      <w:r w:rsidRPr="007700B6">
        <w:rPr>
          <w:szCs w:val="24"/>
          <w:vertAlign w:val="superscript"/>
        </w:rPr>
        <w:t>th</w:t>
      </w:r>
      <w:r>
        <w:rPr>
          <w:szCs w:val="24"/>
        </w:rPr>
        <w:t xml:space="preserve"> </w:t>
      </w:r>
      <w:r w:rsidRPr="00722C2C">
        <w:rPr>
          <w:szCs w:val="24"/>
        </w:rPr>
        <w:t>anniversary of adoption.</w:t>
      </w:r>
      <w:proofErr w:type="gramEnd"/>
      <w:r w:rsidRPr="00722C2C">
        <w:rPr>
          <w:szCs w:val="24"/>
        </w:rPr>
        <w:t xml:space="preserve"> The </w:t>
      </w:r>
      <w:r>
        <w:rPr>
          <w:szCs w:val="24"/>
        </w:rPr>
        <w:t>g</w:t>
      </w:r>
      <w:r w:rsidRPr="00722C2C">
        <w:rPr>
          <w:szCs w:val="24"/>
        </w:rPr>
        <w:t xml:space="preserve">uidance </w:t>
      </w:r>
      <w:proofErr w:type="gramStart"/>
      <w:r w:rsidRPr="00722C2C">
        <w:rPr>
          <w:szCs w:val="24"/>
        </w:rPr>
        <w:t>is aimed</w:t>
      </w:r>
      <w:proofErr w:type="gramEnd"/>
      <w:r w:rsidRPr="00722C2C">
        <w:rPr>
          <w:szCs w:val="24"/>
        </w:rPr>
        <w:t xml:space="preserve"> at assisting national authorities to ensure the implementation and enforcement on the ground of national hate crime legislation. It will be important for </w:t>
      </w:r>
      <w:r>
        <w:rPr>
          <w:szCs w:val="24"/>
        </w:rPr>
        <w:t xml:space="preserve">the </w:t>
      </w:r>
      <w:r w:rsidRPr="00722C2C">
        <w:rPr>
          <w:szCs w:val="24"/>
        </w:rPr>
        <w:t xml:space="preserve">Member States to build on this work and make concrete progress on the ground, to address difficulties and challenges they have faced to translate their obligations into practice. </w:t>
      </w:r>
      <w:proofErr w:type="gramStart"/>
      <w:r w:rsidRPr="00722C2C">
        <w:rPr>
          <w:szCs w:val="24"/>
        </w:rPr>
        <w:t xml:space="preserve">In order to support these efforts, building on the fruitful cooperation and the results achieved, we intend to further use the </w:t>
      </w:r>
      <w:r>
        <w:rPr>
          <w:szCs w:val="24"/>
        </w:rPr>
        <w:t>g</w:t>
      </w:r>
      <w:r w:rsidRPr="00722C2C">
        <w:rPr>
          <w:szCs w:val="24"/>
        </w:rPr>
        <w:t xml:space="preserve">roup, in the future, to strengthen support and assistance to </w:t>
      </w:r>
      <w:r>
        <w:rPr>
          <w:szCs w:val="24"/>
        </w:rPr>
        <w:t xml:space="preserve">the </w:t>
      </w:r>
      <w:r w:rsidRPr="00722C2C">
        <w:rPr>
          <w:szCs w:val="24"/>
        </w:rPr>
        <w:t>Member States' authorities and intensify practical cooperation between key actors at national level, with the support of the F</w:t>
      </w:r>
      <w:r>
        <w:rPr>
          <w:szCs w:val="24"/>
        </w:rPr>
        <w:t xml:space="preserve">undamental </w:t>
      </w:r>
      <w:r w:rsidRPr="00722C2C">
        <w:rPr>
          <w:szCs w:val="24"/>
        </w:rPr>
        <w:t>R</w:t>
      </w:r>
      <w:r>
        <w:rPr>
          <w:szCs w:val="24"/>
        </w:rPr>
        <w:t xml:space="preserve">ights </w:t>
      </w:r>
      <w:r w:rsidRPr="00722C2C">
        <w:rPr>
          <w:szCs w:val="24"/>
        </w:rPr>
        <w:t>A</w:t>
      </w:r>
      <w:r>
        <w:rPr>
          <w:szCs w:val="24"/>
        </w:rPr>
        <w:t>gency</w:t>
      </w:r>
      <w:r w:rsidRPr="00722C2C">
        <w:rPr>
          <w:szCs w:val="24"/>
        </w:rPr>
        <w:t xml:space="preserve"> and of relevant international bodies such as</w:t>
      </w:r>
      <w:r>
        <w:rPr>
          <w:szCs w:val="24"/>
        </w:rPr>
        <w:t xml:space="preserve"> the Office for Democratic Institutions and Human Rights</w:t>
      </w:r>
      <w:r w:rsidRPr="00722C2C">
        <w:rPr>
          <w:szCs w:val="24"/>
        </w:rPr>
        <w:t xml:space="preserve"> </w:t>
      </w:r>
      <w:r>
        <w:rPr>
          <w:szCs w:val="24"/>
        </w:rPr>
        <w:t>(</w:t>
      </w:r>
      <w:r w:rsidRPr="00722C2C">
        <w:rPr>
          <w:szCs w:val="24"/>
        </w:rPr>
        <w:t>ODIHR</w:t>
      </w:r>
      <w:r>
        <w:rPr>
          <w:szCs w:val="24"/>
        </w:rPr>
        <w:t>)</w:t>
      </w:r>
      <w:r w:rsidRPr="00722C2C">
        <w:rPr>
          <w:szCs w:val="24"/>
        </w:rPr>
        <w:t xml:space="preserve"> and </w:t>
      </w:r>
      <w:r>
        <w:rPr>
          <w:szCs w:val="24"/>
        </w:rPr>
        <w:t>the European Commission against Racism and Intolerance (</w:t>
      </w:r>
      <w:r w:rsidRPr="00722C2C">
        <w:rPr>
          <w:szCs w:val="24"/>
        </w:rPr>
        <w:t>ECRI</w:t>
      </w:r>
      <w:r>
        <w:rPr>
          <w:szCs w:val="24"/>
        </w:rPr>
        <w:t>)</w:t>
      </w:r>
      <w:r w:rsidRPr="00722C2C">
        <w:rPr>
          <w:szCs w:val="24"/>
        </w:rPr>
        <w:t>.</w:t>
      </w:r>
      <w:proofErr w:type="gramEnd"/>
    </w:p>
    <w:p w:rsidR="006C6C77" w:rsidRDefault="006C6C77" w:rsidP="006C6C77">
      <w:pPr>
        <w:pStyle w:val="Normal12Hanging"/>
        <w:spacing w:after="120"/>
        <w:ind w:left="0" w:firstLine="0"/>
        <w:jc w:val="both"/>
        <w:rPr>
          <w:szCs w:val="24"/>
        </w:rPr>
      </w:pPr>
      <w:r w:rsidRPr="00722C2C">
        <w:rPr>
          <w:szCs w:val="24"/>
        </w:rPr>
        <w:t xml:space="preserve">The Commission also further worked on implementing the Code of conduct on countering hate speech on line with the four participating IT companies (Facebook, Twitter, YouTube and Microsoft), national authorities and civil society organisations. The aim of this cooperation is and remains to ensure that online illegal hate speech </w:t>
      </w:r>
      <w:proofErr w:type="gramStart"/>
      <w:r w:rsidRPr="00722C2C">
        <w:rPr>
          <w:szCs w:val="24"/>
        </w:rPr>
        <w:t>is quickly identified and taken down</w:t>
      </w:r>
      <w:proofErr w:type="gramEnd"/>
      <w:r w:rsidRPr="00722C2C">
        <w:rPr>
          <w:szCs w:val="24"/>
        </w:rPr>
        <w:t>. The 2017 monitoring of the implementation of the Code of conduct showed that 70</w:t>
      </w:r>
      <w:r>
        <w:rPr>
          <w:szCs w:val="24"/>
        </w:rPr>
        <w:t xml:space="preserve"> </w:t>
      </w:r>
      <w:r w:rsidRPr="00722C2C">
        <w:rPr>
          <w:szCs w:val="24"/>
        </w:rPr>
        <w:t xml:space="preserve">% of all the illegal hate speech notified to the four companies by </w:t>
      </w:r>
      <w:r>
        <w:rPr>
          <w:szCs w:val="24"/>
        </w:rPr>
        <w:t>non-governmental organisations</w:t>
      </w:r>
      <w:r w:rsidRPr="00722C2C">
        <w:rPr>
          <w:szCs w:val="24"/>
        </w:rPr>
        <w:t xml:space="preserve"> and public bodies participating in the evaluation </w:t>
      </w:r>
      <w:proofErr w:type="gramStart"/>
      <w:r w:rsidRPr="00722C2C">
        <w:rPr>
          <w:szCs w:val="24"/>
        </w:rPr>
        <w:t>was removed</w:t>
      </w:r>
      <w:proofErr w:type="gramEnd"/>
      <w:r w:rsidRPr="00722C2C">
        <w:rPr>
          <w:szCs w:val="24"/>
        </w:rPr>
        <w:t>. This shows remarkable progress when compared to only 29</w:t>
      </w:r>
      <w:r>
        <w:rPr>
          <w:szCs w:val="24"/>
        </w:rPr>
        <w:t xml:space="preserve"> </w:t>
      </w:r>
      <w:r w:rsidRPr="00722C2C">
        <w:rPr>
          <w:szCs w:val="24"/>
        </w:rPr>
        <w:t xml:space="preserve">% a year earlier. Instagram, Google+ and Snapchat joined the Code in 2018, bringing the cooperation to </w:t>
      </w:r>
      <w:proofErr w:type="gramStart"/>
      <w:r w:rsidRPr="00722C2C">
        <w:rPr>
          <w:szCs w:val="24"/>
        </w:rPr>
        <w:t>7</w:t>
      </w:r>
      <w:proofErr w:type="gramEnd"/>
      <w:r w:rsidRPr="00722C2C">
        <w:rPr>
          <w:szCs w:val="24"/>
        </w:rPr>
        <w:t xml:space="preserve"> major IT companies.</w:t>
      </w:r>
    </w:p>
    <w:p w:rsidR="006C6C77" w:rsidRPr="00307E07" w:rsidRDefault="006C6C77" w:rsidP="006C6C77">
      <w:pPr>
        <w:pStyle w:val="Normal12Hanging"/>
        <w:spacing w:after="120"/>
        <w:ind w:left="0" w:firstLine="0"/>
        <w:jc w:val="both"/>
        <w:rPr>
          <w:szCs w:val="24"/>
        </w:rPr>
      </w:pPr>
      <w:proofErr w:type="gramStart"/>
      <w:r w:rsidRPr="00307E07">
        <w:rPr>
          <w:szCs w:val="24"/>
        </w:rPr>
        <w:t xml:space="preserve">Similarly, the Commission worked within the EU Internet Forum bringing together </w:t>
      </w:r>
      <w:r w:rsidRPr="00366FE1">
        <w:rPr>
          <w:i/>
          <w:szCs w:val="24"/>
        </w:rPr>
        <w:t>inter alia</w:t>
      </w:r>
      <w:r w:rsidRPr="00307E07">
        <w:rPr>
          <w:szCs w:val="24"/>
        </w:rPr>
        <w:t xml:space="preserve"> </w:t>
      </w:r>
      <w:r>
        <w:rPr>
          <w:szCs w:val="24"/>
        </w:rPr>
        <w:t xml:space="preserve">the </w:t>
      </w:r>
      <w:r w:rsidRPr="00307E07">
        <w:rPr>
          <w:szCs w:val="24"/>
        </w:rPr>
        <w:t>Member States, internet companies as well as Europol, the Radicalisation Awareness Network and academia to tackle terrorist content online both through actions aimed at ensuring the swift removal of terrorist content online as well as the development of effective alternative and counter narratives (under the so-called Civil Society Empowerment Programme).</w:t>
      </w:r>
      <w:proofErr w:type="gramEnd"/>
    </w:p>
    <w:p w:rsidR="006C6C77" w:rsidRPr="00307E07" w:rsidRDefault="006C6C77" w:rsidP="006C6C77">
      <w:pPr>
        <w:widowControl w:val="0"/>
        <w:spacing w:after="120"/>
        <w:rPr>
          <w:rFonts w:ascii="Times New Roman" w:hAnsi="Times New Roman"/>
          <w:szCs w:val="24"/>
        </w:rPr>
      </w:pPr>
      <w:r w:rsidRPr="00307E07">
        <w:rPr>
          <w:rFonts w:ascii="Times New Roman" w:hAnsi="Times New Roman"/>
          <w:szCs w:val="24"/>
        </w:rPr>
        <w:t>The Commission's overall approach to illegal content online is laid down in the Commission Communicati</w:t>
      </w:r>
      <w:r>
        <w:rPr>
          <w:rFonts w:ascii="Times New Roman" w:hAnsi="Times New Roman"/>
          <w:szCs w:val="24"/>
        </w:rPr>
        <w:t>on of September 2017 (</w:t>
      </w:r>
      <w:proofErr w:type="gramStart"/>
      <w:r>
        <w:rPr>
          <w:rFonts w:ascii="Times New Roman" w:hAnsi="Times New Roman"/>
          <w:szCs w:val="24"/>
        </w:rPr>
        <w:t>COM(</w:t>
      </w:r>
      <w:proofErr w:type="gramEnd"/>
      <w:r>
        <w:rPr>
          <w:rFonts w:ascii="Times New Roman" w:hAnsi="Times New Roman"/>
          <w:szCs w:val="24"/>
        </w:rPr>
        <w:t xml:space="preserve">2017) </w:t>
      </w:r>
      <w:r w:rsidRPr="00307E07">
        <w:rPr>
          <w:rFonts w:ascii="Times New Roman" w:hAnsi="Times New Roman"/>
          <w:szCs w:val="24"/>
        </w:rPr>
        <w:t xml:space="preserve">555) and the Recommendation on tackling illegal content online published in March 2018 (C(2018) 1177). The recommendation addresses </w:t>
      </w:r>
      <w:proofErr w:type="gramStart"/>
      <w:r w:rsidRPr="00307E07">
        <w:rPr>
          <w:rFonts w:ascii="Times New Roman" w:hAnsi="Times New Roman"/>
          <w:szCs w:val="24"/>
        </w:rPr>
        <w:t>issues which require a horizontal response</w:t>
      </w:r>
      <w:proofErr w:type="gramEnd"/>
      <w:r w:rsidRPr="00307E07">
        <w:rPr>
          <w:rFonts w:ascii="Times New Roman" w:hAnsi="Times New Roman"/>
          <w:szCs w:val="24"/>
        </w:rPr>
        <w:t xml:space="preserve"> and contains recommendations aimed at improving the detection, removal and disabling access to illegal content, with specific </w:t>
      </w:r>
      <w:r w:rsidRPr="00307E07">
        <w:rPr>
          <w:rFonts w:ascii="Times New Roman" w:hAnsi="Times New Roman"/>
          <w:szCs w:val="24"/>
        </w:rPr>
        <w:lastRenderedPageBreak/>
        <w:t xml:space="preserve">recommendations for terrorist content online. At the same </w:t>
      </w:r>
      <w:proofErr w:type="gramStart"/>
      <w:r w:rsidRPr="00307E07">
        <w:rPr>
          <w:rFonts w:ascii="Times New Roman" w:hAnsi="Times New Roman"/>
          <w:szCs w:val="24"/>
        </w:rPr>
        <w:t>time</w:t>
      </w:r>
      <w:proofErr w:type="gramEnd"/>
      <w:r w:rsidRPr="00307E07">
        <w:rPr>
          <w:rFonts w:ascii="Times New Roman" w:hAnsi="Times New Roman"/>
          <w:szCs w:val="24"/>
        </w:rPr>
        <w:t xml:space="preserve"> it introduces important safeguards to avoid over-removal, ensure transparency and protect the freedom of expression.</w:t>
      </w:r>
    </w:p>
    <w:p w:rsidR="006C6C77" w:rsidRPr="00722C2C" w:rsidRDefault="006C6C77" w:rsidP="006C6C77">
      <w:pPr>
        <w:widowControl w:val="0"/>
        <w:spacing w:after="120"/>
        <w:rPr>
          <w:rFonts w:ascii="Times New Roman" w:hAnsi="Times New Roman"/>
          <w:szCs w:val="24"/>
        </w:rPr>
      </w:pPr>
      <w:r w:rsidRPr="00307E07">
        <w:rPr>
          <w:rFonts w:ascii="Times New Roman" w:hAnsi="Times New Roman"/>
          <w:szCs w:val="24"/>
        </w:rPr>
        <w:t xml:space="preserve">Given the urgency for specific actions ensuring that terrorist content is taken down quickly to avoid further harm of material that radicalises, recruits and instructs in carrying out terrorist attacks, the Commission proposed, in September 2018, a </w:t>
      </w:r>
      <w:r>
        <w:rPr>
          <w:rFonts w:ascii="Times New Roman" w:hAnsi="Times New Roman"/>
          <w:szCs w:val="24"/>
        </w:rPr>
        <w:t>r</w:t>
      </w:r>
      <w:r w:rsidRPr="00307E07">
        <w:rPr>
          <w:rFonts w:ascii="Times New Roman" w:hAnsi="Times New Roman"/>
          <w:szCs w:val="24"/>
        </w:rPr>
        <w:t>egulation on preventing the dissemination of terr</w:t>
      </w:r>
      <w:r>
        <w:rPr>
          <w:rFonts w:ascii="Times New Roman" w:hAnsi="Times New Roman"/>
          <w:szCs w:val="24"/>
        </w:rPr>
        <w:t xml:space="preserve">orist content online (COM(2018) </w:t>
      </w:r>
      <w:r w:rsidRPr="00307E07">
        <w:rPr>
          <w:rFonts w:ascii="Times New Roman" w:hAnsi="Times New Roman"/>
          <w:szCs w:val="24"/>
        </w:rPr>
        <w:t xml:space="preserve">640). Measures that ensure the swift and effective removal of terrorist content online </w:t>
      </w:r>
      <w:proofErr w:type="gramStart"/>
      <w:r w:rsidRPr="00307E07">
        <w:rPr>
          <w:rFonts w:ascii="Times New Roman" w:hAnsi="Times New Roman"/>
          <w:szCs w:val="24"/>
        </w:rPr>
        <w:t>are paired</w:t>
      </w:r>
      <w:proofErr w:type="gramEnd"/>
      <w:r w:rsidRPr="00307E07">
        <w:rPr>
          <w:rFonts w:ascii="Times New Roman" w:hAnsi="Times New Roman"/>
          <w:szCs w:val="24"/>
        </w:rPr>
        <w:t xml:space="preserve"> with strong safeguards against the erroneous removal of material protected by the freedom of speech. In addition to transparency obligations and complaint procedures, both hosting services providers and content providers have the possibility of judicial redress against any decision affecting their rights, as enshrined in Article 19 TEU and Article 47 of the Charter of Fundamental Rights of the EU.</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The Commission monitors the implementation of the Race Equality Directive. The next report from the Commission to the European Parliament and the Council on the application of this </w:t>
      </w:r>
      <w:r>
        <w:rPr>
          <w:rFonts w:ascii="Times New Roman" w:hAnsi="Times New Roman"/>
          <w:szCs w:val="24"/>
        </w:rPr>
        <w:t>d</w:t>
      </w:r>
      <w:r w:rsidRPr="00722C2C">
        <w:rPr>
          <w:rFonts w:ascii="Times New Roman" w:hAnsi="Times New Roman"/>
          <w:szCs w:val="24"/>
        </w:rPr>
        <w:t xml:space="preserve">irective </w:t>
      </w:r>
      <w:proofErr w:type="gramStart"/>
      <w:r w:rsidRPr="00722C2C">
        <w:rPr>
          <w:rFonts w:ascii="Times New Roman" w:hAnsi="Times New Roman"/>
          <w:szCs w:val="24"/>
        </w:rPr>
        <w:t>will be developed</w:t>
      </w:r>
      <w:proofErr w:type="gramEnd"/>
      <w:r w:rsidRPr="00722C2C">
        <w:rPr>
          <w:rFonts w:ascii="Times New Roman" w:hAnsi="Times New Roman"/>
          <w:szCs w:val="24"/>
        </w:rPr>
        <w:t xml:space="preserve"> after the Member States communicate all information necessary to draw up the report. The deadline for the Member States to communicate the information, as set by the </w:t>
      </w:r>
      <w:r>
        <w:rPr>
          <w:rFonts w:ascii="Times New Roman" w:hAnsi="Times New Roman"/>
          <w:szCs w:val="24"/>
        </w:rPr>
        <w:t>d</w:t>
      </w:r>
      <w:r w:rsidRPr="00722C2C">
        <w:rPr>
          <w:rFonts w:ascii="Times New Roman" w:hAnsi="Times New Roman"/>
          <w:szCs w:val="24"/>
        </w:rPr>
        <w:t>irective, is 19 July 2020.</w:t>
      </w:r>
    </w:p>
    <w:p w:rsidR="006C6C77" w:rsidRDefault="006C6C77" w:rsidP="006C6C77">
      <w:pPr>
        <w:pStyle w:val="Normal12Hanging"/>
        <w:spacing w:after="120"/>
        <w:ind w:left="0" w:firstLine="0"/>
        <w:jc w:val="both"/>
        <w:rPr>
          <w:szCs w:val="24"/>
        </w:rPr>
      </w:pPr>
      <w:r w:rsidRPr="00722C2C">
        <w:rPr>
          <w:szCs w:val="24"/>
        </w:rPr>
        <w:t>The Commission is committed to combatting all discrimination based on sexual orientation, gender identity and sex characteristics within the competences given to it by the Treaties. To do so, while fully respecting the Member States competences, it has developed the List of Acti</w:t>
      </w:r>
      <w:r>
        <w:rPr>
          <w:szCs w:val="24"/>
        </w:rPr>
        <w:t xml:space="preserve">ons to Advance LGBTI equality. </w:t>
      </w:r>
      <w:r w:rsidRPr="00722C2C">
        <w:rPr>
          <w:szCs w:val="24"/>
        </w:rPr>
        <w:t>The list of actions includes activities in policy areas like non-discrimination, education, employment, health, free movement, asylum, hate speech/</w:t>
      </w:r>
      <w:r>
        <w:rPr>
          <w:szCs w:val="24"/>
        </w:rPr>
        <w:t xml:space="preserve"> </w:t>
      </w:r>
      <w:r w:rsidRPr="00722C2C">
        <w:rPr>
          <w:szCs w:val="24"/>
        </w:rPr>
        <w:t xml:space="preserve">hate crime, enlargement and foreign policy. The Commission is committed to successfully and positively handover its work to advance LGBTI equality to the next Commission. In </w:t>
      </w:r>
      <w:proofErr w:type="gramStart"/>
      <w:r w:rsidRPr="00722C2C">
        <w:rPr>
          <w:szCs w:val="24"/>
        </w:rPr>
        <w:t>2019</w:t>
      </w:r>
      <w:proofErr w:type="gramEnd"/>
      <w:r w:rsidRPr="00722C2C">
        <w:rPr>
          <w:szCs w:val="24"/>
        </w:rPr>
        <w:t xml:space="preserve"> a new Eurobarometer on Discrimination and a new F</w:t>
      </w:r>
      <w:r>
        <w:rPr>
          <w:szCs w:val="24"/>
        </w:rPr>
        <w:t xml:space="preserve">undamental </w:t>
      </w:r>
      <w:r w:rsidRPr="00722C2C">
        <w:rPr>
          <w:szCs w:val="24"/>
        </w:rPr>
        <w:t>R</w:t>
      </w:r>
      <w:r>
        <w:rPr>
          <w:szCs w:val="24"/>
        </w:rPr>
        <w:t xml:space="preserve">ights </w:t>
      </w:r>
      <w:r w:rsidRPr="00722C2C">
        <w:rPr>
          <w:szCs w:val="24"/>
        </w:rPr>
        <w:t>A</w:t>
      </w:r>
      <w:r>
        <w:rPr>
          <w:szCs w:val="24"/>
        </w:rPr>
        <w:t>gency</w:t>
      </w:r>
      <w:r w:rsidRPr="00722C2C">
        <w:rPr>
          <w:szCs w:val="24"/>
        </w:rPr>
        <w:t xml:space="preserve"> LGBTI survey will take place and provide us with new data on the position of LGBTI people in the EU. An exchange with stakeholders will be organised to discuss the current situation of LGBTI people in Europe, and most importantly: the way forward.</w:t>
      </w:r>
      <w:r w:rsidRPr="00722C2C">
        <w:rPr>
          <w:szCs w:val="24"/>
        </w:rPr>
        <w:tab/>
        <w:t>It is however up to the next Commission to decide how it will contin</w:t>
      </w:r>
      <w:r>
        <w:rPr>
          <w:szCs w:val="24"/>
        </w:rPr>
        <w:t>ue the LGBTI equality policies.</w:t>
      </w:r>
    </w:p>
    <w:p w:rsidR="006C6C77" w:rsidRPr="00722C2C" w:rsidRDefault="006C6C77" w:rsidP="006C6C77">
      <w:pPr>
        <w:pStyle w:val="Normal12Hanging"/>
        <w:spacing w:after="120"/>
        <w:ind w:left="0" w:firstLine="0"/>
        <w:jc w:val="both"/>
        <w:rPr>
          <w:szCs w:val="24"/>
        </w:rPr>
      </w:pPr>
      <w:proofErr w:type="gramStart"/>
      <w:r w:rsidRPr="004054F6">
        <w:rPr>
          <w:szCs w:val="24"/>
        </w:rPr>
        <w:t xml:space="preserve">Based on the proposal from the Commission, the Council Recommendation on Promoting common values, inclusive education and the European dimension of teaching, adopted on 22 May 2018, indicates ways in which education can help young people understand the importance of and adhere to common values set out in Article 2 </w:t>
      </w:r>
      <w:r>
        <w:rPr>
          <w:szCs w:val="24"/>
        </w:rPr>
        <w:t>TEU</w:t>
      </w:r>
      <w:r w:rsidRPr="004054F6">
        <w:rPr>
          <w:szCs w:val="24"/>
        </w:rPr>
        <w:t xml:space="preserve"> and aims at strengthening social cohesion and contributing to fight the rise of populism, xenophobia, divisive nationalism and the spreading of fake news.</w:t>
      </w:r>
      <w:proofErr w:type="gramEnd"/>
    </w:p>
    <w:p w:rsidR="006C6C77" w:rsidRPr="00722C2C" w:rsidRDefault="006C6C77" w:rsidP="006C6C77">
      <w:pPr>
        <w:pStyle w:val="Normal12Hanging"/>
        <w:spacing w:after="120"/>
        <w:ind w:left="0" w:firstLine="0"/>
        <w:jc w:val="both"/>
        <w:rPr>
          <w:szCs w:val="24"/>
        </w:rPr>
      </w:pPr>
      <w:r w:rsidRPr="00722C2C">
        <w:rPr>
          <w:szCs w:val="24"/>
        </w:rPr>
        <w:t xml:space="preserve">In December 2018, the Commission published a Communication on the evaluation of the EU Framework for National Roma Integration Strategies. The Communication is based on the results of an in-depth evaluation of the relevance, effectiveness, coherence, efficiency and the EU </w:t>
      </w:r>
      <w:proofErr w:type="gramStart"/>
      <w:r w:rsidRPr="00722C2C">
        <w:rPr>
          <w:szCs w:val="24"/>
        </w:rPr>
        <w:t>added value</w:t>
      </w:r>
      <w:proofErr w:type="gramEnd"/>
      <w:r w:rsidRPr="00722C2C">
        <w:rPr>
          <w:szCs w:val="24"/>
        </w:rPr>
        <w:t xml:space="preserve"> of the Framework. The evaluation confirmed that the priority areas and Roma integration goals - access to education, employment, healthcare, and housing – are key to Roma inclusion and continue to be valid today.</w:t>
      </w:r>
      <w:r>
        <w:rPr>
          <w:szCs w:val="24"/>
        </w:rPr>
        <w:t xml:space="preserve"> </w:t>
      </w:r>
      <w:r w:rsidRPr="00722C2C">
        <w:rPr>
          <w:szCs w:val="24"/>
        </w:rPr>
        <w:t xml:space="preserve">However, while </w:t>
      </w:r>
      <w:proofErr w:type="spellStart"/>
      <w:r w:rsidRPr="00722C2C">
        <w:rPr>
          <w:szCs w:val="24"/>
        </w:rPr>
        <w:t>antigypsyism</w:t>
      </w:r>
      <w:proofErr w:type="spellEnd"/>
      <w:r w:rsidRPr="00722C2C">
        <w:rPr>
          <w:szCs w:val="24"/>
        </w:rPr>
        <w:t xml:space="preserve"> </w:t>
      </w:r>
      <w:proofErr w:type="gramStart"/>
      <w:r w:rsidRPr="00722C2C">
        <w:rPr>
          <w:szCs w:val="24"/>
        </w:rPr>
        <w:t>has increasingly been recognised</w:t>
      </w:r>
      <w:proofErr w:type="gramEnd"/>
      <w:r w:rsidRPr="00722C2C">
        <w:rPr>
          <w:szCs w:val="24"/>
        </w:rPr>
        <w:t xml:space="preserve"> as a root cause for Roma exclusion, a specific non-discrimination goal alongside the four Roma integration goals and stronger focus on the fight against </w:t>
      </w:r>
      <w:proofErr w:type="spellStart"/>
      <w:r w:rsidRPr="00722C2C">
        <w:rPr>
          <w:szCs w:val="24"/>
        </w:rPr>
        <w:t>antigypsyism</w:t>
      </w:r>
      <w:proofErr w:type="spellEnd"/>
      <w:r w:rsidRPr="00722C2C">
        <w:rPr>
          <w:szCs w:val="24"/>
        </w:rPr>
        <w:t xml:space="preserve"> would make the Framework stronger. </w:t>
      </w:r>
      <w:proofErr w:type="gramStart"/>
      <w:r w:rsidRPr="00722C2C">
        <w:rPr>
          <w:szCs w:val="24"/>
        </w:rPr>
        <w:t>The evaluation showed that the Framework had a positive added value by putting Roma inclusion on the EU and national agendas, developing structures and increasing coherence between EU policy, legal and funding instruments that have been mobilised and aligned for Roma inclusion, such as the European Semester of Europe 2020, the Racial Equality Directive or the 2014-2020 European Structural and Investment Funds</w:t>
      </w:r>
      <w:r>
        <w:rPr>
          <w:szCs w:val="24"/>
        </w:rPr>
        <w:t xml:space="preserve"> and EU anti-trafficking framework</w:t>
      </w:r>
      <w:r w:rsidRPr="00722C2C">
        <w:rPr>
          <w:szCs w:val="24"/>
        </w:rPr>
        <w:t>.</w:t>
      </w:r>
      <w:proofErr w:type="gramEnd"/>
      <w:r>
        <w:rPr>
          <w:szCs w:val="24"/>
        </w:rPr>
        <w:t xml:space="preserve"> </w:t>
      </w:r>
      <w:r w:rsidRPr="00722C2C">
        <w:rPr>
          <w:szCs w:val="24"/>
        </w:rPr>
        <w:t xml:space="preserve">The Racial Equality </w:t>
      </w:r>
      <w:r w:rsidRPr="00722C2C">
        <w:rPr>
          <w:szCs w:val="24"/>
        </w:rPr>
        <w:lastRenderedPageBreak/>
        <w:t xml:space="preserve">Directive prohibits discrimination </w:t>
      </w:r>
      <w:proofErr w:type="gramStart"/>
      <w:r w:rsidRPr="00722C2C">
        <w:rPr>
          <w:szCs w:val="24"/>
        </w:rPr>
        <w:t>on the basis of</w:t>
      </w:r>
      <w:proofErr w:type="gramEnd"/>
      <w:r w:rsidRPr="00722C2C">
        <w:rPr>
          <w:szCs w:val="24"/>
        </w:rPr>
        <w:t xml:space="preserve"> racial or ethnic origin in a range of areas and in this context the Commission launched infringement proceedings on the discrimination of Roma children in education. In the 2014-2020 multiannual financial framework a Roma specific investment priority (socio-economic integration of marginalised communities such as Roma) was included under the E</w:t>
      </w:r>
      <w:r>
        <w:rPr>
          <w:szCs w:val="24"/>
        </w:rPr>
        <w:t xml:space="preserve">uropean </w:t>
      </w:r>
      <w:r w:rsidRPr="00722C2C">
        <w:rPr>
          <w:szCs w:val="24"/>
        </w:rPr>
        <w:t>S</w:t>
      </w:r>
      <w:r>
        <w:rPr>
          <w:szCs w:val="24"/>
        </w:rPr>
        <w:t xml:space="preserve">ocial </w:t>
      </w:r>
      <w:r w:rsidRPr="00722C2C">
        <w:rPr>
          <w:szCs w:val="24"/>
        </w:rPr>
        <w:t>F</w:t>
      </w:r>
      <w:r>
        <w:rPr>
          <w:szCs w:val="24"/>
        </w:rPr>
        <w:t>und</w:t>
      </w:r>
      <w:r w:rsidRPr="00722C2C">
        <w:rPr>
          <w:szCs w:val="24"/>
        </w:rPr>
        <w:t xml:space="preserve"> with a linked </w:t>
      </w:r>
      <w:r w:rsidRPr="00722C2C">
        <w:rPr>
          <w:i/>
          <w:szCs w:val="24"/>
        </w:rPr>
        <w:t>ex ante</w:t>
      </w:r>
      <w:r w:rsidRPr="00722C2C">
        <w:rPr>
          <w:szCs w:val="24"/>
        </w:rPr>
        <w:t xml:space="preserve"> conditionality concerning National Roma Integration Strategies. Twelve Member States selected this investment priority.</w:t>
      </w:r>
    </w:p>
    <w:p w:rsidR="006C6C77" w:rsidRDefault="006C6C77" w:rsidP="006C6C77">
      <w:pPr>
        <w:pStyle w:val="Normal12Hanging"/>
        <w:spacing w:after="120"/>
        <w:ind w:left="0" w:firstLine="0"/>
        <w:jc w:val="both"/>
        <w:rPr>
          <w:szCs w:val="24"/>
        </w:rPr>
      </w:pPr>
      <w:r w:rsidRPr="00722C2C">
        <w:rPr>
          <w:szCs w:val="24"/>
        </w:rPr>
        <w:t>The evaluation also showed that the Framework could have been more relevant to the needs of all Roma if it had had a specific focus on Roma women, children and EU-mobile Roma. The evaluation concluded that the EU Framework is the beginning of a process that, despite many limitations and taking into account the massive task involved, has shown positive results and an initial change in trends.</w:t>
      </w:r>
      <w:r>
        <w:rPr>
          <w:szCs w:val="24"/>
        </w:rPr>
        <w:t xml:space="preserve"> Addressing </w:t>
      </w:r>
      <w:r w:rsidRPr="00D41C51">
        <w:rPr>
          <w:szCs w:val="24"/>
        </w:rPr>
        <w:t xml:space="preserve">trafficking in </w:t>
      </w:r>
      <w:r>
        <w:rPr>
          <w:szCs w:val="24"/>
        </w:rPr>
        <w:t xml:space="preserve">Roma, in particular women and </w:t>
      </w:r>
      <w:proofErr w:type="gramStart"/>
      <w:r>
        <w:rPr>
          <w:szCs w:val="24"/>
        </w:rPr>
        <w:t>children,</w:t>
      </w:r>
      <w:proofErr w:type="gramEnd"/>
      <w:r>
        <w:rPr>
          <w:szCs w:val="24"/>
        </w:rPr>
        <w:t xml:space="preserve"> is still a need with</w:t>
      </w:r>
      <w:r w:rsidRPr="00D41C51">
        <w:rPr>
          <w:szCs w:val="24"/>
        </w:rPr>
        <w:t xml:space="preserve"> </w:t>
      </w:r>
      <w:r>
        <w:rPr>
          <w:szCs w:val="24"/>
        </w:rPr>
        <w:t>child sensitivity</w:t>
      </w:r>
      <w:r w:rsidRPr="00D41C51">
        <w:rPr>
          <w:szCs w:val="24"/>
        </w:rPr>
        <w:t xml:space="preserve"> and gender </w:t>
      </w:r>
      <w:r>
        <w:rPr>
          <w:szCs w:val="24"/>
        </w:rPr>
        <w:t>- specific dimension.</w:t>
      </w:r>
    </w:p>
    <w:p w:rsidR="006C6C77" w:rsidRPr="00722C2C" w:rsidRDefault="006C6C77" w:rsidP="006C6C77">
      <w:pPr>
        <w:pStyle w:val="Normal12Hanging"/>
        <w:spacing w:after="120"/>
        <w:ind w:left="0" w:firstLine="0"/>
        <w:jc w:val="both"/>
        <w:rPr>
          <w:szCs w:val="24"/>
        </w:rPr>
      </w:pPr>
      <w:proofErr w:type="gramStart"/>
      <w:r>
        <w:rPr>
          <w:szCs w:val="24"/>
        </w:rPr>
        <w:t>Furthermore</w:t>
      </w:r>
      <w:proofErr w:type="gramEnd"/>
      <w:r>
        <w:rPr>
          <w:szCs w:val="24"/>
        </w:rPr>
        <w:t xml:space="preserve"> the </w:t>
      </w:r>
      <w:r w:rsidRPr="00B968DC">
        <w:rPr>
          <w:szCs w:val="24"/>
        </w:rPr>
        <w:t xml:space="preserve">European Union and the Council of Europe have identified education as a key element to foster social inclusion. </w:t>
      </w:r>
      <w:r>
        <w:rPr>
          <w:szCs w:val="24"/>
        </w:rPr>
        <w:t>I</w:t>
      </w:r>
      <w:r w:rsidRPr="00B968DC">
        <w:rPr>
          <w:szCs w:val="24"/>
        </w:rPr>
        <w:t>mportant challenges remain, in particular to eliminate segregation in education through inclusive education</w:t>
      </w:r>
      <w:r>
        <w:rPr>
          <w:szCs w:val="24"/>
        </w:rPr>
        <w:t xml:space="preserve">. Since May </w:t>
      </w:r>
      <w:proofErr w:type="gramStart"/>
      <w:r>
        <w:rPr>
          <w:szCs w:val="24"/>
        </w:rPr>
        <w:t>2017</w:t>
      </w:r>
      <w:proofErr w:type="gramEnd"/>
      <w:r>
        <w:rPr>
          <w:szCs w:val="24"/>
        </w:rPr>
        <w:t xml:space="preserve"> the Commission</w:t>
      </w:r>
      <w:r w:rsidRPr="00B968DC">
        <w:rPr>
          <w:szCs w:val="24"/>
        </w:rPr>
        <w:t xml:space="preserve"> and </w:t>
      </w:r>
      <w:r>
        <w:rPr>
          <w:szCs w:val="24"/>
        </w:rPr>
        <w:t xml:space="preserve">the </w:t>
      </w:r>
      <w:r w:rsidRPr="00B968DC">
        <w:rPr>
          <w:szCs w:val="24"/>
        </w:rPr>
        <w:t xml:space="preserve">Council of Europe </w:t>
      </w:r>
      <w:r>
        <w:rPr>
          <w:szCs w:val="24"/>
        </w:rPr>
        <w:t>implement a joint p</w:t>
      </w:r>
      <w:r w:rsidRPr="00B968DC">
        <w:rPr>
          <w:szCs w:val="24"/>
        </w:rPr>
        <w:t xml:space="preserve">roject </w:t>
      </w:r>
      <w:r>
        <w:rPr>
          <w:szCs w:val="24"/>
        </w:rPr>
        <w:t xml:space="preserve">called </w:t>
      </w:r>
      <w:r w:rsidRPr="00B968DC">
        <w:rPr>
          <w:szCs w:val="24"/>
        </w:rPr>
        <w:t>“Inclusive Schools: Making a difference for Roma children”</w:t>
      </w:r>
      <w:r>
        <w:rPr>
          <w:szCs w:val="24"/>
        </w:rPr>
        <w:t>. The project</w:t>
      </w:r>
      <w:r w:rsidRPr="00B968DC">
        <w:rPr>
          <w:szCs w:val="24"/>
        </w:rPr>
        <w:t xml:space="preserve"> aims at enhancing social inclusion of Roma </w:t>
      </w:r>
      <w:r>
        <w:rPr>
          <w:szCs w:val="24"/>
        </w:rPr>
        <w:t xml:space="preserve">children </w:t>
      </w:r>
      <w:r w:rsidRPr="00B968DC">
        <w:rPr>
          <w:szCs w:val="24"/>
        </w:rPr>
        <w:t>by promoting inclusive education and training in selected national support and pilot schools. It does so by setting up support mechanisms for the schools</w:t>
      </w:r>
      <w:r>
        <w:rPr>
          <w:szCs w:val="24"/>
        </w:rPr>
        <w:t xml:space="preserve"> and</w:t>
      </w:r>
      <w:r w:rsidRPr="00B968DC">
        <w:rPr>
          <w:szCs w:val="24"/>
        </w:rPr>
        <w:t xml:space="preserve"> by providing support to teachers to improve learning outcomes of Roma children.</w:t>
      </w:r>
    </w:p>
    <w:p w:rsidR="006C6C77" w:rsidRPr="00722C2C" w:rsidRDefault="006C6C77" w:rsidP="006C6C77">
      <w:pPr>
        <w:pStyle w:val="Normal12Hanging"/>
        <w:spacing w:after="120"/>
        <w:ind w:left="0" w:firstLine="0"/>
        <w:jc w:val="both"/>
        <w:rPr>
          <w:szCs w:val="24"/>
        </w:rPr>
      </w:pPr>
      <w:r w:rsidRPr="00722C2C">
        <w:rPr>
          <w:szCs w:val="24"/>
        </w:rPr>
        <w:t xml:space="preserve">As far as the rights of persons with disabilities are concerned, the Commission recalls that Principle 17 of the European </w:t>
      </w:r>
      <w:proofErr w:type="spellStart"/>
      <w:r w:rsidRPr="00722C2C">
        <w:rPr>
          <w:szCs w:val="24"/>
        </w:rPr>
        <w:t>Pilar</w:t>
      </w:r>
      <w:proofErr w:type="spellEnd"/>
      <w:r w:rsidRPr="00722C2C">
        <w:rPr>
          <w:szCs w:val="24"/>
        </w:rPr>
        <w:t xml:space="preserve"> of Social Rights is devoted to the inclusion of people with disabilities. The have the right to income support that ensures living in dignity, services that enable them to participate in the labour market and in society, and a work environment adapted to their needs. In addition, disability concerns </w:t>
      </w:r>
      <w:proofErr w:type="gramStart"/>
      <w:r w:rsidRPr="00722C2C">
        <w:rPr>
          <w:szCs w:val="24"/>
        </w:rPr>
        <w:t>are mainstreamed</w:t>
      </w:r>
      <w:proofErr w:type="gramEnd"/>
      <w:r w:rsidRPr="00722C2C">
        <w:rPr>
          <w:szCs w:val="24"/>
        </w:rPr>
        <w:t xml:space="preserve"> into the principles related to education, training and long-life learning, equal opportunities, work-life balance, childcare and support to children, long-term care, housing and assistance for the homeless and access to essential services. The Commission is currently evaluating the European Disability Strategy 2010-2020, and all aspects of disability </w:t>
      </w:r>
      <w:proofErr w:type="gramStart"/>
      <w:r w:rsidRPr="00722C2C">
        <w:rPr>
          <w:szCs w:val="24"/>
        </w:rPr>
        <w:t>will be taken</w:t>
      </w:r>
      <w:proofErr w:type="gramEnd"/>
      <w:r w:rsidRPr="00722C2C">
        <w:rPr>
          <w:szCs w:val="24"/>
        </w:rPr>
        <w:t xml:space="preserve"> into account during the process, including the situation of women and girls with disabilities and intersectional discrimination. The Commission already disaggregates the disability-related data that it collects to identify multiple discriminations and translate them into clear commitments to improve the situation of women and girls with disabilities. </w:t>
      </w:r>
      <w:proofErr w:type="gramStart"/>
      <w:r w:rsidRPr="00722C2C">
        <w:rPr>
          <w:szCs w:val="24"/>
        </w:rPr>
        <w:t>Furthermore</w:t>
      </w:r>
      <w:proofErr w:type="gramEnd"/>
      <w:r w:rsidRPr="00722C2C">
        <w:rPr>
          <w:szCs w:val="24"/>
        </w:rPr>
        <w:t xml:space="preserve"> after the political agreement on the European Accessibility Act on November 2018, final adoption is expected in March 2019. The European Accessibility Act contains legally binding accessibility </w:t>
      </w:r>
      <w:proofErr w:type="gramStart"/>
      <w:r w:rsidRPr="00722C2C">
        <w:rPr>
          <w:szCs w:val="24"/>
        </w:rPr>
        <w:t>requirements for certain</w:t>
      </w:r>
      <w:proofErr w:type="gramEnd"/>
      <w:r w:rsidRPr="00722C2C">
        <w:rPr>
          <w:szCs w:val="24"/>
        </w:rPr>
        <w:t xml:space="preserve"> key products and services in the EU.</w:t>
      </w:r>
    </w:p>
    <w:p w:rsidR="006C6C77" w:rsidRPr="00722C2C" w:rsidRDefault="006C6C77" w:rsidP="006C6C77">
      <w:pPr>
        <w:widowControl w:val="0"/>
        <w:spacing w:after="120"/>
        <w:rPr>
          <w:rFonts w:ascii="Times New Roman" w:hAnsi="Times New Roman"/>
          <w:b/>
          <w:szCs w:val="24"/>
        </w:rPr>
      </w:pPr>
      <w:r w:rsidRPr="00722C2C">
        <w:rPr>
          <w:rFonts w:ascii="Times New Roman" w:hAnsi="Times New Roman"/>
          <w:b/>
          <w:szCs w:val="24"/>
        </w:rPr>
        <w:t xml:space="preserve">On </w:t>
      </w:r>
      <w:r>
        <w:rPr>
          <w:rFonts w:ascii="Times New Roman" w:hAnsi="Times New Roman"/>
          <w:b/>
          <w:szCs w:val="24"/>
        </w:rPr>
        <w:t>the Fundamental Rights Agency</w:t>
      </w:r>
    </w:p>
    <w:p w:rsidR="006C6C77" w:rsidRPr="00174050" w:rsidRDefault="006C6C77" w:rsidP="006C6C77">
      <w:pPr>
        <w:widowControl w:val="0"/>
        <w:spacing w:after="120"/>
        <w:rPr>
          <w:rFonts w:ascii="Times New Roman" w:hAnsi="Times New Roman"/>
          <w:szCs w:val="24"/>
        </w:rPr>
      </w:pPr>
      <w:r w:rsidRPr="00722C2C">
        <w:rPr>
          <w:rFonts w:ascii="Times New Roman" w:hAnsi="Times New Roman"/>
          <w:szCs w:val="24"/>
        </w:rPr>
        <w:t xml:space="preserve">The Commission is assessing the conclusions of the external evaluator and of the </w:t>
      </w:r>
      <w:r w:rsidRPr="00174050">
        <w:rPr>
          <w:rFonts w:ascii="Times New Roman" w:hAnsi="Times New Roman"/>
          <w:szCs w:val="24"/>
        </w:rPr>
        <w:t>Fundamental Rights Agency</w:t>
      </w:r>
      <w:r>
        <w:rPr>
          <w:rFonts w:ascii="Times New Roman" w:hAnsi="Times New Roman"/>
          <w:szCs w:val="24"/>
        </w:rPr>
        <w:t xml:space="preserve"> </w:t>
      </w:r>
      <w:r w:rsidRPr="00174050">
        <w:rPr>
          <w:rFonts w:ascii="Times New Roman" w:hAnsi="Times New Roman"/>
          <w:szCs w:val="24"/>
        </w:rPr>
        <w:t>Management Board.</w:t>
      </w:r>
    </w:p>
    <w:p w:rsidR="006C6C77" w:rsidRPr="00722C2C" w:rsidRDefault="006C6C77" w:rsidP="006C6C77">
      <w:pPr>
        <w:widowControl w:val="0"/>
        <w:spacing w:after="120"/>
        <w:rPr>
          <w:rFonts w:ascii="Times New Roman" w:hAnsi="Times New Roman"/>
          <w:szCs w:val="24"/>
        </w:rPr>
      </w:pPr>
      <w:r w:rsidRPr="00722C2C">
        <w:rPr>
          <w:rFonts w:ascii="Times New Roman" w:hAnsi="Times New Roman"/>
          <w:szCs w:val="24"/>
        </w:rPr>
        <w:t xml:space="preserve">With regard to </w:t>
      </w:r>
      <w:r w:rsidRPr="00174050">
        <w:rPr>
          <w:rFonts w:ascii="Times New Roman" w:hAnsi="Times New Roman"/>
          <w:szCs w:val="24"/>
        </w:rPr>
        <w:t>Fundamental Rights Agency</w:t>
      </w:r>
      <w:r w:rsidRPr="00722C2C">
        <w:rPr>
          <w:rFonts w:ascii="Times New Roman" w:hAnsi="Times New Roman"/>
          <w:szCs w:val="24"/>
        </w:rPr>
        <w:t xml:space="preserve">'s legal opinions, the Commission recalls that according to </w:t>
      </w:r>
      <w:r>
        <w:rPr>
          <w:rFonts w:ascii="Times New Roman" w:hAnsi="Times New Roman"/>
          <w:szCs w:val="24"/>
        </w:rPr>
        <w:t>its</w:t>
      </w:r>
      <w:r w:rsidRPr="00722C2C">
        <w:rPr>
          <w:rFonts w:ascii="Times New Roman" w:hAnsi="Times New Roman"/>
          <w:szCs w:val="24"/>
        </w:rPr>
        <w:t xml:space="preserve"> founding regulation (article </w:t>
      </w:r>
      <w:proofErr w:type="gramStart"/>
      <w:r>
        <w:rPr>
          <w:rFonts w:ascii="Times New Roman" w:hAnsi="Times New Roman"/>
          <w:szCs w:val="24"/>
        </w:rPr>
        <w:t>4</w:t>
      </w:r>
      <w:proofErr w:type="gramEnd"/>
      <w:r w:rsidRPr="00722C2C">
        <w:rPr>
          <w:rFonts w:ascii="Times New Roman" w:hAnsi="Times New Roman"/>
          <w:szCs w:val="24"/>
        </w:rPr>
        <w:t xml:space="preserve"> (2)), </w:t>
      </w:r>
      <w:r>
        <w:rPr>
          <w:rFonts w:ascii="Times New Roman" w:hAnsi="Times New Roman"/>
          <w:szCs w:val="24"/>
        </w:rPr>
        <w:t xml:space="preserve">the </w:t>
      </w:r>
      <w:r w:rsidRPr="009950AA">
        <w:rPr>
          <w:rFonts w:ascii="Times New Roman" w:hAnsi="Times New Roman"/>
          <w:szCs w:val="24"/>
        </w:rPr>
        <w:t>Fundamental Rights Agency</w:t>
      </w:r>
      <w:r w:rsidRPr="00722C2C">
        <w:rPr>
          <w:rFonts w:ascii="Times New Roman" w:hAnsi="Times New Roman"/>
          <w:szCs w:val="24"/>
        </w:rPr>
        <w:t xml:space="preserve"> can only provide opinions on legislative proposals by the Commission at the request of the Commission. It can provide opinions on European Parliament’s amendments or positions in the course of the negations at the requ</w:t>
      </w:r>
      <w:r>
        <w:rPr>
          <w:rFonts w:ascii="Times New Roman" w:hAnsi="Times New Roman"/>
          <w:szCs w:val="24"/>
        </w:rPr>
        <w:t>est of the European Parliament.</w:t>
      </w:r>
    </w:p>
    <w:p w:rsidR="006C6C77" w:rsidRPr="00722C2C" w:rsidRDefault="006C6C77" w:rsidP="006C6C77">
      <w:pPr>
        <w:widowControl w:val="0"/>
        <w:spacing w:after="120"/>
      </w:pPr>
      <w:r w:rsidRPr="00722C2C">
        <w:rPr>
          <w:rFonts w:ascii="Times New Roman" w:hAnsi="Times New Roman"/>
          <w:szCs w:val="24"/>
        </w:rPr>
        <w:t xml:space="preserve">Within its core mandate </w:t>
      </w:r>
      <w:r>
        <w:rPr>
          <w:rFonts w:ascii="Times New Roman" w:hAnsi="Times New Roman"/>
          <w:szCs w:val="24"/>
        </w:rPr>
        <w:t xml:space="preserve">the </w:t>
      </w:r>
      <w:r w:rsidRPr="009950AA">
        <w:rPr>
          <w:rFonts w:ascii="Times New Roman" w:hAnsi="Times New Roman"/>
          <w:szCs w:val="24"/>
        </w:rPr>
        <w:t>Fundamental Rights Agency</w:t>
      </w:r>
      <w:r w:rsidRPr="00722C2C">
        <w:rPr>
          <w:rFonts w:ascii="Times New Roman" w:hAnsi="Times New Roman"/>
          <w:szCs w:val="24"/>
        </w:rPr>
        <w:t xml:space="preserve"> plays a role in the legislative process through the data and evidence it provides about issues on the ground. This evidence guides </w:t>
      </w:r>
      <w:r w:rsidRPr="00722C2C">
        <w:rPr>
          <w:rFonts w:ascii="Times New Roman" w:hAnsi="Times New Roman"/>
          <w:szCs w:val="24"/>
        </w:rPr>
        <w:lastRenderedPageBreak/>
        <w:t>the Commission in its legislative and policy-making work. The Commission highly appreciate</w:t>
      </w:r>
      <w:r>
        <w:rPr>
          <w:rFonts w:ascii="Times New Roman" w:hAnsi="Times New Roman"/>
          <w:szCs w:val="24"/>
        </w:rPr>
        <w:t>s</w:t>
      </w:r>
      <w:r w:rsidRPr="00722C2C">
        <w:rPr>
          <w:rFonts w:ascii="Times New Roman" w:hAnsi="Times New Roman"/>
          <w:szCs w:val="24"/>
        </w:rPr>
        <w:t xml:space="preserve"> cooperation with </w:t>
      </w:r>
      <w:r>
        <w:rPr>
          <w:rFonts w:ascii="Times New Roman" w:hAnsi="Times New Roman"/>
          <w:szCs w:val="24"/>
        </w:rPr>
        <w:t xml:space="preserve">the </w:t>
      </w:r>
      <w:r w:rsidRPr="009950AA">
        <w:rPr>
          <w:rFonts w:ascii="Times New Roman" w:hAnsi="Times New Roman"/>
          <w:szCs w:val="24"/>
        </w:rPr>
        <w:t>Fundamental Rights Agency</w:t>
      </w:r>
      <w:r w:rsidRPr="00722C2C">
        <w:rPr>
          <w:rFonts w:ascii="Times New Roman" w:hAnsi="Times New Roman"/>
          <w:szCs w:val="24"/>
        </w:rPr>
        <w:t xml:space="preserve"> in this upstream process.</w:t>
      </w:r>
    </w:p>
    <w:p w:rsidR="00680EFD" w:rsidRDefault="00680EFD"/>
    <w:sectPr w:rsidR="00680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77" w:rsidRDefault="006C6C77" w:rsidP="006C6C77">
      <w:pPr>
        <w:spacing w:after="0"/>
      </w:pPr>
      <w:r>
        <w:separator/>
      </w:r>
    </w:p>
  </w:endnote>
  <w:endnote w:type="continuationSeparator" w:id="0">
    <w:p w:rsidR="006C6C77" w:rsidRDefault="006C6C77" w:rsidP="006C6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77" w:rsidRDefault="006C6C77" w:rsidP="006C6C77">
      <w:pPr>
        <w:spacing w:after="0"/>
      </w:pPr>
      <w:r>
        <w:separator/>
      </w:r>
    </w:p>
  </w:footnote>
  <w:footnote w:type="continuationSeparator" w:id="0">
    <w:p w:rsidR="006C6C77" w:rsidRDefault="006C6C77" w:rsidP="006C6C77">
      <w:pPr>
        <w:spacing w:after="0"/>
      </w:pPr>
      <w:r>
        <w:continuationSeparator/>
      </w:r>
    </w:p>
  </w:footnote>
  <w:footnote w:id="1">
    <w:p w:rsidR="006C6C77" w:rsidRPr="00F45CA3" w:rsidRDefault="006C6C77" w:rsidP="006C6C77">
      <w:pPr>
        <w:pStyle w:val="FootnoteText"/>
        <w:rPr>
          <w:rFonts w:ascii="Times New Roman" w:hAnsi="Times New Roman"/>
        </w:rPr>
      </w:pPr>
      <w:r w:rsidRPr="00F45CA3">
        <w:rPr>
          <w:rStyle w:val="FootnoteReference"/>
          <w:rFonts w:ascii="Times New Roman" w:hAnsi="Times New Roman"/>
        </w:rPr>
        <w:footnoteRef/>
      </w:r>
      <w:r w:rsidRPr="00F45CA3">
        <w:rPr>
          <w:rFonts w:ascii="Times New Roman" w:hAnsi="Times New Roman"/>
        </w:rPr>
        <w:t xml:space="preserve"> </w:t>
      </w:r>
      <w:r w:rsidRPr="00F45CA3">
        <w:rPr>
          <w:rFonts w:ascii="Times New Roman" w:hAnsi="Times New Roman"/>
        </w:rPr>
        <w:tab/>
        <w:t>European Parliament’s resolution of 1</w:t>
      </w:r>
      <w:r>
        <w:rPr>
          <w:rFonts w:ascii="Times New Roman" w:hAnsi="Times New Roman"/>
        </w:rPr>
        <w:t>0 October 2016, P8_TA(2016)0409</w:t>
      </w:r>
    </w:p>
  </w:footnote>
  <w:footnote w:id="2">
    <w:p w:rsidR="006C6C77" w:rsidRPr="00F45CA3" w:rsidRDefault="006C6C77" w:rsidP="006C6C77">
      <w:pPr>
        <w:pStyle w:val="FootnoteText"/>
        <w:rPr>
          <w:rFonts w:ascii="Times New Roman" w:hAnsi="Times New Roman"/>
          <w:lang w:val="en-US"/>
        </w:rPr>
      </w:pPr>
      <w:r w:rsidRPr="00F45CA3">
        <w:rPr>
          <w:rStyle w:val="FootnoteReference"/>
          <w:rFonts w:ascii="Times New Roman" w:hAnsi="Times New Roman"/>
        </w:rPr>
        <w:footnoteRef/>
      </w:r>
      <w:r w:rsidRPr="00F45CA3">
        <w:rPr>
          <w:rFonts w:ascii="Times New Roman" w:hAnsi="Times New Roman"/>
        </w:rPr>
        <w:t xml:space="preserve"> </w:t>
      </w:r>
      <w:r>
        <w:rPr>
          <w:rFonts w:ascii="Times New Roman" w:hAnsi="Times New Roman"/>
        </w:rPr>
        <w:tab/>
        <w:t>COM(2018)</w:t>
      </w:r>
      <w:r w:rsidR="00FF7B01">
        <w:rPr>
          <w:rFonts w:ascii="Times New Roman" w:hAnsi="Times New Roman"/>
        </w:rPr>
        <w:t xml:space="preserve"> </w:t>
      </w:r>
      <w:r>
        <w:rPr>
          <w:rFonts w:ascii="Times New Roman" w:hAnsi="Times New Roman"/>
        </w:rPr>
        <w:t>236</w:t>
      </w:r>
    </w:p>
  </w:footnote>
  <w:footnote w:id="3">
    <w:p w:rsidR="006C6C77" w:rsidRPr="0075255F" w:rsidRDefault="006C6C77" w:rsidP="006C6C77">
      <w:pPr>
        <w:pStyle w:val="FootnoteText"/>
        <w:rPr>
          <w:rFonts w:ascii="Times New Roman" w:hAnsi="Times New Roman"/>
          <w:lang w:val="en-US"/>
        </w:rPr>
      </w:pPr>
      <w:r w:rsidRPr="00794839">
        <w:rPr>
          <w:rStyle w:val="FootnoteReference"/>
          <w:rFonts w:ascii="Times New Roman" w:hAnsi="Times New Roman"/>
        </w:rPr>
        <w:footnoteRef/>
      </w:r>
      <w:r w:rsidRPr="00794839">
        <w:rPr>
          <w:rFonts w:ascii="Times New Roman" w:hAnsi="Times New Roman"/>
        </w:rPr>
        <w:t xml:space="preserve"> </w:t>
      </w:r>
      <w:r w:rsidRPr="00794839">
        <w:rPr>
          <w:rFonts w:ascii="Times New Roman" w:hAnsi="Times New Roman"/>
        </w:rPr>
        <w:tab/>
        <w:t>P8_TA(2018)0184</w:t>
      </w:r>
    </w:p>
  </w:footnote>
  <w:footnote w:id="4">
    <w:p w:rsidR="006C6C77" w:rsidRPr="00AF7C1F" w:rsidRDefault="006C6C77" w:rsidP="006C6C77">
      <w:pPr>
        <w:pStyle w:val="FootnoteText"/>
        <w:rPr>
          <w:rFonts w:ascii="Times New Roman" w:hAnsi="Times New Roman"/>
        </w:rPr>
      </w:pPr>
      <w:r w:rsidRPr="00AF7C1F">
        <w:rPr>
          <w:rStyle w:val="FootnoteReference"/>
          <w:rFonts w:ascii="Times New Roman" w:hAnsi="Times New Roman"/>
        </w:rPr>
        <w:footnoteRef/>
      </w:r>
      <w:r>
        <w:rPr>
          <w:rFonts w:ascii="Times New Roman" w:hAnsi="Times New Roman"/>
        </w:rPr>
        <w:t xml:space="preserve"> </w:t>
      </w:r>
      <w:r>
        <w:rPr>
          <w:rFonts w:ascii="Times New Roman" w:hAnsi="Times New Roman"/>
        </w:rPr>
        <w:tab/>
        <w:t>COM(2018)</w:t>
      </w:r>
      <w:r w:rsidR="00FF7B01">
        <w:rPr>
          <w:rFonts w:ascii="Times New Roman" w:hAnsi="Times New Roman"/>
        </w:rPr>
        <w:t xml:space="preserve"> </w:t>
      </w:r>
      <w:r w:rsidRPr="00AF7C1F">
        <w:rPr>
          <w:rFonts w:ascii="Times New Roman" w:hAnsi="Times New Roman"/>
        </w:rPr>
        <w:t>324 final</w:t>
      </w:r>
    </w:p>
  </w:footnote>
  <w:footnote w:id="5">
    <w:p w:rsidR="006C6C77" w:rsidRPr="00AF7C1F" w:rsidRDefault="006C6C77" w:rsidP="006C6C77">
      <w:pPr>
        <w:pStyle w:val="FootnoteText"/>
        <w:tabs>
          <w:tab w:val="left" w:pos="567"/>
        </w:tabs>
        <w:ind w:left="340" w:hanging="340"/>
        <w:rPr>
          <w:rFonts w:ascii="Times New Roman" w:hAnsi="Times New Roman"/>
        </w:rPr>
      </w:pPr>
      <w:r w:rsidRPr="00AF7C1F">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Pr="00AF7C1F">
        <w:rPr>
          <w:rFonts w:ascii="Times New Roman" w:hAnsi="Times New Roman"/>
        </w:rPr>
        <w:t>COM(2017)</w:t>
      </w:r>
      <w:r w:rsidR="00FF7B01">
        <w:rPr>
          <w:rFonts w:ascii="Times New Roman" w:hAnsi="Times New Roman"/>
        </w:rPr>
        <w:t xml:space="preserve"> </w:t>
      </w:r>
      <w:r w:rsidRPr="00AF7C1F">
        <w:rPr>
          <w:rFonts w:ascii="Times New Roman" w:hAnsi="Times New Roman"/>
        </w:rPr>
        <w:t>211</w:t>
      </w:r>
    </w:p>
  </w:footnote>
  <w:footnote w:id="6">
    <w:p w:rsidR="006C6C77" w:rsidRPr="000F1D1D" w:rsidRDefault="006C6C77" w:rsidP="006C6C77">
      <w:pPr>
        <w:pStyle w:val="FootnoteText"/>
        <w:ind w:left="426" w:hanging="426"/>
        <w:rPr>
          <w:rFonts w:ascii="Times New Roman" w:hAnsi="Times New Roman"/>
        </w:rPr>
      </w:pPr>
      <w:r w:rsidRPr="000F1D1D">
        <w:rPr>
          <w:rStyle w:val="FootnoteReference"/>
          <w:rFonts w:ascii="Times New Roman" w:hAnsi="Times New Roman"/>
        </w:rPr>
        <w:footnoteRef/>
      </w:r>
      <w:r w:rsidRPr="000F1D1D">
        <w:rPr>
          <w:rFonts w:ascii="Times New Roman" w:hAnsi="Times New Roman"/>
        </w:rPr>
        <w:t xml:space="preserve"> </w:t>
      </w:r>
      <w:r w:rsidRPr="000F1D1D">
        <w:rPr>
          <w:rFonts w:ascii="Times New Roman" w:hAnsi="Times New Roman"/>
        </w:rPr>
        <w:tab/>
      </w:r>
      <w:r w:rsidRPr="00FF7B01">
        <w:rPr>
          <w:rFonts w:ascii="Times New Roman" w:hAnsi="Times New Roman"/>
        </w:rPr>
        <w:t xml:space="preserve">As regards the concentration in the Hungarian media market, the Commission refers to its </w:t>
      </w:r>
      <w:hyperlink r:id="rId1" w:history="1">
        <w:r w:rsidRPr="00FF7B01">
          <w:rPr>
            <w:rStyle w:val="Hyperlink"/>
            <w:rFonts w:ascii="Times New Roman" w:hAnsi="Times New Roman"/>
            <w:color w:val="auto"/>
          </w:rPr>
          <w:t>written answer to Question P-006172</w:t>
        </w:r>
        <w:bookmarkStart w:id="0" w:name="_GoBack"/>
        <w:bookmarkEnd w:id="0"/>
        <w:r w:rsidRPr="00FF7B01">
          <w:rPr>
            <w:rStyle w:val="Hyperlink"/>
            <w:rFonts w:ascii="Times New Roman" w:hAnsi="Times New Roman"/>
            <w:color w:val="auto"/>
          </w:rPr>
          <w:t>/18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A51"/>
    <w:multiLevelType w:val="hybridMultilevel"/>
    <w:tmpl w:val="BCAED5BC"/>
    <w:lvl w:ilvl="0" w:tplc="7C765058">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77"/>
    <w:rsid w:val="0007238C"/>
    <w:rsid w:val="000A1623"/>
    <w:rsid w:val="000D6EB1"/>
    <w:rsid w:val="001262BB"/>
    <w:rsid w:val="00131AC6"/>
    <w:rsid w:val="001855CC"/>
    <w:rsid w:val="001C3806"/>
    <w:rsid w:val="002871F7"/>
    <w:rsid w:val="00643679"/>
    <w:rsid w:val="00680EFD"/>
    <w:rsid w:val="006843AE"/>
    <w:rsid w:val="006C6C77"/>
    <w:rsid w:val="00B34A98"/>
    <w:rsid w:val="00B65AA4"/>
    <w:rsid w:val="00ED700E"/>
    <w:rsid w:val="00F709AE"/>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A087"/>
  <w15:chartTrackingRefBased/>
  <w15:docId w15:val="{2FCADFF8-C194-4D5F-94B6-85D6BEE6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77"/>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6C6C77"/>
    <w:pPr>
      <w:ind w:left="357" w:hanging="357"/>
    </w:pPr>
    <w:rPr>
      <w:sz w:val="20"/>
    </w:rPr>
  </w:style>
  <w:style w:type="character" w:customStyle="1" w:styleId="FootnoteTextChar">
    <w:name w:val="Footnote Text Char"/>
    <w:basedOn w:val="DefaultParagraphFont"/>
    <w:uiPriority w:val="99"/>
    <w:semiHidden/>
    <w:rsid w:val="006C6C77"/>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6C6C77"/>
    <w:rPr>
      <w:vertAlign w:val="superscript"/>
    </w:rPr>
  </w:style>
  <w:style w:type="character" w:styleId="Hyperlink">
    <w:name w:val="Hyperlink"/>
    <w:aliases w:val="Char1"/>
    <w:uiPriority w:val="99"/>
    <w:rsid w:val="006C6C77"/>
    <w:rPr>
      <w:color w:val="0000FF"/>
      <w:u w:val="single"/>
    </w:rPr>
  </w:style>
  <w:style w:type="paragraph" w:customStyle="1" w:styleId="Normal12Hanging">
    <w:name w:val="Normal12Hanging"/>
    <w:basedOn w:val="Normal"/>
    <w:link w:val="Normal12HangingChar"/>
    <w:rsid w:val="006C6C77"/>
    <w:pPr>
      <w:widowControl w:val="0"/>
      <w:ind w:left="357" w:hanging="357"/>
      <w:jc w:val="left"/>
    </w:pPr>
    <w:rPr>
      <w:rFonts w:ascii="Times New Roman" w:hAnsi="Times New Roman"/>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6C6C77"/>
    <w:rPr>
      <w:rFonts w:ascii="Courier New" w:eastAsia="Times New Roman" w:hAnsi="Courier New" w:cs="Times New Roman"/>
      <w:sz w:val="20"/>
      <w:szCs w:val="20"/>
      <w:lang w:eastAsia="en-GB"/>
    </w:rPr>
  </w:style>
  <w:style w:type="character" w:customStyle="1" w:styleId="Normal12HangingChar">
    <w:name w:val="Normal12Hanging Char"/>
    <w:link w:val="Normal12Hanging"/>
    <w:rsid w:val="006C6C77"/>
    <w:rPr>
      <w:rFonts w:ascii="Times New Roman" w:eastAsia="Times New Roman" w:hAnsi="Times New Roman" w:cs="Times New Roman"/>
      <w:sz w:val="24"/>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6C6C77"/>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uiPriority w:val="99"/>
    <w:rsid w:val="006C6C77"/>
    <w:pPr>
      <w:spacing w:after="0" w:line="360" w:lineRule="auto"/>
    </w:pPr>
    <w:rPr>
      <w:rFonts w:ascii="Verdana" w:hAnsi="Verdan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doceo/document/P-8-2018-006172-ASW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9474</Words>
  <Characters>52676</Characters>
  <Application>Microsoft Office Word</Application>
  <DocSecurity>0</DocSecurity>
  <Lines>798</Lines>
  <Paragraphs>180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2</cp:revision>
  <dcterms:created xsi:type="dcterms:W3CDTF">2019-05-22T07:51:00Z</dcterms:created>
  <dcterms:modified xsi:type="dcterms:W3CDTF">2019-05-22T08:45:00Z</dcterms:modified>
</cp:coreProperties>
</file>