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9C" w:rsidRPr="00FC0CF0" w:rsidRDefault="00EF5F9C" w:rsidP="00EF5F9C">
      <w:pPr>
        <w:spacing w:after="240"/>
        <w:jc w:val="center"/>
      </w:pPr>
      <w:r w:rsidRPr="00FC0CF0">
        <w:rPr>
          <w:b/>
        </w:rPr>
        <w:t xml:space="preserve">ORDINARY LEGISLATIVE </w:t>
      </w:r>
      <w:r w:rsidRPr="00FC0CF0">
        <w:rPr>
          <w:b/>
          <w:caps/>
        </w:rPr>
        <w:t>procedure</w:t>
      </w:r>
      <w:r w:rsidRPr="00FC0CF0">
        <w:rPr>
          <w:b/>
        </w:rPr>
        <w:t xml:space="preserve"> – First reading</w:t>
      </w:r>
    </w:p>
    <w:p w:rsidR="00EF5F9C" w:rsidRDefault="00EF5F9C" w:rsidP="00EF5F9C">
      <w:pPr>
        <w:spacing w:after="120"/>
        <w:jc w:val="center"/>
        <w:rPr>
          <w:b/>
          <w:bCs/>
        </w:rPr>
      </w:pPr>
      <w:bookmarkStart w:id="0" w:name="GARDIAZBAL"/>
      <w:r w:rsidRPr="00FC0CF0">
        <w:rPr>
          <w:b/>
          <w:bCs/>
        </w:rPr>
        <w:t xml:space="preserve">Follow up to the </w:t>
      </w:r>
      <w:r w:rsidRPr="00FC0CF0">
        <w:rPr>
          <w:b/>
        </w:rPr>
        <w:t xml:space="preserve">European Parliament legislative resolution </w:t>
      </w:r>
      <w:r w:rsidRPr="00146830">
        <w:rPr>
          <w:b/>
          <w:bCs/>
        </w:rPr>
        <w:t xml:space="preserve">on </w:t>
      </w:r>
      <w:r w:rsidRPr="00F3031E">
        <w:rPr>
          <w:b/>
          <w:bCs/>
        </w:rPr>
        <w:t xml:space="preserve">the proposal for a regulation of the European Parliament and of the Council </w:t>
      </w:r>
      <w:r w:rsidRPr="001F2795">
        <w:rPr>
          <w:b/>
          <w:bCs/>
        </w:rPr>
        <w:t>on the protection of the Union's budget in case of generalised deficiencies as regards the rule of law in the Member States</w:t>
      </w:r>
    </w:p>
    <w:p w:rsidR="00EF5F9C" w:rsidRPr="002A7F40" w:rsidRDefault="00EF5F9C" w:rsidP="00EF5F9C">
      <w:pPr>
        <w:spacing w:after="720"/>
        <w:jc w:val="center"/>
      </w:pPr>
      <w:r>
        <w:rPr>
          <w:bdr w:val="none" w:sz="0" w:space="0" w:color="auto" w:frame="1"/>
          <w:lang w:val="en"/>
        </w:rPr>
        <w:t>(</w:t>
      </w:r>
      <w:r w:rsidRPr="002A7F40">
        <w:rPr>
          <w:bdr w:val="none" w:sz="0" w:space="0" w:color="auto" w:frame="1"/>
          <w:lang w:val="en"/>
        </w:rPr>
        <w:t xml:space="preserve">Protection of the Union's budget in case </w:t>
      </w:r>
      <w:r w:rsidRPr="002A7F40">
        <w:rPr>
          <w:bdr w:val="none" w:sz="0" w:space="0" w:color="auto" w:frame="1"/>
        </w:rPr>
        <w:t>of generalised deficiencies</w:t>
      </w:r>
      <w:r w:rsidRPr="002A7F40">
        <w:rPr>
          <w:bdr w:val="none" w:sz="0" w:space="0" w:color="auto" w:frame="1"/>
          <w:lang w:val="en"/>
        </w:rPr>
        <w:t xml:space="preserve"> as regards the rule of law in the Member States</w:t>
      </w:r>
      <w:r>
        <w:rPr>
          <w:bdr w:val="none" w:sz="0" w:space="0" w:color="auto" w:frame="1"/>
          <w:lang w:val="en"/>
        </w:rPr>
        <w:t>)</w:t>
      </w:r>
    </w:p>
    <w:bookmarkEnd w:id="0"/>
    <w:p w:rsidR="00EF5F9C" w:rsidRPr="00ED4B5E" w:rsidRDefault="00EF5F9C" w:rsidP="00EF5F9C">
      <w:pPr>
        <w:shd w:val="clear" w:color="auto" w:fill="FFFFFF"/>
        <w:spacing w:after="240" w:line="288" w:lineRule="atLeast"/>
        <w:ind w:left="720" w:hanging="720"/>
        <w:textAlignment w:val="center"/>
      </w:pPr>
      <w:r w:rsidRPr="00ED4B5E">
        <w:rPr>
          <w:b/>
        </w:rPr>
        <w:t>1.</w:t>
      </w:r>
      <w:r w:rsidRPr="00ED4B5E">
        <w:rPr>
          <w:b/>
        </w:rPr>
        <w:tab/>
        <w:t xml:space="preserve">Rapporteur: </w:t>
      </w:r>
      <w:r w:rsidRPr="001F2795">
        <w:rPr>
          <w:bdr w:val="none" w:sz="0" w:space="0" w:color="auto" w:frame="1"/>
          <w:lang w:val="en"/>
        </w:rPr>
        <w:t>Eider GARDIAZABAL RUBIAL</w:t>
      </w:r>
      <w:r w:rsidRPr="001F2795">
        <w:t xml:space="preserve"> (S&amp;D / SP), </w:t>
      </w:r>
      <w:r w:rsidRPr="001F2795">
        <w:rPr>
          <w:bdr w:val="none" w:sz="0" w:space="0" w:color="auto" w:frame="1"/>
          <w:lang w:val="en"/>
        </w:rPr>
        <w:t>Petri SARVAMAA (EPP / FI)</w:t>
      </w:r>
    </w:p>
    <w:p w:rsidR="00EF5F9C" w:rsidRPr="00FC0CF0" w:rsidRDefault="00EF5F9C" w:rsidP="00EF5F9C">
      <w:pPr>
        <w:spacing w:after="240"/>
        <w:ind w:left="720" w:hanging="720"/>
      </w:pPr>
      <w:r w:rsidRPr="00FC0CF0">
        <w:rPr>
          <w:b/>
        </w:rPr>
        <w:t>2.</w:t>
      </w:r>
      <w:r w:rsidRPr="00FC0CF0">
        <w:rPr>
          <w:b/>
        </w:rPr>
        <w:tab/>
        <w:t>Reference numbers:</w:t>
      </w:r>
      <w:r w:rsidRPr="00FC0CF0">
        <w:t xml:space="preserve"> 201</w:t>
      </w:r>
      <w:r>
        <w:t>8</w:t>
      </w:r>
      <w:r w:rsidRPr="00FC0CF0">
        <w:t>/0</w:t>
      </w:r>
      <w:r>
        <w:t>136</w:t>
      </w:r>
      <w:r w:rsidRPr="00FC0CF0">
        <w:t> (COD) / A8-0</w:t>
      </w:r>
      <w:r>
        <w:t>469/</w:t>
      </w:r>
      <w:r w:rsidRPr="00FC0CF0">
        <w:t>201</w:t>
      </w:r>
      <w:r>
        <w:t>8</w:t>
      </w:r>
      <w:r w:rsidRPr="00FC0CF0">
        <w:t xml:space="preserve"> / P8_TA-</w:t>
      </w:r>
      <w:proofErr w:type="gramStart"/>
      <w:r w:rsidRPr="00FC0CF0">
        <w:t>PROV(</w:t>
      </w:r>
      <w:proofErr w:type="gramEnd"/>
      <w:r w:rsidRPr="00FC0CF0">
        <w:t>2019)0</w:t>
      </w:r>
      <w:r>
        <w:t>349</w:t>
      </w:r>
    </w:p>
    <w:p w:rsidR="00EF5F9C" w:rsidRPr="00FC0CF0" w:rsidRDefault="00EF5F9C" w:rsidP="00EF5F9C">
      <w:pPr>
        <w:spacing w:after="240"/>
        <w:ind w:left="720" w:hanging="720"/>
      </w:pPr>
      <w:r w:rsidRPr="00FC0CF0">
        <w:rPr>
          <w:b/>
        </w:rPr>
        <w:t>3.</w:t>
      </w:r>
      <w:r w:rsidRPr="00FC0CF0">
        <w:rPr>
          <w:b/>
        </w:rPr>
        <w:tab/>
        <w:t xml:space="preserve">Date of adoption of the resolution: </w:t>
      </w:r>
      <w:r>
        <w:t>4 April</w:t>
      </w:r>
      <w:r w:rsidRPr="00FC0CF0">
        <w:t xml:space="preserve"> 2019</w:t>
      </w:r>
    </w:p>
    <w:p w:rsidR="00EF5F9C" w:rsidRPr="00FC0CF0" w:rsidRDefault="00EF5F9C" w:rsidP="00EF5F9C">
      <w:pPr>
        <w:spacing w:after="240"/>
        <w:ind w:left="720" w:hanging="720"/>
      </w:pPr>
      <w:r w:rsidRPr="00FC0CF0">
        <w:rPr>
          <w:b/>
        </w:rPr>
        <w:t>4.</w:t>
      </w:r>
      <w:r w:rsidRPr="00FC0CF0">
        <w:rPr>
          <w:b/>
        </w:rPr>
        <w:tab/>
        <w:t xml:space="preserve">Legal basis: </w:t>
      </w:r>
      <w:r w:rsidRPr="00ED4B5E">
        <w:t xml:space="preserve">Article </w:t>
      </w:r>
      <w:r>
        <w:t>322</w:t>
      </w:r>
      <w:r w:rsidRPr="00ED4B5E">
        <w:t>(</w:t>
      </w:r>
      <w:r>
        <w:t>1</w:t>
      </w:r>
      <w:proofErr w:type="gramStart"/>
      <w:r w:rsidRPr="00ED4B5E">
        <w:t>)</w:t>
      </w:r>
      <w:r>
        <w:t>(</w:t>
      </w:r>
      <w:proofErr w:type="gramEnd"/>
      <w:r>
        <w:t xml:space="preserve">a) </w:t>
      </w:r>
      <w:r w:rsidRPr="00772B00">
        <w:t xml:space="preserve">of </w:t>
      </w:r>
      <w:r w:rsidRPr="00806531">
        <w:t xml:space="preserve">the </w:t>
      </w:r>
      <w:r w:rsidRPr="00FC0CF0">
        <w:t>Treaty on the Functioning of the European Union</w:t>
      </w:r>
    </w:p>
    <w:p w:rsidR="00EF5F9C" w:rsidRDefault="00EF5F9C" w:rsidP="00EF5F9C">
      <w:pPr>
        <w:spacing w:after="240"/>
        <w:ind w:left="720" w:hanging="720"/>
        <w:rPr>
          <w:i/>
        </w:rPr>
      </w:pPr>
      <w:r w:rsidRPr="00FC0CF0">
        <w:rPr>
          <w:b/>
        </w:rPr>
        <w:t>5.</w:t>
      </w:r>
      <w:r w:rsidRPr="00FC0CF0">
        <w:rPr>
          <w:b/>
        </w:rPr>
        <w:tab/>
        <w:t xml:space="preserve">Competent Parliamentary Committee: </w:t>
      </w:r>
      <w:r w:rsidRPr="00FC0CF0">
        <w:t xml:space="preserve">Committee on </w:t>
      </w:r>
      <w:r>
        <w:t>Budget</w:t>
      </w:r>
      <w:r>
        <w:rPr>
          <w:rStyle w:val="playerscommitteetext"/>
        </w:rPr>
        <w:t xml:space="preserve"> (BUDG), </w:t>
      </w:r>
      <w:r w:rsidRPr="00FC0CF0">
        <w:t xml:space="preserve">Committee on </w:t>
      </w:r>
      <w:r>
        <w:t>Budget</w:t>
      </w:r>
      <w:r>
        <w:rPr>
          <w:rStyle w:val="playerscommitteetext"/>
        </w:rPr>
        <w:t>ary Control (CONT) (joint committee procedure)</w:t>
      </w:r>
    </w:p>
    <w:p w:rsidR="00EF5F9C" w:rsidRPr="00235D70" w:rsidRDefault="00EF5F9C" w:rsidP="00EF5F9C">
      <w:pPr>
        <w:spacing w:after="120"/>
        <w:ind w:left="720" w:hanging="720"/>
      </w:pPr>
      <w:r w:rsidRPr="00FC0CF0">
        <w:rPr>
          <w:b/>
        </w:rPr>
        <w:t>6.</w:t>
      </w:r>
      <w:r w:rsidRPr="00FC0CF0">
        <w:rPr>
          <w:b/>
        </w:rPr>
        <w:tab/>
        <w:t>Commission's position:</w:t>
      </w:r>
      <w:r>
        <w:rPr>
          <w:color w:val="000000"/>
          <w:sz w:val="22"/>
          <w:szCs w:val="22"/>
        </w:rPr>
        <w:t xml:space="preserve"> </w:t>
      </w:r>
      <w:r w:rsidRPr="00235D70">
        <w:t>At this stage, following the exchanges with the co-legislators</w:t>
      </w:r>
      <w:r>
        <w:t xml:space="preserve"> including the resolution</w:t>
      </w:r>
      <w:r w:rsidRPr="00235D70">
        <w:t xml:space="preserve"> </w:t>
      </w:r>
      <w:r>
        <w:t>adopted by the European Parliament on 4 April 2019,</w:t>
      </w:r>
      <w:r w:rsidRPr="00235D70">
        <w:t xml:space="preserve"> the following topics are relevant for further discussion in view of the upcoming </w:t>
      </w:r>
      <w:proofErr w:type="spellStart"/>
      <w:r w:rsidRPr="00235D70">
        <w:t>trilogues</w:t>
      </w:r>
      <w:proofErr w:type="spellEnd"/>
      <w:r w:rsidRPr="00235D70">
        <w:t>:</w:t>
      </w:r>
    </w:p>
    <w:p w:rsidR="00EF5F9C" w:rsidRDefault="00EF5F9C" w:rsidP="00EF5F9C">
      <w:pPr>
        <w:spacing w:after="120"/>
      </w:pPr>
      <w:r w:rsidRPr="00235D70">
        <w:t xml:space="preserve">The </w:t>
      </w:r>
      <w:r w:rsidRPr="00A8047C">
        <w:rPr>
          <w:b/>
        </w:rPr>
        <w:t>connection between the generalised deficiencies as regards the rule of law and the protection of the Union’s financial interests</w:t>
      </w:r>
      <w:r w:rsidRPr="00235D70">
        <w:t xml:space="preserve">: </w:t>
      </w:r>
      <w:r w:rsidRPr="00014E99">
        <w:t>the boundary between this proposal and other existing mechanisms to protect the rule of law (such as the one established by Article 7 of the Treaty on European Union) must remain clear.</w:t>
      </w:r>
      <w:r w:rsidRPr="00235D70">
        <w:t xml:space="preserve"> The protection of the Union financial interests is the focus that allows the </w:t>
      </w:r>
      <w:r>
        <w:t>p</w:t>
      </w:r>
      <w:r w:rsidRPr="00235D70">
        <w:t xml:space="preserve">roposal to be autonomous from the </w:t>
      </w:r>
      <w:r>
        <w:t>p</w:t>
      </w:r>
      <w:r w:rsidRPr="00235D70">
        <w:t>rocedure in Article 7</w:t>
      </w:r>
      <w:r>
        <w:t xml:space="preserve"> of the Treaty on European Union.</w:t>
      </w:r>
    </w:p>
    <w:p w:rsidR="00EF5F9C" w:rsidRPr="00235D70" w:rsidRDefault="00EF5F9C" w:rsidP="00EF5F9C">
      <w:pPr>
        <w:spacing w:after="120"/>
      </w:pPr>
      <w:r>
        <w:t xml:space="preserve">The </w:t>
      </w:r>
      <w:r w:rsidRPr="00A8047C">
        <w:rPr>
          <w:b/>
        </w:rPr>
        <w:t>indicative deadline for the Commission to act</w:t>
      </w:r>
      <w:r w:rsidRPr="00235D70">
        <w:t xml:space="preserve"> following the reply received from the Member State concerned</w:t>
      </w:r>
      <w:r>
        <w:t>:</w:t>
      </w:r>
      <w:r w:rsidRPr="00235D70">
        <w:t xml:space="preserve"> </w:t>
      </w:r>
      <w:r>
        <w:t>b</w:t>
      </w:r>
      <w:r w:rsidRPr="00235D70">
        <w:t xml:space="preserve">oth the </w:t>
      </w:r>
      <w:r>
        <w:t xml:space="preserve">European </w:t>
      </w:r>
      <w:r w:rsidRPr="00235D70">
        <w:t xml:space="preserve">Parliament and the Council have proposed a deadline for the Commission to act. Whilst the Commission intends to act within a reasonable timeframe, and the whole mechanism </w:t>
      </w:r>
      <w:proofErr w:type="gramStart"/>
      <w:r w:rsidRPr="00235D70">
        <w:t>is conceived</w:t>
      </w:r>
      <w:proofErr w:type="gramEnd"/>
      <w:r w:rsidRPr="00235D70">
        <w:t xml:space="preserve"> to allow a timely response to deficiencies </w:t>
      </w:r>
      <w:r>
        <w:t xml:space="preserve">with respect to the rule of law </w:t>
      </w:r>
      <w:r w:rsidRPr="00235D70">
        <w:t>that affect the EU financial interest, it should be ensured that:</w:t>
      </w:r>
    </w:p>
    <w:p w:rsidR="00EF5F9C" w:rsidRPr="00A8047C" w:rsidRDefault="00EF5F9C" w:rsidP="00EF5F9C">
      <w:pPr>
        <w:pStyle w:val="ListParagraph"/>
        <w:numPr>
          <w:ilvl w:val="0"/>
          <w:numId w:val="1"/>
        </w:numPr>
        <w:spacing w:after="120" w:line="240" w:lineRule="atLeast"/>
      </w:pPr>
      <w:r>
        <w:t>t</w:t>
      </w:r>
      <w:r w:rsidRPr="00A8047C">
        <w:t>he Union is not pre-empted from acting because of a too strict deadline that cannot be complied with</w:t>
      </w:r>
      <w:r>
        <w:t>;</w:t>
      </w:r>
    </w:p>
    <w:p w:rsidR="00EF5F9C" w:rsidRPr="00A8047C" w:rsidRDefault="00EF5F9C" w:rsidP="00EF5F9C">
      <w:pPr>
        <w:pStyle w:val="ListParagraph"/>
        <w:numPr>
          <w:ilvl w:val="0"/>
          <w:numId w:val="1"/>
        </w:numPr>
        <w:spacing w:after="120" w:line="240" w:lineRule="atLeast"/>
      </w:pPr>
      <w:proofErr w:type="gramStart"/>
      <w:r>
        <w:t>t</w:t>
      </w:r>
      <w:r w:rsidRPr="00A8047C">
        <w:t>he</w:t>
      </w:r>
      <w:proofErr w:type="gramEnd"/>
      <w:r w:rsidRPr="00A8047C">
        <w:t xml:space="preserve"> Commission can carry out the necessary examination of a possibly complex situation, accompanied by information and documents from various sources and with multiple legal and financial implications. This examination requires accuracy, thus time</w:t>
      </w:r>
      <w:r>
        <w:t>;</w:t>
      </w:r>
    </w:p>
    <w:p w:rsidR="00EF5F9C" w:rsidRPr="00A8047C" w:rsidRDefault="00EF5F9C" w:rsidP="00EF5F9C">
      <w:pPr>
        <w:pStyle w:val="ListParagraph"/>
        <w:numPr>
          <w:ilvl w:val="0"/>
          <w:numId w:val="1"/>
        </w:numPr>
        <w:spacing w:after="120" w:line="240" w:lineRule="atLeast"/>
      </w:pPr>
      <w:proofErr w:type="gramStart"/>
      <w:r>
        <w:t>t</w:t>
      </w:r>
      <w:r w:rsidRPr="00A8047C">
        <w:t>he</w:t>
      </w:r>
      <w:proofErr w:type="gramEnd"/>
      <w:r w:rsidRPr="00A8047C">
        <w:t xml:space="preserve"> whole action is not pre-empted because of a Member State submitting its replies in a belated manner. Any time-span should therefore start from the submission of the reply by the Member State.</w:t>
      </w:r>
    </w:p>
    <w:p w:rsidR="00EF5F9C" w:rsidRDefault="00EF5F9C" w:rsidP="00EF5F9C">
      <w:pPr>
        <w:spacing w:after="120"/>
      </w:pPr>
      <w:r w:rsidRPr="00235D70">
        <w:t>Clarif</w:t>
      </w:r>
      <w:r>
        <w:t>ication</w:t>
      </w:r>
      <w:r w:rsidRPr="00235D70">
        <w:t xml:space="preserve"> </w:t>
      </w:r>
      <w:r>
        <w:t xml:space="preserve">of </w:t>
      </w:r>
      <w:r w:rsidRPr="00235D70">
        <w:t xml:space="preserve">the </w:t>
      </w:r>
      <w:r w:rsidRPr="00235D70">
        <w:rPr>
          <w:b/>
        </w:rPr>
        <w:t>sources of information</w:t>
      </w:r>
      <w:r w:rsidRPr="00235D70">
        <w:t xml:space="preserve"> that the Commission can use to assess the situation in the Member States</w:t>
      </w:r>
      <w:r>
        <w:t xml:space="preserve">: </w:t>
      </w:r>
      <w:r w:rsidRPr="00235D70">
        <w:t xml:space="preserve">the list </w:t>
      </w:r>
      <w:proofErr w:type="gramStart"/>
      <w:r>
        <w:t>must be kept</w:t>
      </w:r>
      <w:proofErr w:type="gramEnd"/>
      <w:r>
        <w:t xml:space="preserve"> open.</w:t>
      </w:r>
    </w:p>
    <w:p w:rsidR="00EF5F9C" w:rsidRDefault="00EF5F9C" w:rsidP="00EF5F9C">
      <w:pPr>
        <w:spacing w:after="120"/>
      </w:pPr>
      <w:r w:rsidRPr="005B57AD">
        <w:lastRenderedPageBreak/>
        <w:t xml:space="preserve">Addressing how to </w:t>
      </w:r>
      <w:r w:rsidRPr="005B57AD">
        <w:rPr>
          <w:b/>
        </w:rPr>
        <w:t xml:space="preserve">strengthen the protection of final beneficiaries. </w:t>
      </w:r>
      <w:r w:rsidRPr="005B57AD">
        <w:t xml:space="preserve">The Commission should inform recipient of Union funds about their rights and provide them with guidance about the recourse tools available to them, in case a Member State does not fulfil its obligations towards them, notwithstanding the measures adopted in accordance with this proposal. </w:t>
      </w:r>
      <w:r>
        <w:t>T</w:t>
      </w:r>
      <w:r w:rsidRPr="005B57AD">
        <w:t xml:space="preserve">he Commission could </w:t>
      </w:r>
      <w:r>
        <w:t xml:space="preserve">also </w:t>
      </w:r>
      <w:r w:rsidRPr="005B57AD">
        <w:t>clarify</w:t>
      </w:r>
      <w:r>
        <w:t xml:space="preserve"> </w:t>
      </w:r>
      <w:r w:rsidRPr="005B57AD">
        <w:t>that the corrective measures shall not affect the obligation of government entities or of Member States</w:t>
      </w:r>
      <w:r w:rsidRPr="005B57AD">
        <w:rPr>
          <w:i/>
        </w:rPr>
        <w:t xml:space="preserve"> </w:t>
      </w:r>
      <w:r w:rsidRPr="005B57AD">
        <w:t>to implement the programme or fund affected by the measure, and in particular the obligation to make payments to final recipients or beneficiaries</w:t>
      </w:r>
      <w:r>
        <w:rPr>
          <w:rStyle w:val="FootnoteReference"/>
        </w:rPr>
        <w:footnoteReference w:id="1"/>
      </w:r>
      <w:r>
        <w:t>.</w:t>
      </w:r>
    </w:p>
    <w:p w:rsidR="00EF5F9C" w:rsidRDefault="00EF5F9C" w:rsidP="00EF5F9C">
      <w:r>
        <w:t>In addition, b</w:t>
      </w:r>
      <w:r w:rsidRPr="00235D70">
        <w:t xml:space="preserve">y reading this proposal in combination with the MFF </w:t>
      </w:r>
      <w:r>
        <w:t>r</w:t>
      </w:r>
      <w:r w:rsidRPr="00235D70">
        <w:t>egulation proposal, it is clear that the amounts suspended beyond</w:t>
      </w:r>
      <w:r>
        <w:t xml:space="preserve"> N+</w:t>
      </w:r>
      <w:proofErr w:type="gramStart"/>
      <w:r>
        <w:t>2</w:t>
      </w:r>
      <w:proofErr w:type="gramEnd"/>
      <w:r>
        <w:t xml:space="preserve"> will be de-committed. Equivalent amounts to </w:t>
      </w:r>
      <w:proofErr w:type="gramStart"/>
      <w:r>
        <w:t xml:space="preserve">be </w:t>
      </w:r>
      <w:r w:rsidRPr="00235D70">
        <w:t>enter</w:t>
      </w:r>
      <w:r>
        <w:t>ed</w:t>
      </w:r>
      <w:proofErr w:type="gramEnd"/>
      <w:r w:rsidRPr="00235D70">
        <w:t xml:space="preserve"> into the Union reserve established by Article 12 of the MFF </w:t>
      </w:r>
      <w:r>
        <w:t>r</w:t>
      </w:r>
      <w:r w:rsidRPr="00235D70">
        <w:t>egulation pro</w:t>
      </w:r>
      <w:r>
        <w:t xml:space="preserve">posal </w:t>
      </w:r>
      <w:r w:rsidRPr="00235D70">
        <w:t>may be mobilised by the European Parliament and the Council in the framework of the</w:t>
      </w:r>
      <w:r>
        <w:t xml:space="preserve"> budgetary </w:t>
      </w:r>
      <w:r w:rsidRPr="00235D70">
        <w:t>procedure</w:t>
      </w:r>
      <w:r>
        <w:t>, in accordance with the same proposal</w:t>
      </w:r>
      <w:r w:rsidRPr="00235D70">
        <w:rPr>
          <w:sz w:val="32"/>
          <w:szCs w:val="32"/>
        </w:rPr>
        <w:t>.</w:t>
      </w:r>
    </w:p>
    <w:p w:rsidR="00EF5F9C" w:rsidRDefault="00EF5F9C" w:rsidP="00EF5F9C">
      <w:pPr>
        <w:spacing w:after="200" w:line="276" w:lineRule="auto"/>
        <w:rPr>
          <w:u w:val="single"/>
        </w:rPr>
      </w:pPr>
      <w:r>
        <w:rPr>
          <w:u w:val="single"/>
        </w:rPr>
        <w:br w:type="page"/>
      </w:r>
    </w:p>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9C" w:rsidRDefault="00EF5F9C" w:rsidP="00EF5F9C">
      <w:r>
        <w:separator/>
      </w:r>
    </w:p>
  </w:endnote>
  <w:endnote w:type="continuationSeparator" w:id="0">
    <w:p w:rsidR="00EF5F9C" w:rsidRDefault="00EF5F9C" w:rsidP="00E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9C" w:rsidRDefault="00EF5F9C" w:rsidP="00EF5F9C">
      <w:r>
        <w:separator/>
      </w:r>
    </w:p>
  </w:footnote>
  <w:footnote w:type="continuationSeparator" w:id="0">
    <w:p w:rsidR="00EF5F9C" w:rsidRDefault="00EF5F9C" w:rsidP="00EF5F9C">
      <w:r>
        <w:continuationSeparator/>
      </w:r>
    </w:p>
  </w:footnote>
  <w:footnote w:id="1">
    <w:p w:rsidR="00EF5F9C" w:rsidRPr="00434DDE" w:rsidRDefault="00EF5F9C" w:rsidP="00EF5F9C">
      <w:pPr>
        <w:pStyle w:val="FootnoteText"/>
      </w:pPr>
      <w:r>
        <w:rPr>
          <w:rStyle w:val="FootnoteReference"/>
        </w:rPr>
        <w:footnoteRef/>
      </w:r>
      <w:r w:rsidRPr="00434DDE">
        <w:t xml:space="preserve"> </w:t>
      </w:r>
      <w:r>
        <w:tab/>
      </w:r>
      <w:r w:rsidRPr="00434DDE">
        <w:t xml:space="preserve">See </w:t>
      </w:r>
      <w:r>
        <w:t xml:space="preserve">Art.68 of the </w:t>
      </w:r>
      <w:r w:rsidRPr="00434DDE">
        <w:t>Proposal for a R</w:t>
      </w:r>
      <w:r>
        <w:t xml:space="preserve">egulation of the European Parliament and of the Council </w:t>
      </w:r>
      <w:r w:rsidRPr="00434DDE">
        <w:t>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w:t>
      </w:r>
      <w:r>
        <w:t xml:space="preserve">, </w:t>
      </w:r>
      <w:r w:rsidRPr="00434DDE">
        <w:t>COM</w:t>
      </w:r>
      <w:r>
        <w:t xml:space="preserve"> </w:t>
      </w:r>
      <w:r w:rsidRPr="00434DDE">
        <w:t>(2018) 375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6EBE"/>
    <w:multiLevelType w:val="hybridMultilevel"/>
    <w:tmpl w:val="3FB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C"/>
    <w:rsid w:val="005762E3"/>
    <w:rsid w:val="008765BE"/>
    <w:rsid w:val="00EF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4DED6-2645-443B-8135-077095B2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List Paragraph compact"/>
    <w:basedOn w:val="Normal"/>
    <w:link w:val="ListParagraphChar"/>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qFormat/>
    <w:rsid w:val="00EF5F9C"/>
    <w:pPr>
      <w:spacing w:after="240"/>
      <w:ind w:left="357" w:hanging="357"/>
    </w:pPr>
    <w:rPr>
      <w:rFonts w:eastAsia="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uiPriority w:val="99"/>
    <w:rsid w:val="00EF5F9C"/>
    <w:rPr>
      <w:rFonts w:ascii="Times New Roman" w:eastAsia="Times New Roman" w:hAnsi="Times New Roman"/>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F5F9C"/>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EF5F9C"/>
    <w:pPr>
      <w:spacing w:after="160" w:line="240" w:lineRule="exact"/>
      <w:jc w:val="left"/>
    </w:pPr>
    <w:rPr>
      <w:rFonts w:asciiTheme="minorHAnsi" w:hAnsiTheme="minorHAnsi"/>
      <w:sz w:val="22"/>
      <w:szCs w:val="22"/>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link w:val="ListParagraph"/>
    <w:uiPriority w:val="34"/>
    <w:qFormat/>
    <w:locked/>
    <w:rsid w:val="00EF5F9C"/>
    <w:rPr>
      <w:rFonts w:ascii="Times New Roman" w:hAnsi="Times New Roman"/>
      <w:sz w:val="24"/>
      <w:szCs w:val="24"/>
    </w:rPr>
  </w:style>
  <w:style w:type="character" w:customStyle="1" w:styleId="playerscommitteetext">
    <w:name w:val="players_committee_text"/>
    <w:basedOn w:val="DefaultParagraphFont"/>
    <w:rsid w:val="00EF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Company>European Parliament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2019-07-29T13:50:00Z</dcterms:created>
  <dcterms:modified xsi:type="dcterms:W3CDTF">2019-07-29T14:00:00Z</dcterms:modified>
</cp:coreProperties>
</file>