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06" w:rsidRPr="00960535" w:rsidRDefault="00387B06" w:rsidP="00387B06">
      <w:pPr>
        <w:jc w:val="center"/>
        <w:rPr>
          <w:rFonts w:ascii="Times New Roman" w:eastAsia="Calibri" w:hAnsi="Times New Roman"/>
          <w:b/>
          <w:bCs/>
          <w:szCs w:val="24"/>
          <w:lang w:val="fr-FR"/>
        </w:rPr>
      </w:pPr>
      <w:r w:rsidRPr="00960535">
        <w:rPr>
          <w:rFonts w:ascii="Times New Roman" w:hAnsi="Times New Roman"/>
          <w:b/>
          <w:lang w:val="fr-FR"/>
        </w:rPr>
        <w:t>Suite donnée à la résolution législative du Parlement européen sur le règlement délégué de la Commission modifiant l’annexe II du règlement (UE) nº 515/2014 du Parlement européen et du Conseil portant création, dans le cadre du Fonds pour la sécurité intérieure, de l’instrument de soutien financier dans le domaine des frontières extérieures et des visas</w:t>
      </w:r>
    </w:p>
    <w:p w:rsidR="00387B06" w:rsidRPr="00960535" w:rsidRDefault="00387B06" w:rsidP="00387B06">
      <w:pPr>
        <w:spacing w:after="720"/>
        <w:jc w:val="center"/>
        <w:rPr>
          <w:rFonts w:ascii="Times New Roman" w:eastAsia="Calibri" w:hAnsi="Times New Roman"/>
          <w:b/>
          <w:bCs/>
          <w:szCs w:val="24"/>
          <w:lang w:val="fr-FR"/>
        </w:rPr>
      </w:pPr>
      <w:r w:rsidRPr="00960535">
        <w:rPr>
          <w:rFonts w:ascii="Times New Roman" w:hAnsi="Times New Roman"/>
          <w:bdr w:val="none" w:sz="0" w:space="0" w:color="auto" w:frame="1"/>
          <w:lang w:val="fr-FR"/>
        </w:rPr>
        <w:t>[Fonds pour la sécurité intérieure: instrument de soutien financier dans le domaine des frontières extérieures et des visas. Modifiant l’annexe II du règlement (UE) nº 515/2014]</w:t>
      </w:r>
    </w:p>
    <w:p w:rsidR="00387B06" w:rsidRPr="00960535" w:rsidRDefault="00387B06" w:rsidP="00387B06">
      <w:pPr>
        <w:ind w:left="567" w:hanging="567"/>
        <w:rPr>
          <w:rFonts w:ascii="Times New Roman" w:eastAsia="Calibri" w:hAnsi="Times New Roman"/>
          <w:szCs w:val="24"/>
          <w:lang w:val="fr-FR"/>
        </w:rPr>
      </w:pPr>
      <w:r w:rsidRPr="00960535">
        <w:rPr>
          <w:rFonts w:ascii="Times New Roman" w:hAnsi="Times New Roman"/>
          <w:b/>
          <w:lang w:val="fr-FR"/>
        </w:rPr>
        <w:t>1.</w:t>
      </w:r>
      <w:r w:rsidRPr="00960535">
        <w:rPr>
          <w:lang w:val="fr-FR"/>
        </w:rPr>
        <w:tab/>
      </w:r>
      <w:r w:rsidRPr="00960535">
        <w:rPr>
          <w:rFonts w:ascii="Times New Roman" w:hAnsi="Times New Roman"/>
          <w:b/>
          <w:lang w:val="fr-FR"/>
        </w:rPr>
        <w:t>Résolution présentée conformément à l’article 105, paragraphe 3, du règlement intérieur du Parlement européen</w:t>
      </w:r>
    </w:p>
    <w:p w:rsidR="00387B06" w:rsidRPr="00960535" w:rsidRDefault="00387B06" w:rsidP="00387B06">
      <w:pPr>
        <w:widowControl w:val="0"/>
        <w:tabs>
          <w:tab w:val="left" w:pos="-480"/>
        </w:tabs>
        <w:suppressAutoHyphens/>
        <w:ind w:left="567" w:hanging="567"/>
        <w:rPr>
          <w:rFonts w:ascii="Times New Roman" w:eastAsia="Calibri" w:hAnsi="Times New Roman"/>
          <w:szCs w:val="24"/>
          <w:lang w:val="fr-FR"/>
        </w:rPr>
      </w:pPr>
      <w:r w:rsidRPr="00960535">
        <w:rPr>
          <w:rFonts w:ascii="Times New Roman" w:hAnsi="Times New Roman"/>
          <w:b/>
          <w:lang w:val="fr-FR"/>
        </w:rPr>
        <w:t>2.</w:t>
      </w:r>
      <w:r w:rsidRPr="00960535">
        <w:rPr>
          <w:lang w:val="fr-FR"/>
        </w:rPr>
        <w:tab/>
      </w:r>
      <w:r w:rsidRPr="00960535">
        <w:rPr>
          <w:rFonts w:ascii="Times New Roman" w:hAnsi="Times New Roman"/>
          <w:b/>
          <w:lang w:val="fr-FR"/>
        </w:rPr>
        <w:t>Numéro de référence:</w:t>
      </w:r>
      <w:r w:rsidRPr="00960535">
        <w:rPr>
          <w:rFonts w:ascii="Times New Roman" w:hAnsi="Times New Roman"/>
          <w:lang w:val="fr-FR"/>
        </w:rPr>
        <w:t xml:space="preserve"> 2018/2994 </w:t>
      </w:r>
      <w:r>
        <w:rPr>
          <w:rFonts w:ascii="Times New Roman" w:hAnsi="Times New Roman"/>
          <w:lang w:val="fr-FR"/>
        </w:rPr>
        <w:t>(</w:t>
      </w:r>
      <w:r w:rsidRPr="00960535">
        <w:rPr>
          <w:rFonts w:ascii="Times New Roman" w:hAnsi="Times New Roman"/>
          <w:lang w:val="fr-FR"/>
        </w:rPr>
        <w:t>DEA</w:t>
      </w:r>
      <w:r>
        <w:rPr>
          <w:rFonts w:ascii="Times New Roman" w:hAnsi="Times New Roman"/>
          <w:lang w:val="fr-FR"/>
        </w:rPr>
        <w:t>)</w:t>
      </w:r>
      <w:r w:rsidRPr="00960535">
        <w:rPr>
          <w:rFonts w:ascii="Times New Roman" w:hAnsi="Times New Roman"/>
          <w:lang w:val="fr-FR"/>
        </w:rPr>
        <w:t xml:space="preserve"> / B8-0215/2019 / P8_TA-</w:t>
      </w:r>
      <w:proofErr w:type="gramStart"/>
      <w:r w:rsidRPr="00960535">
        <w:rPr>
          <w:rFonts w:ascii="Times New Roman" w:hAnsi="Times New Roman"/>
          <w:lang w:val="fr-FR"/>
        </w:rPr>
        <w:t>PROV(</w:t>
      </w:r>
      <w:proofErr w:type="gramEnd"/>
      <w:r w:rsidRPr="00960535">
        <w:rPr>
          <w:rFonts w:ascii="Times New Roman" w:hAnsi="Times New Roman"/>
          <w:lang w:val="fr-FR"/>
        </w:rPr>
        <w:t>2019)0312</w:t>
      </w:r>
    </w:p>
    <w:p w:rsidR="00387B06" w:rsidRPr="00960535" w:rsidRDefault="00387B06" w:rsidP="00387B06">
      <w:pPr>
        <w:ind w:left="567" w:hanging="567"/>
        <w:rPr>
          <w:rFonts w:ascii="Times New Roman" w:eastAsia="Calibri" w:hAnsi="Times New Roman"/>
          <w:szCs w:val="24"/>
          <w:lang w:val="fr-FR"/>
        </w:rPr>
      </w:pPr>
      <w:r w:rsidRPr="00960535">
        <w:rPr>
          <w:rFonts w:ascii="Times New Roman" w:hAnsi="Times New Roman"/>
          <w:b/>
          <w:lang w:val="fr-FR"/>
        </w:rPr>
        <w:t>3.</w:t>
      </w:r>
      <w:r w:rsidRPr="00960535">
        <w:rPr>
          <w:lang w:val="fr-FR"/>
        </w:rPr>
        <w:tab/>
      </w:r>
      <w:r w:rsidRPr="00960535">
        <w:rPr>
          <w:rFonts w:ascii="Times New Roman" w:hAnsi="Times New Roman"/>
          <w:b/>
          <w:lang w:val="fr-FR"/>
        </w:rPr>
        <w:t xml:space="preserve">Date d’adoption de la résolution: </w:t>
      </w:r>
      <w:r w:rsidRPr="00960535">
        <w:rPr>
          <w:rFonts w:ascii="Times New Roman" w:hAnsi="Times New Roman"/>
          <w:lang w:val="fr-FR"/>
        </w:rPr>
        <w:t>27 mars 2019</w:t>
      </w:r>
    </w:p>
    <w:p w:rsidR="00387B06" w:rsidRPr="00960535" w:rsidRDefault="00387B06" w:rsidP="00387B06">
      <w:pPr>
        <w:ind w:left="567" w:hanging="567"/>
        <w:rPr>
          <w:rFonts w:ascii="Times New Roman" w:hAnsi="Times New Roman"/>
          <w:i/>
          <w:lang w:val="fr-FR"/>
        </w:rPr>
      </w:pPr>
      <w:r w:rsidRPr="00960535">
        <w:rPr>
          <w:rFonts w:ascii="Times New Roman" w:hAnsi="Times New Roman"/>
          <w:b/>
          <w:lang w:val="fr-FR"/>
        </w:rPr>
        <w:t>4.</w:t>
      </w:r>
      <w:r w:rsidRPr="00960535">
        <w:rPr>
          <w:lang w:val="fr-FR"/>
        </w:rPr>
        <w:tab/>
      </w:r>
      <w:r w:rsidRPr="00960535">
        <w:rPr>
          <w:rFonts w:ascii="Times New Roman" w:hAnsi="Times New Roman"/>
          <w:b/>
          <w:lang w:val="fr-FR"/>
        </w:rPr>
        <w:t>Commission parlementaire compétente</w:t>
      </w:r>
      <w:r w:rsidRPr="00960535">
        <w:rPr>
          <w:b/>
          <w:lang w:val="fr-FR"/>
        </w:rPr>
        <w:t>:</w:t>
      </w:r>
      <w:r w:rsidRPr="00960535">
        <w:rPr>
          <w:lang w:val="fr-FR"/>
        </w:rPr>
        <w:t xml:space="preserve"> </w:t>
      </w:r>
      <w:r w:rsidRPr="00960535">
        <w:rPr>
          <w:rFonts w:ascii="Times New Roman" w:hAnsi="Times New Roman"/>
          <w:lang w:val="fr-FR"/>
        </w:rPr>
        <w:t>commission des libertés civiles, de la justice et des affaires intérieures (LIBE)</w:t>
      </w:r>
    </w:p>
    <w:p w:rsidR="00387B06" w:rsidRPr="00960535" w:rsidRDefault="00387B06" w:rsidP="00387B06">
      <w:pPr>
        <w:ind w:left="567" w:hanging="567"/>
        <w:rPr>
          <w:rFonts w:ascii="Times New Roman" w:hAnsi="Times New Roman"/>
          <w:szCs w:val="24"/>
          <w:lang w:val="fr-FR"/>
        </w:rPr>
      </w:pPr>
      <w:r w:rsidRPr="00960535">
        <w:rPr>
          <w:rFonts w:ascii="Times New Roman" w:hAnsi="Times New Roman"/>
          <w:b/>
          <w:lang w:val="fr-FR"/>
        </w:rPr>
        <w:t>5.</w:t>
      </w:r>
      <w:r w:rsidRPr="00960535">
        <w:rPr>
          <w:lang w:val="fr-FR"/>
        </w:rPr>
        <w:tab/>
      </w:r>
      <w:r w:rsidRPr="00960535">
        <w:rPr>
          <w:rFonts w:ascii="Times New Roman" w:hAnsi="Times New Roman"/>
          <w:b/>
          <w:lang w:val="fr-FR"/>
        </w:rPr>
        <w:t>Analyse/évaluation succincte de la résolution et des demandes qu’elle contient:</w:t>
      </w:r>
    </w:p>
    <w:p w:rsidR="00387B06" w:rsidRPr="00960535" w:rsidRDefault="00387B06" w:rsidP="00387B06">
      <w:pPr>
        <w:spacing w:line="240" w:lineRule="atLeast"/>
        <w:rPr>
          <w:rFonts w:ascii="Times New Roman" w:hAnsi="Times New Roman"/>
          <w:lang w:val="fr-FR"/>
        </w:rPr>
      </w:pPr>
      <w:r w:rsidRPr="00960535">
        <w:rPr>
          <w:rFonts w:ascii="Times New Roman" w:hAnsi="Times New Roman"/>
          <w:lang w:val="fr-FR"/>
        </w:rPr>
        <w:t>Le Parlement européen a adopté une résolution dans laquelle il fait objection à l’acte délégué de la Commission relatif au Fonds pour la sécurité intérieure, l’instrument de soutien financier dans le domaine des frontières extérieures et des visas. Le Parlement européen est principalement préoccupé par la référence au concept de</w:t>
      </w:r>
      <w:proofErr w:type="gramStart"/>
      <w:r w:rsidRPr="00960535">
        <w:rPr>
          <w:rFonts w:ascii="Times New Roman" w:hAnsi="Times New Roman"/>
          <w:lang w:val="fr-FR"/>
        </w:rPr>
        <w:t xml:space="preserve"> «centres</w:t>
      </w:r>
      <w:proofErr w:type="gramEnd"/>
      <w:r w:rsidRPr="00960535">
        <w:rPr>
          <w:rFonts w:ascii="Times New Roman" w:hAnsi="Times New Roman"/>
          <w:lang w:val="fr-FR"/>
        </w:rPr>
        <w:t xml:space="preserve"> contrôlés». Pour le Parlement européen, il s’agit d’un concept controversé et d’une légalité douteuse, qui n’existe pas dans le droit de l’Union et qui n’a pas été approuvé par les </w:t>
      </w:r>
      <w:proofErr w:type="spellStart"/>
      <w:r w:rsidRPr="00960535">
        <w:rPr>
          <w:rFonts w:ascii="Times New Roman" w:hAnsi="Times New Roman"/>
          <w:lang w:val="fr-FR"/>
        </w:rPr>
        <w:t>colégislateurs</w:t>
      </w:r>
      <w:proofErr w:type="spellEnd"/>
      <w:r w:rsidRPr="00960535">
        <w:rPr>
          <w:rFonts w:ascii="Times New Roman" w:hAnsi="Times New Roman"/>
          <w:lang w:val="fr-FR"/>
        </w:rPr>
        <w:t xml:space="preserve">. En outre, le Parlement est d’avis, dans sa résolution, qu’un tel concept ne devrait pas être financé à moins d’être correctement défini dans un instrument législatif adéquat, adopté par les </w:t>
      </w:r>
      <w:proofErr w:type="spellStart"/>
      <w:r w:rsidRPr="00960535">
        <w:rPr>
          <w:rFonts w:ascii="Times New Roman" w:hAnsi="Times New Roman"/>
          <w:lang w:val="fr-FR"/>
        </w:rPr>
        <w:t>colégislateurs</w:t>
      </w:r>
      <w:proofErr w:type="spellEnd"/>
      <w:r w:rsidRPr="00960535">
        <w:rPr>
          <w:rFonts w:ascii="Times New Roman" w:hAnsi="Times New Roman"/>
          <w:lang w:val="fr-FR"/>
        </w:rPr>
        <w:t>, détaillant le fondement juridique, la nature, le but et l’objectif d’un tel concept.</w:t>
      </w:r>
    </w:p>
    <w:p w:rsidR="00387B06" w:rsidRPr="00960535" w:rsidRDefault="00387B06" w:rsidP="00387B06">
      <w:pPr>
        <w:widowControl w:val="0"/>
        <w:ind w:left="567" w:hanging="567"/>
        <w:rPr>
          <w:rFonts w:ascii="Times New Roman" w:hAnsi="Times New Roman"/>
          <w:i/>
          <w:szCs w:val="24"/>
          <w:lang w:val="fr-FR"/>
        </w:rPr>
      </w:pPr>
      <w:r w:rsidRPr="00960535">
        <w:rPr>
          <w:rFonts w:ascii="Times New Roman" w:hAnsi="Times New Roman"/>
          <w:b/>
          <w:lang w:val="fr-FR"/>
        </w:rPr>
        <w:t>6.</w:t>
      </w:r>
      <w:r w:rsidRPr="00960535">
        <w:rPr>
          <w:lang w:val="fr-FR"/>
        </w:rPr>
        <w:tab/>
      </w:r>
      <w:r w:rsidRPr="00960535">
        <w:rPr>
          <w:rFonts w:ascii="Times New Roman" w:hAnsi="Times New Roman"/>
          <w:b/>
          <w:lang w:val="fr-FR"/>
        </w:rPr>
        <w:t>Réponse à ces demandes et aperçu des mesures que la Commission a prises ou envisage de prendre:</w:t>
      </w:r>
    </w:p>
    <w:p w:rsidR="00387B06" w:rsidRPr="00960535" w:rsidRDefault="00387B06" w:rsidP="00387B06">
      <w:pPr>
        <w:rPr>
          <w:rFonts w:ascii="Times New Roman" w:hAnsi="Times New Roman"/>
          <w:szCs w:val="24"/>
          <w:lang w:val="fr-FR"/>
        </w:rPr>
      </w:pPr>
      <w:r w:rsidRPr="00960535">
        <w:rPr>
          <w:rFonts w:ascii="Times New Roman" w:hAnsi="Times New Roman"/>
          <w:lang w:val="fr-FR"/>
        </w:rPr>
        <w:t>La Commission prend note de la résolution adoptée par le Parlement européen et déplore le rejet du règlement délégué modifiant la liste de mesures spécifiques au titre du Fonds pour la sécurité intérieure dans le domaine des frontières et des visas</w:t>
      </w:r>
      <w:r>
        <w:rPr>
          <w:rFonts w:ascii="Times New Roman" w:hAnsi="Times New Roman"/>
          <w:vertAlign w:val="superscript"/>
        </w:rPr>
        <w:footnoteReference w:id="1"/>
      </w:r>
      <w:r w:rsidRPr="00960535">
        <w:rPr>
          <w:rFonts w:ascii="Times New Roman" w:hAnsi="Times New Roman"/>
          <w:lang w:val="fr-FR"/>
        </w:rPr>
        <w:t>.</w:t>
      </w:r>
    </w:p>
    <w:p w:rsidR="00387B06" w:rsidRPr="00960535" w:rsidRDefault="00387B06" w:rsidP="00387B06">
      <w:pPr>
        <w:rPr>
          <w:rFonts w:ascii="Times New Roman" w:hAnsi="Times New Roman"/>
          <w:szCs w:val="24"/>
          <w:lang w:val="fr-FR"/>
        </w:rPr>
      </w:pPr>
      <w:r w:rsidRPr="00960535">
        <w:rPr>
          <w:rFonts w:ascii="Times New Roman" w:hAnsi="Times New Roman"/>
          <w:lang w:val="fr-FR"/>
        </w:rPr>
        <w:t>La Commission observe également que la raison de ce rejet est la référence au concept de</w:t>
      </w:r>
      <w:proofErr w:type="gramStart"/>
      <w:r w:rsidRPr="00960535">
        <w:rPr>
          <w:rFonts w:ascii="Times New Roman" w:hAnsi="Times New Roman"/>
          <w:lang w:val="fr-FR"/>
        </w:rPr>
        <w:t xml:space="preserve"> «centres</w:t>
      </w:r>
      <w:proofErr w:type="gramEnd"/>
      <w:r w:rsidRPr="00960535">
        <w:rPr>
          <w:rFonts w:ascii="Times New Roman" w:hAnsi="Times New Roman"/>
          <w:lang w:val="fr-FR"/>
        </w:rPr>
        <w:t xml:space="preserve"> contrôlés». La Commission rappelle que ce concept a été établi dans les conclusions du Conseil européen de juin 2018 et que, de surcroît, il figure dans le texte de la proposition d’acte à titre d’exemple.</w:t>
      </w:r>
    </w:p>
    <w:p w:rsidR="00387B06" w:rsidRPr="00960535" w:rsidRDefault="00387B06" w:rsidP="00387B06">
      <w:pPr>
        <w:rPr>
          <w:rFonts w:ascii="Times New Roman" w:hAnsi="Times New Roman"/>
          <w:szCs w:val="24"/>
          <w:lang w:val="fr-FR"/>
        </w:rPr>
      </w:pPr>
      <w:r w:rsidRPr="00960535">
        <w:rPr>
          <w:rFonts w:ascii="Times New Roman" w:hAnsi="Times New Roman"/>
          <w:lang w:val="fr-FR"/>
        </w:rPr>
        <w:t>Le règlement délégué avait pour objectif de proposer une nouvelle mesure spécifique qui permettrait à la Commission d’apporter un financement ciblé complémentaire aux États membres, notamment ceux se trouvant en première ligne et confrontés à des difficultés en matière de migration et de protection de leurs frontières.</w:t>
      </w:r>
    </w:p>
    <w:p w:rsidR="00387B06" w:rsidRPr="00960535" w:rsidRDefault="00387B06" w:rsidP="00387B06">
      <w:pPr>
        <w:spacing w:line="240" w:lineRule="atLeast"/>
        <w:rPr>
          <w:rFonts w:ascii="Times New Roman" w:hAnsi="Times New Roman"/>
          <w:lang w:val="fr-FR"/>
        </w:rPr>
      </w:pPr>
      <w:r w:rsidRPr="00960535">
        <w:rPr>
          <w:rFonts w:ascii="Times New Roman" w:hAnsi="Times New Roman"/>
          <w:lang w:val="fr-FR"/>
        </w:rPr>
        <w:t xml:space="preserve">Le Fonds pour la sécurité intérieure et, en particulier, l’instrument dans le domaine des frontières extérieures et des visas, devraient être en mesure de fournir un soutien financier adéquat à la mise en œuvre des politiques de l’UE telles que l’approche dite des «points d’accès» (ou </w:t>
      </w:r>
      <w:proofErr w:type="spellStart"/>
      <w:r w:rsidRPr="00960535">
        <w:rPr>
          <w:rFonts w:ascii="Times New Roman" w:hAnsi="Times New Roman"/>
          <w:lang w:val="fr-FR"/>
        </w:rPr>
        <w:t>hotspots</w:t>
      </w:r>
      <w:proofErr w:type="spellEnd"/>
      <w:r w:rsidRPr="00960535">
        <w:rPr>
          <w:rFonts w:ascii="Times New Roman" w:hAnsi="Times New Roman"/>
          <w:lang w:val="fr-FR"/>
        </w:rPr>
        <w:t xml:space="preserve">), comme indiqué dans l’agenda européen en matière de migration </w:t>
      </w:r>
      <w:r w:rsidRPr="00960535">
        <w:rPr>
          <w:rFonts w:ascii="Times New Roman" w:hAnsi="Times New Roman"/>
          <w:lang w:val="fr-FR"/>
        </w:rPr>
        <w:lastRenderedPageBreak/>
        <w:t>présenté par la Commission européenne le 13 mai 2015</w:t>
      </w:r>
      <w:r>
        <w:rPr>
          <w:rStyle w:val="FootnoteReference"/>
          <w:rFonts w:ascii="Times New Roman" w:hAnsi="Times New Roman"/>
        </w:rPr>
        <w:footnoteReference w:id="2"/>
      </w:r>
      <w:r w:rsidRPr="00960535">
        <w:rPr>
          <w:rFonts w:ascii="Times New Roman" w:hAnsi="Times New Roman"/>
          <w:lang w:val="fr-FR"/>
        </w:rPr>
        <w:t xml:space="preserve"> et approuvé par le Conseil européen des 25 et 26 juin 2015</w:t>
      </w:r>
      <w:r>
        <w:rPr>
          <w:rStyle w:val="FootnoteReference"/>
          <w:rFonts w:ascii="Times New Roman" w:hAnsi="Times New Roman"/>
        </w:rPr>
        <w:footnoteReference w:id="3"/>
      </w:r>
      <w:r w:rsidRPr="00960535">
        <w:rPr>
          <w:rFonts w:ascii="Times New Roman" w:hAnsi="Times New Roman"/>
          <w:lang w:val="fr-FR"/>
        </w:rPr>
        <w:t>. Ladite approche permet à l’UE de fournir un appui opérationnel aux États membres touchés par une pression migratoire disproportionnée aux frontières extérieures de l’Union. Elle offre une assistance intégrée, globale et ciblée dans un esprit de solidarité et de responsabilité partagée, dans le souci également de préserver l’intégrité de l’espace Schengen.</w:t>
      </w:r>
    </w:p>
    <w:p w:rsidR="00387B06" w:rsidRPr="00960535" w:rsidRDefault="00387B06" w:rsidP="00387B06">
      <w:pPr>
        <w:tabs>
          <w:tab w:val="left" w:pos="1134"/>
        </w:tabs>
        <w:rPr>
          <w:rFonts w:ascii="Times New Roman" w:hAnsi="Times New Roman"/>
          <w:szCs w:val="24"/>
          <w:lang w:val="fr-FR"/>
        </w:rPr>
      </w:pPr>
      <w:r w:rsidRPr="00960535">
        <w:rPr>
          <w:rFonts w:ascii="Times New Roman" w:hAnsi="Times New Roman"/>
          <w:lang w:val="fr-FR"/>
        </w:rPr>
        <w:t>La Commission souligne que l’intention de cette mesure spécifique proposée était de renforcer la solidarité et le partage des responsabilités entre les États membres ainsi que d’offrir des solutions globales, humaines et dignes aux migrants, conformément aux politiques de l’Union en matière d’asile et de migration.</w:t>
      </w:r>
    </w:p>
    <w:p w:rsidR="00680EFD" w:rsidRPr="00387B06" w:rsidRDefault="00680EFD">
      <w:pPr>
        <w:rPr>
          <w:lang w:val="fr-FR"/>
        </w:rPr>
      </w:pPr>
    </w:p>
    <w:sectPr w:rsidR="00680EFD" w:rsidRPr="00387B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06" w:rsidRDefault="00387B06" w:rsidP="00387B06">
      <w:pPr>
        <w:spacing w:after="0"/>
      </w:pPr>
      <w:r>
        <w:separator/>
      </w:r>
    </w:p>
  </w:endnote>
  <w:endnote w:type="continuationSeparator" w:id="0">
    <w:p w:rsidR="00387B06" w:rsidRDefault="00387B06" w:rsidP="00387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06" w:rsidRDefault="00387B06" w:rsidP="00387B06">
      <w:pPr>
        <w:spacing w:after="0"/>
      </w:pPr>
      <w:r>
        <w:separator/>
      </w:r>
    </w:p>
  </w:footnote>
  <w:footnote w:type="continuationSeparator" w:id="0">
    <w:p w:rsidR="00387B06" w:rsidRDefault="00387B06" w:rsidP="00387B06">
      <w:pPr>
        <w:spacing w:after="0"/>
      </w:pPr>
      <w:r>
        <w:continuationSeparator/>
      </w:r>
    </w:p>
  </w:footnote>
  <w:footnote w:id="1">
    <w:p w:rsidR="00387B06" w:rsidRPr="00E96ED9" w:rsidRDefault="00387B06" w:rsidP="00387B06">
      <w:pPr>
        <w:pStyle w:val="FootnoteText"/>
        <w:spacing w:after="0"/>
        <w:rPr>
          <w:rFonts w:ascii="Times New Roman" w:hAnsi="Times New Roman"/>
          <w:lang w:val="pt-PT"/>
        </w:rPr>
      </w:pPr>
      <w:r>
        <w:rPr>
          <w:rStyle w:val="FootnoteReference"/>
          <w:rFonts w:ascii="Times New Roman" w:hAnsi="Times New Roman"/>
        </w:rPr>
        <w:footnoteRef/>
      </w:r>
      <w:r w:rsidRPr="00960535">
        <w:rPr>
          <w:rFonts w:ascii="Times New Roman" w:hAnsi="Times New Roman"/>
          <w:lang w:val="pt-PT"/>
        </w:rPr>
        <w:t xml:space="preserve"> </w:t>
      </w:r>
      <w:r w:rsidRPr="00960535">
        <w:rPr>
          <w:lang w:val="pt-PT"/>
        </w:rPr>
        <w:tab/>
      </w:r>
      <w:proofErr w:type="gramStart"/>
      <w:r w:rsidRPr="00960535">
        <w:rPr>
          <w:rFonts w:ascii="Times New Roman" w:hAnsi="Times New Roman"/>
          <w:lang w:val="pt-PT"/>
        </w:rPr>
        <w:t>C(</w:t>
      </w:r>
      <w:proofErr w:type="gramEnd"/>
      <w:r w:rsidRPr="00960535">
        <w:rPr>
          <w:rFonts w:ascii="Times New Roman" w:hAnsi="Times New Roman"/>
          <w:lang w:val="pt-PT"/>
        </w:rPr>
        <w:t>2018) 8465 final.</w:t>
      </w:r>
      <w:bookmarkStart w:id="0" w:name="_GoBack"/>
      <w:bookmarkEnd w:id="0"/>
    </w:p>
  </w:footnote>
  <w:footnote w:id="2">
    <w:p w:rsidR="00387B06" w:rsidRPr="00960535" w:rsidRDefault="00387B06" w:rsidP="00387B06">
      <w:pPr>
        <w:pStyle w:val="FootnoteText"/>
        <w:spacing w:after="0"/>
        <w:rPr>
          <w:lang w:val="pt-PT"/>
        </w:rPr>
      </w:pPr>
      <w:r>
        <w:rPr>
          <w:rStyle w:val="FootnoteReference"/>
          <w:rFonts w:ascii="Times New Roman" w:hAnsi="Times New Roman"/>
        </w:rPr>
        <w:footnoteRef/>
      </w:r>
      <w:r w:rsidRPr="00960535">
        <w:rPr>
          <w:rFonts w:ascii="Times New Roman" w:hAnsi="Times New Roman"/>
          <w:lang w:val="pt-PT"/>
        </w:rPr>
        <w:t xml:space="preserve"> </w:t>
      </w:r>
      <w:r w:rsidRPr="00960535">
        <w:rPr>
          <w:lang w:val="pt-PT"/>
        </w:rPr>
        <w:tab/>
      </w:r>
      <w:proofErr w:type="gramStart"/>
      <w:r w:rsidRPr="00960535">
        <w:rPr>
          <w:rFonts w:ascii="Times New Roman" w:hAnsi="Times New Roman"/>
          <w:lang w:val="pt-PT"/>
        </w:rPr>
        <w:t>COM(</w:t>
      </w:r>
      <w:proofErr w:type="gramEnd"/>
      <w:r w:rsidRPr="00960535">
        <w:rPr>
          <w:rFonts w:ascii="Times New Roman" w:hAnsi="Times New Roman"/>
          <w:lang w:val="pt-PT"/>
        </w:rPr>
        <w:t>2015) 240 final.</w:t>
      </w:r>
    </w:p>
  </w:footnote>
  <w:footnote w:id="3">
    <w:p w:rsidR="00387B06" w:rsidRPr="00960535" w:rsidRDefault="00387B06" w:rsidP="00387B06">
      <w:pPr>
        <w:pStyle w:val="FootnoteText"/>
        <w:rPr>
          <w:rFonts w:ascii="Times New Roman" w:hAnsi="Times New Roman"/>
          <w:lang w:val="pt-PT"/>
        </w:rPr>
      </w:pPr>
      <w:r>
        <w:rPr>
          <w:rStyle w:val="FootnoteReference"/>
          <w:rFonts w:ascii="Times New Roman" w:hAnsi="Times New Roman"/>
        </w:rPr>
        <w:footnoteRef/>
      </w:r>
      <w:r w:rsidRPr="00960535">
        <w:rPr>
          <w:rFonts w:ascii="Times New Roman" w:hAnsi="Times New Roman"/>
          <w:lang w:val="pt-PT"/>
        </w:rPr>
        <w:t xml:space="preserve"> </w:t>
      </w:r>
      <w:r w:rsidRPr="00960535">
        <w:rPr>
          <w:lang w:val="pt-PT"/>
        </w:rPr>
        <w:tab/>
      </w:r>
      <w:r w:rsidRPr="00960535">
        <w:rPr>
          <w:rFonts w:ascii="Times New Roman" w:hAnsi="Times New Roman"/>
          <w:lang w:val="pt-PT"/>
        </w:rPr>
        <w:t>EUCO 22/15 CO EUR 8 CONCL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06"/>
    <w:rsid w:val="0007238C"/>
    <w:rsid w:val="000A1623"/>
    <w:rsid w:val="000D6EB1"/>
    <w:rsid w:val="00110BA4"/>
    <w:rsid w:val="001262BB"/>
    <w:rsid w:val="00131AC6"/>
    <w:rsid w:val="001855CC"/>
    <w:rsid w:val="001C3806"/>
    <w:rsid w:val="002871F7"/>
    <w:rsid w:val="00387B06"/>
    <w:rsid w:val="00643679"/>
    <w:rsid w:val="00680EFD"/>
    <w:rsid w:val="006843AE"/>
    <w:rsid w:val="00AD10AA"/>
    <w:rsid w:val="00B24044"/>
    <w:rsid w:val="00B34A98"/>
    <w:rsid w:val="00B65AA4"/>
    <w:rsid w:val="00ED700E"/>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6D062A5-63D6-4208-B5E9-467AD48D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06"/>
    <w:pPr>
      <w:spacing w:after="120" w:line="240" w:lineRule="auto"/>
      <w:ind w:right="-28"/>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pPr>
      <w:spacing w:after="240"/>
    </w:pPr>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spacing w:after="240"/>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customStyle="1" w:styleId="ParagraphNr">
    <w:name w:val="Paragraph Nr"/>
    <w:basedOn w:val="Normal"/>
    <w:link w:val="ParagraphNrChar"/>
    <w:autoRedefine/>
    <w:qFormat/>
    <w:rsid w:val="00B24044"/>
    <w:pPr>
      <w:keepNext/>
      <w:ind w:left="567" w:hanging="567"/>
    </w:pPr>
    <w:rPr>
      <w:b/>
      <w:szCs w:val="24"/>
    </w:rPr>
  </w:style>
  <w:style w:type="character" w:customStyle="1" w:styleId="ParagraphNrChar">
    <w:name w:val="Paragraph Nr Char"/>
    <w:basedOn w:val="DefaultParagraphFont"/>
    <w:link w:val="ParagraphNr"/>
    <w:rsid w:val="00B24044"/>
    <w:rPr>
      <w:b/>
      <w:sz w:val="24"/>
      <w:szCs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387B06"/>
    <w:pPr>
      <w:ind w:left="357" w:hanging="357"/>
    </w:pPr>
    <w:rPr>
      <w:sz w:val="20"/>
    </w:rPr>
  </w:style>
  <w:style w:type="character" w:customStyle="1" w:styleId="FootnoteTextChar">
    <w:name w:val="Footnote Text Char"/>
    <w:basedOn w:val="DefaultParagraphFont"/>
    <w:uiPriority w:val="99"/>
    <w:semiHidden/>
    <w:rsid w:val="00387B06"/>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387B06"/>
    <w:rPr>
      <w:vertAlign w:val="superscript"/>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387B06"/>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387B06"/>
    <w:pPr>
      <w:spacing w:after="160" w:line="240" w:lineRule="exact"/>
      <w:jc w:val="lef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3333</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2019-08-26T15:11:00Z</dcterms:created>
  <dcterms:modified xsi:type="dcterms:W3CDTF">2019-08-26T15:12:00Z</dcterms:modified>
</cp:coreProperties>
</file>