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502" w:rsidRPr="00E67502" w:rsidRDefault="00E67502" w:rsidP="00E67502">
      <w:pPr>
        <w:spacing w:after="240"/>
        <w:jc w:val="center"/>
        <w:rPr>
          <w:lang w:val="fr-FR"/>
        </w:rPr>
      </w:pPr>
      <w:r w:rsidRPr="00E67502">
        <w:rPr>
          <w:b/>
          <w:lang w:val="fr-FR"/>
        </w:rPr>
        <w:t>PROCÉDURE LÉGISLATIVE ORDINAIRE – Première lecture</w:t>
      </w:r>
    </w:p>
    <w:p w:rsidR="00E67502" w:rsidRPr="00E67502" w:rsidRDefault="00E67502" w:rsidP="00E67502">
      <w:pPr>
        <w:spacing w:after="720"/>
        <w:jc w:val="center"/>
        <w:rPr>
          <w:lang w:val="fr-FR"/>
        </w:rPr>
      </w:pPr>
      <w:bookmarkStart w:id="0" w:name="FERNANDEZ"/>
      <w:r w:rsidRPr="00E67502">
        <w:rPr>
          <w:b/>
          <w:lang w:val="fr-FR"/>
        </w:rPr>
        <w:t>Suite donnée à la résolution législative du Parlement européen sur la proposition de règlement du Parlement européen et du Conseil concernant les titres adossés à des obligations souveraines</w:t>
      </w:r>
    </w:p>
    <w:bookmarkEnd w:id="0"/>
    <w:p w:rsidR="00E67502" w:rsidRPr="00E67502" w:rsidRDefault="00E67502" w:rsidP="00E67502">
      <w:pPr>
        <w:shd w:val="clear" w:color="auto" w:fill="FFFFFF"/>
        <w:spacing w:line="288" w:lineRule="atLeast"/>
        <w:textAlignment w:val="center"/>
        <w:rPr>
          <w:lang w:val="fr-FR"/>
        </w:rPr>
      </w:pPr>
      <w:r w:rsidRPr="00E67502">
        <w:rPr>
          <w:b/>
          <w:lang w:val="fr-FR"/>
        </w:rPr>
        <w:t>1.</w:t>
      </w:r>
      <w:r w:rsidRPr="00E67502">
        <w:rPr>
          <w:lang w:val="fr-FR"/>
        </w:rPr>
        <w:tab/>
      </w:r>
      <w:r w:rsidRPr="00E67502">
        <w:rPr>
          <w:b/>
          <w:lang w:val="fr-FR"/>
        </w:rPr>
        <w:t xml:space="preserve">Rapporteur: </w:t>
      </w:r>
      <w:proofErr w:type="spellStart"/>
      <w:r w:rsidRPr="00E67502">
        <w:rPr>
          <w:lang w:val="fr-FR"/>
        </w:rPr>
        <w:t>Jonás</w:t>
      </w:r>
      <w:proofErr w:type="spellEnd"/>
      <w:r w:rsidRPr="00E67502">
        <w:rPr>
          <w:lang w:val="fr-FR"/>
        </w:rPr>
        <w:t xml:space="preserve"> FERNÁNDEZ (S&amp;D/ES)</w:t>
      </w:r>
    </w:p>
    <w:p w:rsidR="00E67502" w:rsidRPr="00E67502" w:rsidRDefault="00E67502" w:rsidP="00E67502">
      <w:pPr>
        <w:spacing w:before="100" w:beforeAutospacing="1" w:after="100" w:afterAutospacing="1"/>
        <w:ind w:left="720" w:hanging="720"/>
        <w:rPr>
          <w:lang w:val="fr-FR"/>
        </w:rPr>
      </w:pPr>
      <w:r w:rsidRPr="00E67502">
        <w:rPr>
          <w:b/>
          <w:lang w:val="fr-FR"/>
        </w:rPr>
        <w:t>2.</w:t>
      </w:r>
      <w:r w:rsidRPr="00E67502">
        <w:rPr>
          <w:lang w:val="fr-FR"/>
        </w:rPr>
        <w:tab/>
      </w:r>
      <w:r w:rsidRPr="00E67502">
        <w:rPr>
          <w:b/>
          <w:lang w:val="fr-FR"/>
        </w:rPr>
        <w:t>Numéros de référence:</w:t>
      </w:r>
      <w:r w:rsidRPr="00E67502">
        <w:rPr>
          <w:lang w:val="fr-FR"/>
        </w:rPr>
        <w:t xml:space="preserve"> 2018/0171 (COD)/A8-0180/2019/P8_TA-</w:t>
      </w:r>
      <w:proofErr w:type="gramStart"/>
      <w:r w:rsidRPr="00E67502">
        <w:rPr>
          <w:lang w:val="fr-FR"/>
        </w:rPr>
        <w:t>PROV(</w:t>
      </w:r>
      <w:proofErr w:type="gramEnd"/>
      <w:r w:rsidRPr="00E67502">
        <w:rPr>
          <w:lang w:val="fr-FR"/>
        </w:rPr>
        <w:t>2019)0373</w:t>
      </w:r>
    </w:p>
    <w:p w:rsidR="00E67502" w:rsidRPr="00E67502" w:rsidRDefault="00E67502" w:rsidP="00E67502">
      <w:pPr>
        <w:ind w:left="720" w:hanging="720"/>
        <w:rPr>
          <w:lang w:val="fr-FR"/>
        </w:rPr>
      </w:pPr>
      <w:r w:rsidRPr="00E67502">
        <w:rPr>
          <w:b/>
          <w:lang w:val="fr-FR"/>
        </w:rPr>
        <w:t>3.</w:t>
      </w:r>
      <w:r w:rsidRPr="00E67502">
        <w:rPr>
          <w:lang w:val="fr-FR"/>
        </w:rPr>
        <w:tab/>
      </w:r>
      <w:r w:rsidRPr="00E67502">
        <w:rPr>
          <w:b/>
          <w:lang w:val="fr-FR"/>
        </w:rPr>
        <w:t xml:space="preserve">Date d’adoption de la résolution: </w:t>
      </w:r>
      <w:r w:rsidRPr="00E67502">
        <w:rPr>
          <w:lang w:val="fr-FR"/>
        </w:rPr>
        <w:t>16 avril 2019</w:t>
      </w:r>
    </w:p>
    <w:p w:rsidR="00E67502" w:rsidRPr="00E67502" w:rsidRDefault="00E67502" w:rsidP="00E67502">
      <w:pPr>
        <w:spacing w:before="100" w:beforeAutospacing="1" w:after="100" w:afterAutospacing="1"/>
        <w:ind w:left="720" w:hanging="720"/>
        <w:rPr>
          <w:lang w:val="fr-FR"/>
        </w:rPr>
      </w:pPr>
      <w:r w:rsidRPr="00E67502">
        <w:rPr>
          <w:b/>
          <w:lang w:val="fr-FR"/>
        </w:rPr>
        <w:t>4.</w:t>
      </w:r>
      <w:r w:rsidRPr="00E67502">
        <w:rPr>
          <w:lang w:val="fr-FR"/>
        </w:rPr>
        <w:tab/>
      </w:r>
      <w:r w:rsidRPr="00E67502">
        <w:rPr>
          <w:b/>
          <w:lang w:val="fr-FR"/>
        </w:rPr>
        <w:t xml:space="preserve">Base juridique: </w:t>
      </w:r>
      <w:r w:rsidRPr="00E67502">
        <w:rPr>
          <w:lang w:val="fr-FR"/>
        </w:rPr>
        <w:t>article 114 du traité sur le fonctionnement de l’Union européenne</w:t>
      </w:r>
    </w:p>
    <w:p w:rsidR="00E67502" w:rsidRPr="00E67502" w:rsidRDefault="00E67502" w:rsidP="00E67502">
      <w:pPr>
        <w:spacing w:before="100" w:beforeAutospacing="1" w:after="100" w:afterAutospacing="1"/>
        <w:ind w:left="720" w:hanging="720"/>
        <w:rPr>
          <w:i/>
          <w:lang w:val="fr-FR"/>
        </w:rPr>
      </w:pPr>
      <w:r w:rsidRPr="00E67502">
        <w:rPr>
          <w:b/>
          <w:lang w:val="fr-FR"/>
        </w:rPr>
        <w:t>5.</w:t>
      </w:r>
      <w:r w:rsidRPr="00E67502">
        <w:rPr>
          <w:lang w:val="fr-FR"/>
        </w:rPr>
        <w:tab/>
      </w:r>
      <w:r w:rsidRPr="00E67502">
        <w:rPr>
          <w:b/>
          <w:lang w:val="fr-FR"/>
        </w:rPr>
        <w:t xml:space="preserve">Commission parlementaire compétente: </w:t>
      </w:r>
      <w:r w:rsidRPr="00E67502">
        <w:rPr>
          <w:lang w:val="fr-FR"/>
        </w:rPr>
        <w:t>commission des affaires économiques et monétaires (ECON)</w:t>
      </w:r>
    </w:p>
    <w:p w:rsidR="00E67502" w:rsidRPr="00E67502" w:rsidRDefault="00E67502" w:rsidP="00E67502">
      <w:pPr>
        <w:spacing w:after="240"/>
        <w:ind w:left="720" w:hanging="720"/>
        <w:rPr>
          <w:color w:val="000000"/>
          <w:lang w:val="fr-FR"/>
        </w:rPr>
      </w:pPr>
      <w:r w:rsidRPr="00E67502">
        <w:rPr>
          <w:b/>
          <w:lang w:val="fr-FR"/>
        </w:rPr>
        <w:t>6.</w:t>
      </w:r>
      <w:r w:rsidRPr="00E67502">
        <w:rPr>
          <w:lang w:val="fr-FR"/>
        </w:rPr>
        <w:tab/>
      </w:r>
      <w:r w:rsidRPr="00E67502">
        <w:rPr>
          <w:b/>
          <w:lang w:val="fr-FR"/>
        </w:rPr>
        <w:t>Position de la Commission:</w:t>
      </w:r>
      <w:r w:rsidRPr="00E67502">
        <w:rPr>
          <w:color w:val="000000"/>
          <w:lang w:val="fr-FR"/>
        </w:rPr>
        <w:t xml:space="preserve"> La Commission réserve sa position sur tous les amendements du Parlement européen, compte tenu des futures négociations entre le Parlement et le Conseil. La Commission fait observer que les amendements suivants, en particulier, modifient considérablement la substance de la proposition:</w:t>
      </w:r>
    </w:p>
    <w:p w:rsidR="00E67502" w:rsidRPr="00E67502" w:rsidRDefault="00E67502" w:rsidP="00E67502">
      <w:pPr>
        <w:pStyle w:val="ListParagraph"/>
        <w:numPr>
          <w:ilvl w:val="0"/>
          <w:numId w:val="1"/>
        </w:numPr>
        <w:spacing w:after="120" w:line="240" w:lineRule="atLeast"/>
        <w:ind w:left="737"/>
        <w:rPr>
          <w:color w:val="000000"/>
          <w:lang w:val="fr-FR"/>
        </w:rPr>
      </w:pPr>
      <w:r w:rsidRPr="00E67502">
        <w:rPr>
          <w:i/>
          <w:color w:val="000000"/>
          <w:lang w:val="fr-FR"/>
        </w:rPr>
        <w:t>Traitement réglementaire des tranches des titres adossés à des obligations souveraines (SBBS)</w:t>
      </w:r>
      <w:r w:rsidRPr="00E67502">
        <w:rPr>
          <w:lang w:val="fr-FR"/>
        </w:rPr>
        <w:t xml:space="preserve"> (article 23).</w:t>
      </w:r>
    </w:p>
    <w:p w:rsidR="00E67502" w:rsidRPr="00E67502" w:rsidRDefault="00E67502" w:rsidP="00E67502">
      <w:pPr>
        <w:pStyle w:val="ListParagraph"/>
        <w:spacing w:after="120"/>
        <w:ind w:left="737"/>
        <w:rPr>
          <w:color w:val="000000"/>
          <w:lang w:val="fr-FR"/>
        </w:rPr>
      </w:pPr>
      <w:r w:rsidRPr="00E67502">
        <w:rPr>
          <w:color w:val="000000"/>
          <w:lang w:val="fr-FR"/>
        </w:rPr>
        <w:t>Le Parlement européen propose d’étendre le traitement réglementaire des obligations souveraines de la zone euro uniquement aux tranches senior des SBBS en ce qui concerne la réglementation bancaire.</w:t>
      </w:r>
    </w:p>
    <w:p w:rsidR="00E67502" w:rsidRPr="00E67502" w:rsidRDefault="00E67502" w:rsidP="00E67502">
      <w:pPr>
        <w:pStyle w:val="ListParagraph"/>
        <w:numPr>
          <w:ilvl w:val="0"/>
          <w:numId w:val="1"/>
        </w:numPr>
        <w:spacing w:after="120" w:line="240" w:lineRule="atLeast"/>
        <w:ind w:left="737"/>
        <w:rPr>
          <w:color w:val="000000"/>
          <w:lang w:val="fr-FR"/>
        </w:rPr>
      </w:pPr>
      <w:r w:rsidRPr="00E67502">
        <w:rPr>
          <w:i/>
          <w:color w:val="000000"/>
          <w:lang w:val="fr-FR"/>
        </w:rPr>
        <w:t>Portefeuille sous-jacent aux SBBS</w:t>
      </w:r>
      <w:r w:rsidRPr="00E67502">
        <w:rPr>
          <w:lang w:val="fr-FR"/>
        </w:rPr>
        <w:t xml:space="preserve"> (article 4)</w:t>
      </w:r>
    </w:p>
    <w:p w:rsidR="00E67502" w:rsidRPr="00E67502" w:rsidRDefault="00E67502" w:rsidP="00E67502">
      <w:pPr>
        <w:pStyle w:val="ListParagraph"/>
        <w:spacing w:after="120"/>
        <w:ind w:left="737"/>
        <w:rPr>
          <w:color w:val="000000"/>
          <w:lang w:val="fr-FR"/>
        </w:rPr>
      </w:pPr>
      <w:r w:rsidRPr="00E67502">
        <w:rPr>
          <w:color w:val="000000"/>
          <w:lang w:val="fr-FR"/>
        </w:rPr>
        <w:t>Le Parlement européen élargit l’ensemble des situations garantissant un changement dans la composition du portefeuille sous-jacent aux SBBS et prévoit un rôle plus actif pour la Commission.</w:t>
      </w:r>
    </w:p>
    <w:p w:rsidR="00E67502" w:rsidRPr="00E67502" w:rsidRDefault="00E67502" w:rsidP="00E67502">
      <w:pPr>
        <w:pStyle w:val="ListParagraph"/>
        <w:numPr>
          <w:ilvl w:val="0"/>
          <w:numId w:val="1"/>
        </w:numPr>
        <w:spacing w:after="120" w:line="240" w:lineRule="atLeast"/>
        <w:ind w:left="737"/>
        <w:rPr>
          <w:i/>
          <w:color w:val="000000"/>
          <w:lang w:val="fr-FR"/>
        </w:rPr>
      </w:pPr>
      <w:r w:rsidRPr="00E67502">
        <w:rPr>
          <w:i/>
          <w:color w:val="000000"/>
          <w:lang w:val="fr-FR"/>
        </w:rPr>
        <w:t>Surveillance du respect du règlement relatif aux SBBS</w:t>
      </w:r>
      <w:r w:rsidRPr="00E67502">
        <w:rPr>
          <w:lang w:val="fr-FR"/>
        </w:rPr>
        <w:t xml:space="preserve"> (articles 9 à18)</w:t>
      </w:r>
    </w:p>
    <w:p w:rsidR="00E67502" w:rsidRPr="00E67502" w:rsidRDefault="00E67502" w:rsidP="00E67502">
      <w:pPr>
        <w:pStyle w:val="ListParagraph"/>
        <w:spacing w:after="120"/>
        <w:ind w:left="737"/>
        <w:rPr>
          <w:i/>
          <w:color w:val="000000"/>
          <w:lang w:val="fr-FR"/>
        </w:rPr>
      </w:pPr>
      <w:r w:rsidRPr="00E67502">
        <w:rPr>
          <w:color w:val="000000"/>
          <w:lang w:val="fr-FR"/>
        </w:rPr>
        <w:t>Le Parlement européen prévoit de renforcer le rôle de l’Autorité européenne des marchés financiers (AEMF), notamment dans le cadre de la certification ex-ante des émissions de SBBS.</w:t>
      </w:r>
    </w:p>
    <w:p w:rsidR="008765BE" w:rsidRPr="00E67502" w:rsidRDefault="008765BE">
      <w:pPr>
        <w:rPr>
          <w:lang w:val="fr-FR"/>
        </w:rPr>
      </w:pPr>
      <w:bookmarkStart w:id="1" w:name="_GoBack"/>
      <w:bookmarkEnd w:id="1"/>
    </w:p>
    <w:sectPr w:rsidR="008765BE" w:rsidRPr="00E675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74A5B"/>
    <w:multiLevelType w:val="hybridMultilevel"/>
    <w:tmpl w:val="7110DC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02"/>
    <w:rsid w:val="005762E3"/>
    <w:rsid w:val="008765BE"/>
    <w:rsid w:val="00E67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25E92-AF08-4C08-B3F8-15417814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aliases w:val="Dot pt,F5 List Paragraph,List Paragraph1,No Spacing1,List Paragraph Char Char Char,Indicator Text,Numbered Para 1,Bullet 1,Bullet Points,MAIN CONTENT,List Paragraph11,List Paragraph12,List Paragraph2,OBC Bullet,L,List Paragraph compact"/>
    <w:basedOn w:val="Normal"/>
    <w:link w:val="ListParagraphChar"/>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MAIN CONTENT Char,List Paragraph11 Char,L Char"/>
    <w:link w:val="ListParagraph"/>
    <w:uiPriority w:val="34"/>
    <w:qFormat/>
    <w:locked/>
    <w:rsid w:val="00E6750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1449</Characters>
  <Application>Microsoft Office Word</Application>
  <DocSecurity>0</DocSecurity>
  <Lines>12</Lines>
  <Paragraphs>3</Paragraphs>
  <ScaleCrop>false</ScaleCrop>
  <Company>European Parliament</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GIACOMETTI Vanessa</dc:creator>
  <cp:keywords/>
  <dc:description/>
  <cp:lastModifiedBy>GIACOMETTI Vanessa</cp:lastModifiedBy>
  <cp:revision>1</cp:revision>
  <dcterms:created xsi:type="dcterms:W3CDTF">2019-09-04T14:20:00Z</dcterms:created>
  <dcterms:modified xsi:type="dcterms:W3CDTF">2019-09-04T14:20:00Z</dcterms:modified>
</cp:coreProperties>
</file>