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733" w:rsidRPr="00691A98" w:rsidRDefault="008D2733" w:rsidP="008D2733">
      <w:pPr>
        <w:pStyle w:val="ListParagraph"/>
        <w:spacing w:after="600" w:line="240" w:lineRule="auto"/>
        <w:ind w:left="0"/>
        <w:jc w:val="center"/>
        <w:rPr>
          <w:rFonts w:ascii="Times New Roman" w:hAnsi="Times New Roman"/>
          <w:noProof/>
          <w:sz w:val="24"/>
          <w:szCs w:val="24"/>
          <w:lang w:val="en-GB"/>
        </w:rPr>
      </w:pPr>
      <w:bookmarkStart w:id="0" w:name="_GoBack"/>
      <w:bookmarkEnd w:id="0"/>
      <w:r>
        <w:rPr>
          <w:rFonts w:ascii="Times New Roman" w:hAnsi="Times New Roman"/>
          <w:b/>
          <w:bCs/>
          <w:sz w:val="24"/>
          <w:szCs w:val="24"/>
        </w:rPr>
        <w:t xml:space="preserve">Follow up to the </w:t>
      </w:r>
      <w:r>
        <w:rPr>
          <w:rFonts w:ascii="Times New Roman" w:hAnsi="Times New Roman"/>
          <w:b/>
          <w:sz w:val="24"/>
          <w:szCs w:val="24"/>
        </w:rPr>
        <w:t xml:space="preserve">European Parliament non-legislative </w:t>
      </w:r>
      <w:r w:rsidRPr="00691A98">
        <w:rPr>
          <w:rFonts w:ascii="Times New Roman" w:hAnsi="Times New Roman"/>
          <w:b/>
          <w:sz w:val="24"/>
          <w:szCs w:val="24"/>
        </w:rPr>
        <w:t>resolution</w:t>
      </w:r>
      <w:r w:rsidRPr="00691A98">
        <w:rPr>
          <w:rFonts w:ascii="Times New Roman" w:hAnsi="Times New Roman"/>
          <w:noProof/>
          <w:sz w:val="24"/>
          <w:szCs w:val="24"/>
          <w:lang w:val="en-GB"/>
        </w:rPr>
        <w:t xml:space="preserve"> </w:t>
      </w:r>
      <w:r w:rsidRPr="00691A98">
        <w:rPr>
          <w:rFonts w:ascii="Times New Roman" w:hAnsi="Times New Roman"/>
          <w:b/>
          <w:bCs/>
          <w:sz w:val="24"/>
          <w:szCs w:val="24"/>
        </w:rPr>
        <w:t>on a common charger for mobile radio equipment</w:t>
      </w:r>
    </w:p>
    <w:p w:rsidR="008D2733" w:rsidRDefault="008D2733" w:rsidP="008D2733">
      <w:pPr>
        <w:numPr>
          <w:ilvl w:val="0"/>
          <w:numId w:val="1"/>
        </w:numPr>
        <w:ind w:left="567" w:hanging="567"/>
        <w:rPr>
          <w:rFonts w:ascii="Times New Roman" w:hAnsi="Times New Roman"/>
          <w:b/>
          <w:szCs w:val="24"/>
        </w:rPr>
      </w:pPr>
      <w:r>
        <w:rPr>
          <w:rFonts w:ascii="Times New Roman" w:hAnsi="Times New Roman"/>
          <w:b/>
          <w:szCs w:val="24"/>
        </w:rPr>
        <w:t>Resolution tabled pursuant to Rule 132(2) and (4) of the European Parliament's Rules of procedure</w:t>
      </w:r>
    </w:p>
    <w:p w:rsidR="008D2733" w:rsidRDefault="008D2733" w:rsidP="008D2733">
      <w:pPr>
        <w:numPr>
          <w:ilvl w:val="0"/>
          <w:numId w:val="1"/>
        </w:numPr>
        <w:ind w:left="567" w:hanging="567"/>
        <w:rPr>
          <w:rFonts w:ascii="Times New Roman" w:hAnsi="Times New Roman"/>
          <w:i/>
          <w:szCs w:val="24"/>
        </w:rPr>
      </w:pPr>
      <w:r>
        <w:rPr>
          <w:rFonts w:ascii="Times New Roman" w:hAnsi="Times New Roman"/>
          <w:b/>
          <w:szCs w:val="24"/>
        </w:rPr>
        <w:t xml:space="preserve">Reference numbers: </w:t>
      </w:r>
      <w:r>
        <w:rPr>
          <w:rFonts w:ascii="Times New Roman" w:hAnsi="Times New Roman"/>
          <w:szCs w:val="24"/>
        </w:rPr>
        <w:t>2019/2983 (RSP) / RC-B9-0070/2020 / P9_TA-PROV(2020)0024</w:t>
      </w:r>
    </w:p>
    <w:p w:rsidR="008D2733" w:rsidRDefault="008D2733" w:rsidP="008D2733">
      <w:pPr>
        <w:numPr>
          <w:ilvl w:val="0"/>
          <w:numId w:val="1"/>
        </w:numPr>
        <w:ind w:left="567" w:hanging="567"/>
        <w:rPr>
          <w:rFonts w:ascii="Times New Roman" w:hAnsi="Times New Roman"/>
          <w:szCs w:val="24"/>
        </w:rPr>
      </w:pPr>
      <w:r>
        <w:rPr>
          <w:rFonts w:ascii="Times New Roman" w:hAnsi="Times New Roman"/>
          <w:b/>
          <w:szCs w:val="24"/>
        </w:rPr>
        <w:t>Date of adoption of the resolution:</w:t>
      </w:r>
      <w:r>
        <w:rPr>
          <w:rFonts w:ascii="Times New Roman" w:hAnsi="Times New Roman"/>
          <w:szCs w:val="24"/>
        </w:rPr>
        <w:t xml:space="preserve"> 30 January 2020</w:t>
      </w:r>
    </w:p>
    <w:p w:rsidR="008D2733" w:rsidRDefault="008D2733" w:rsidP="008D2733">
      <w:pPr>
        <w:pStyle w:val="ListParagraph"/>
        <w:numPr>
          <w:ilvl w:val="0"/>
          <w:numId w:val="1"/>
        </w:numPr>
        <w:spacing w:after="240"/>
        <w:ind w:left="567" w:hanging="567"/>
        <w:jc w:val="both"/>
        <w:rPr>
          <w:rFonts w:ascii="Times New Roman" w:hAnsi="Times New Roman"/>
          <w:sz w:val="24"/>
          <w:szCs w:val="24"/>
          <w:lang w:val="en-GB"/>
        </w:rPr>
      </w:pPr>
      <w:r>
        <w:rPr>
          <w:rFonts w:ascii="Times New Roman" w:hAnsi="Times New Roman"/>
          <w:b/>
          <w:sz w:val="24"/>
          <w:szCs w:val="24"/>
          <w:lang w:val="en-GB"/>
        </w:rPr>
        <w:t>Competent Parliamentary Committee:</w:t>
      </w:r>
      <w:r>
        <w:rPr>
          <w:rFonts w:ascii="Times New Roman" w:hAnsi="Times New Roman"/>
          <w:sz w:val="24"/>
          <w:szCs w:val="24"/>
          <w:lang w:val="en-GB"/>
        </w:rPr>
        <w:t xml:space="preserve"> N/A</w:t>
      </w:r>
    </w:p>
    <w:p w:rsidR="008D2733" w:rsidRDefault="008D2733" w:rsidP="008D2733">
      <w:pPr>
        <w:widowControl w:val="0"/>
        <w:numPr>
          <w:ilvl w:val="0"/>
          <w:numId w:val="1"/>
        </w:numPr>
        <w:ind w:left="567" w:hanging="567"/>
        <w:rPr>
          <w:rFonts w:ascii="Times New Roman" w:hAnsi="Times New Roman"/>
          <w:szCs w:val="24"/>
        </w:rPr>
      </w:pPr>
      <w:r>
        <w:rPr>
          <w:rFonts w:ascii="Times New Roman" w:hAnsi="Times New Roman"/>
          <w:b/>
          <w:szCs w:val="24"/>
        </w:rPr>
        <w:t>Brief analysis/assessment of the resolution and requests made in it:</w:t>
      </w:r>
    </w:p>
    <w:p w:rsidR="008D2733" w:rsidRPr="00931FBF" w:rsidRDefault="008D2733" w:rsidP="008D2733">
      <w:pPr>
        <w:spacing w:after="120"/>
        <w:rPr>
          <w:rFonts w:ascii="Times New Roman" w:hAnsi="Times New Roman"/>
        </w:rPr>
      </w:pPr>
      <w:r w:rsidRPr="00931FBF">
        <w:rPr>
          <w:rFonts w:ascii="Times New Roman" w:hAnsi="Times New Roman"/>
        </w:rPr>
        <w:t>The resolution takes stock of the implementation of Directive 2014/53/EU of the European Parliament and of the Council of 16 April 2014 on the harmonisation of the laws of the Member States relating to the making available on the market of radio equipment (hereafter referred to as RED) and, in particular, of art</w:t>
      </w:r>
      <w:r>
        <w:rPr>
          <w:rFonts w:ascii="Times New Roman" w:hAnsi="Times New Roman"/>
        </w:rPr>
        <w:t>icle</w:t>
      </w:r>
      <w:r w:rsidRPr="00931FBF">
        <w:rPr>
          <w:rFonts w:ascii="Times New Roman" w:hAnsi="Times New Roman"/>
        </w:rPr>
        <w:t xml:space="preserve"> 3(3)(a) that empowers the Commission to take action in this area.</w:t>
      </w:r>
    </w:p>
    <w:p w:rsidR="008D2733" w:rsidRPr="00931FBF" w:rsidRDefault="008D2733" w:rsidP="008D2733">
      <w:pPr>
        <w:spacing w:after="120"/>
        <w:rPr>
          <w:rFonts w:ascii="Times New Roman" w:hAnsi="Times New Roman"/>
        </w:rPr>
      </w:pPr>
      <w:r w:rsidRPr="00931FBF">
        <w:rPr>
          <w:rFonts w:ascii="Times New Roman" w:hAnsi="Times New Roman"/>
        </w:rPr>
        <w:t>The resolution reminds that fragmentation of the market for chargers for mobile phones and other small and medium-sized electronic devices results into consumers inconvenience and increase in e-waste. The resolution highlights that consumers still have to acquire different chargers for different or new devices and sellers have to include chargers with every purchase resulting in overproduction and waste.</w:t>
      </w:r>
    </w:p>
    <w:p w:rsidR="008D2733" w:rsidRPr="00931FBF" w:rsidRDefault="008D2733" w:rsidP="008D2733">
      <w:pPr>
        <w:spacing w:after="120"/>
        <w:rPr>
          <w:rFonts w:ascii="Times New Roman" w:hAnsi="Times New Roman"/>
        </w:rPr>
      </w:pPr>
      <w:r w:rsidRPr="00931FBF">
        <w:rPr>
          <w:rFonts w:ascii="Times New Roman" w:hAnsi="Times New Roman"/>
        </w:rPr>
        <w:t>The resolution stresses that a significant amount of e-waste is generated by the existing situation and that, in the framework of the European Green Deal, there is a need for an ambitious new circular economy action plan aiming to reduce the use of resources and the total environmental footprint. It is therefore reminded that the current short life-cycle of some radio equipment, such as smartphones, lead to the production of additional e-waste, including chargers.</w:t>
      </w:r>
    </w:p>
    <w:p w:rsidR="008D2733" w:rsidRPr="00931FBF" w:rsidRDefault="008D2733" w:rsidP="008D2733">
      <w:pPr>
        <w:spacing w:after="120"/>
        <w:rPr>
          <w:rFonts w:ascii="Times New Roman" w:hAnsi="Times New Roman"/>
        </w:rPr>
      </w:pPr>
      <w:r w:rsidRPr="00931FBF">
        <w:rPr>
          <w:rFonts w:ascii="Times New Roman" w:hAnsi="Times New Roman"/>
        </w:rPr>
        <w:t>The resolution observes that, though voluntary agreements between industry players have significantly decreased the number of charger types available on the market, they have proved unsuccessful in terms of achieving a common charging solution. The resolution reminds that, although this point has been on the table for more than 10 years, the adoption of a delegated act supplementing Directive 2014/53/EU on radio equipment has been repeatedly postponed. Therefore, the resolution concludes by asking the Commission to take regulatory action to implement a common charging solution.</w:t>
      </w:r>
    </w:p>
    <w:p w:rsidR="008D2733" w:rsidRPr="00931FBF" w:rsidRDefault="008D2733" w:rsidP="008D2733">
      <w:pPr>
        <w:spacing w:after="120"/>
        <w:rPr>
          <w:rFonts w:ascii="Times New Roman" w:hAnsi="Times New Roman"/>
        </w:rPr>
      </w:pPr>
      <w:r w:rsidRPr="00931FBF">
        <w:rPr>
          <w:rFonts w:ascii="Times New Roman" w:hAnsi="Times New Roman"/>
        </w:rPr>
        <w:t>Proposed measures are:</w:t>
      </w:r>
    </w:p>
    <w:p w:rsidR="008D2733" w:rsidRPr="00931FBF" w:rsidRDefault="008D2733" w:rsidP="008D2733">
      <w:pPr>
        <w:numPr>
          <w:ilvl w:val="0"/>
          <w:numId w:val="2"/>
        </w:numPr>
        <w:spacing w:after="120"/>
        <w:rPr>
          <w:rFonts w:ascii="Times New Roman" w:hAnsi="Times New Roman"/>
          <w:lang w:val="en"/>
        </w:rPr>
      </w:pPr>
      <w:r w:rsidRPr="00931FBF">
        <w:rPr>
          <w:rFonts w:ascii="Times New Roman" w:hAnsi="Times New Roman"/>
          <w:u w:val="single"/>
        </w:rPr>
        <w:t>For the Commission</w:t>
      </w:r>
      <w:r w:rsidRPr="00931FBF">
        <w:rPr>
          <w:rFonts w:ascii="Times New Roman" w:hAnsi="Times New Roman"/>
        </w:rPr>
        <w:t>: implement a regulatory action to reduce electronic waste, empower consumers to make sustainable choices, and allow them to fully participate in an efficient and well-functioning internal market;</w:t>
      </w:r>
    </w:p>
    <w:p w:rsidR="008D2733" w:rsidRPr="00931FBF" w:rsidRDefault="008D2733" w:rsidP="008D2733">
      <w:pPr>
        <w:numPr>
          <w:ilvl w:val="0"/>
          <w:numId w:val="2"/>
        </w:numPr>
        <w:spacing w:after="120"/>
        <w:rPr>
          <w:rFonts w:ascii="Times New Roman" w:hAnsi="Times New Roman"/>
          <w:lang w:val="en"/>
        </w:rPr>
      </w:pPr>
      <w:r w:rsidRPr="00931FBF">
        <w:rPr>
          <w:rFonts w:ascii="Times New Roman" w:hAnsi="Times New Roman"/>
          <w:u w:val="single"/>
        </w:rPr>
        <w:t>For the Commission</w:t>
      </w:r>
      <w:r w:rsidRPr="00931FBF">
        <w:rPr>
          <w:rFonts w:ascii="Times New Roman" w:hAnsi="Times New Roman"/>
        </w:rPr>
        <w:t xml:space="preserve">: </w:t>
      </w:r>
      <w:r w:rsidRPr="00931FBF">
        <w:rPr>
          <w:rFonts w:ascii="Times New Roman" w:hAnsi="Times New Roman"/>
          <w:lang w:val="en"/>
        </w:rPr>
        <w:t>to publish the results of the impact assessment study on the introduction of a common charger for mobile telephones and other compatible devices with a view to proposing mandatory provisions;</w:t>
      </w:r>
    </w:p>
    <w:p w:rsidR="008D2733" w:rsidRPr="00931FBF" w:rsidRDefault="008D2733" w:rsidP="008D2733">
      <w:pPr>
        <w:numPr>
          <w:ilvl w:val="0"/>
          <w:numId w:val="2"/>
        </w:numPr>
        <w:spacing w:after="120"/>
        <w:rPr>
          <w:rFonts w:ascii="Times New Roman" w:hAnsi="Times New Roman"/>
          <w:lang w:val="en"/>
        </w:rPr>
      </w:pPr>
      <w:r w:rsidRPr="00931FBF">
        <w:rPr>
          <w:rFonts w:ascii="Times New Roman" w:hAnsi="Times New Roman"/>
          <w:u w:val="single"/>
        </w:rPr>
        <w:t>For the Commission</w:t>
      </w:r>
      <w:r w:rsidRPr="00931FBF">
        <w:rPr>
          <w:rFonts w:ascii="Times New Roman" w:hAnsi="Times New Roman"/>
        </w:rPr>
        <w:t xml:space="preserve">: to elaborate </w:t>
      </w:r>
      <w:r w:rsidRPr="00931FBF">
        <w:rPr>
          <w:rFonts w:ascii="Times New Roman" w:hAnsi="Times New Roman"/>
          <w:lang w:val="en"/>
        </w:rPr>
        <w:t xml:space="preserve">a standard solution for a common charger for mobile radio equipment by adopting the delegated act supplementing Directive 2014/53/EU </w:t>
      </w:r>
      <w:r w:rsidRPr="00931FBF">
        <w:rPr>
          <w:rFonts w:ascii="Times New Roman" w:hAnsi="Times New Roman"/>
          <w:lang w:val="en"/>
        </w:rPr>
        <w:lastRenderedPageBreak/>
        <w:t>on radio equipment defining a standard for a common charger for mobile phones and other small and medium-sized radio equipment by July 2020, or, if necessary, by adopting a legislative measure by July 2020 at the latest;</w:t>
      </w:r>
    </w:p>
    <w:p w:rsidR="008D2733" w:rsidRPr="00931FBF" w:rsidRDefault="008D2733" w:rsidP="008D2733">
      <w:pPr>
        <w:numPr>
          <w:ilvl w:val="0"/>
          <w:numId w:val="2"/>
        </w:numPr>
        <w:spacing w:after="120"/>
        <w:rPr>
          <w:rFonts w:ascii="Times New Roman" w:hAnsi="Times New Roman"/>
          <w:lang w:val="en"/>
        </w:rPr>
      </w:pPr>
      <w:r w:rsidRPr="00931FBF">
        <w:rPr>
          <w:rFonts w:ascii="Times New Roman" w:hAnsi="Times New Roman"/>
          <w:u w:val="single"/>
        </w:rPr>
        <w:t>For the Commission</w:t>
      </w:r>
      <w:r w:rsidRPr="00931FBF">
        <w:rPr>
          <w:rFonts w:ascii="Times New Roman" w:hAnsi="Times New Roman"/>
        </w:rPr>
        <w:t xml:space="preserve">: it is reminded that such </w:t>
      </w:r>
      <w:r w:rsidRPr="00931FBF">
        <w:rPr>
          <w:rFonts w:ascii="Times New Roman" w:hAnsi="Times New Roman"/>
          <w:lang w:val="en"/>
        </w:rPr>
        <w:t xml:space="preserve">legislative framework for a common charger </w:t>
      </w:r>
      <w:r w:rsidRPr="00931FBF">
        <w:rPr>
          <w:rFonts w:ascii="Times New Roman" w:hAnsi="Times New Roman"/>
        </w:rPr>
        <w:t xml:space="preserve">will have to be designed </w:t>
      </w:r>
      <w:r w:rsidRPr="00931FBF">
        <w:rPr>
          <w:rFonts w:ascii="Times New Roman" w:hAnsi="Times New Roman"/>
          <w:lang w:val="en"/>
        </w:rPr>
        <w:t>without hampering innovation and will have to be scrutinized in order to take into account technical progress, such as wireless charging;</w:t>
      </w:r>
    </w:p>
    <w:p w:rsidR="008D2733" w:rsidRPr="00931FBF" w:rsidRDefault="008D2733" w:rsidP="008D2733">
      <w:pPr>
        <w:numPr>
          <w:ilvl w:val="0"/>
          <w:numId w:val="2"/>
        </w:numPr>
        <w:spacing w:after="120"/>
        <w:rPr>
          <w:rFonts w:ascii="Times New Roman" w:hAnsi="Times New Roman"/>
          <w:lang w:val="en"/>
        </w:rPr>
      </w:pPr>
      <w:r w:rsidRPr="00931FBF">
        <w:rPr>
          <w:rFonts w:ascii="Times New Roman" w:hAnsi="Times New Roman"/>
          <w:u w:val="single"/>
        </w:rPr>
        <w:t>For the Commission</w:t>
      </w:r>
      <w:r w:rsidRPr="00931FBF">
        <w:rPr>
          <w:rFonts w:ascii="Times New Roman" w:hAnsi="Times New Roman"/>
        </w:rPr>
        <w:t>: it is</w:t>
      </w:r>
      <w:r w:rsidRPr="00931FBF">
        <w:rPr>
          <w:rFonts w:ascii="Times New Roman" w:hAnsi="Times New Roman"/>
          <w:lang w:val="en"/>
        </w:rPr>
        <w:t xml:space="preserve"> noted that, in line with the Standardisation Regulation, European standardisation organisations must facilitate the participation of relevant stakeholders, which include, in this context, SME organisations, environmental organisations, people with disabilities, the elderly and consumers;</w:t>
      </w:r>
    </w:p>
    <w:p w:rsidR="008D2733" w:rsidRPr="00931FBF" w:rsidRDefault="008D2733" w:rsidP="008D2733">
      <w:pPr>
        <w:numPr>
          <w:ilvl w:val="0"/>
          <w:numId w:val="2"/>
        </w:numPr>
        <w:spacing w:after="120"/>
        <w:rPr>
          <w:rFonts w:ascii="Times New Roman" w:hAnsi="Times New Roman"/>
          <w:lang w:val="en"/>
        </w:rPr>
      </w:pPr>
      <w:r w:rsidRPr="00931FBF">
        <w:rPr>
          <w:rFonts w:ascii="Times New Roman" w:hAnsi="Times New Roman"/>
          <w:u w:val="single"/>
        </w:rPr>
        <w:t>For the Commission</w:t>
      </w:r>
      <w:r w:rsidRPr="00931FBF">
        <w:rPr>
          <w:rFonts w:ascii="Times New Roman" w:hAnsi="Times New Roman"/>
        </w:rPr>
        <w:t>: regard</w:t>
      </w:r>
      <w:r>
        <w:rPr>
          <w:rFonts w:ascii="Times New Roman" w:hAnsi="Times New Roman"/>
        </w:rPr>
        <w:t>ing</w:t>
      </w:r>
      <w:r w:rsidRPr="00931FBF">
        <w:rPr>
          <w:rFonts w:ascii="Times New Roman" w:hAnsi="Times New Roman"/>
        </w:rPr>
        <w:t xml:space="preserve"> environmental footprint, </w:t>
      </w:r>
      <w:r w:rsidRPr="00931FBF">
        <w:rPr>
          <w:rFonts w:ascii="Times New Roman" w:hAnsi="Times New Roman"/>
          <w:lang w:val="en"/>
        </w:rPr>
        <w:t>legislative initiatives to increase the volume of cables and chargers collected and recycled in the Member States should be considered</w:t>
      </w:r>
      <w:r>
        <w:rPr>
          <w:rFonts w:ascii="Times New Roman" w:hAnsi="Times New Roman"/>
          <w:lang w:val="en"/>
        </w:rPr>
        <w:t>;</w:t>
      </w:r>
    </w:p>
    <w:p w:rsidR="008D2733" w:rsidRPr="00931FBF" w:rsidRDefault="008D2733" w:rsidP="008D2733">
      <w:pPr>
        <w:numPr>
          <w:ilvl w:val="0"/>
          <w:numId w:val="2"/>
        </w:numPr>
        <w:spacing w:after="120"/>
        <w:rPr>
          <w:rFonts w:ascii="Times New Roman" w:hAnsi="Times New Roman"/>
          <w:color w:val="000000"/>
          <w:szCs w:val="24"/>
        </w:rPr>
      </w:pPr>
      <w:r w:rsidRPr="00931FBF">
        <w:rPr>
          <w:rFonts w:ascii="Times New Roman" w:hAnsi="Times New Roman"/>
          <w:u w:val="single"/>
        </w:rPr>
        <w:t>For the Commission</w:t>
      </w:r>
      <w:r w:rsidRPr="00931FBF">
        <w:rPr>
          <w:rFonts w:ascii="Times New Roman" w:hAnsi="Times New Roman"/>
        </w:rPr>
        <w:t xml:space="preserve">: to consider measures </w:t>
      </w:r>
      <w:r w:rsidRPr="00931FBF">
        <w:rPr>
          <w:rFonts w:ascii="Times New Roman" w:hAnsi="Times New Roman"/>
          <w:lang w:val="en"/>
        </w:rPr>
        <w:t>to ensure that consumers are no longer obliged to buy new chargers with each new device, by considering that decoupling strategies would allow for greater environmental benefits. It is however stressed that any measure aiming at decoupling should avoid potentially higher prices for consumers.</w:t>
      </w:r>
    </w:p>
    <w:p w:rsidR="008D2733" w:rsidRPr="00931FBF" w:rsidRDefault="008D2733" w:rsidP="008D2733">
      <w:pPr>
        <w:spacing w:after="120"/>
        <w:ind w:left="567" w:hanging="567"/>
        <w:rPr>
          <w:rFonts w:ascii="Times New Roman" w:hAnsi="Times New Roman"/>
          <w:color w:val="000000"/>
          <w:szCs w:val="24"/>
        </w:rPr>
      </w:pPr>
      <w:r w:rsidRPr="00931FBF">
        <w:rPr>
          <w:rFonts w:ascii="Times New Roman" w:hAnsi="Times New Roman"/>
          <w:b/>
          <w:bCs/>
          <w:noProof/>
          <w:color w:val="000000"/>
          <w:szCs w:val="24"/>
        </w:rPr>
        <w:t>6.</w:t>
      </w:r>
      <w:r w:rsidRPr="00931FBF">
        <w:rPr>
          <w:rFonts w:ascii="Times New Roman" w:hAnsi="Times New Roman"/>
          <w:b/>
          <w:bCs/>
          <w:noProof/>
          <w:color w:val="000000"/>
          <w:szCs w:val="24"/>
        </w:rPr>
        <w:tab/>
        <w:t>Response to requests and overview of action taken, or intended to be taken, by the Commission</w:t>
      </w:r>
    </w:p>
    <w:p w:rsidR="008D2733" w:rsidRPr="00931FBF" w:rsidRDefault="008D2733" w:rsidP="008D2733">
      <w:pPr>
        <w:spacing w:after="120"/>
        <w:rPr>
          <w:rFonts w:ascii="Times New Roman" w:hAnsi="Times New Roman"/>
        </w:rPr>
      </w:pPr>
      <w:r w:rsidRPr="00931FBF">
        <w:rPr>
          <w:rFonts w:ascii="Times New Roman" w:hAnsi="Times New Roman"/>
        </w:rPr>
        <w:t xml:space="preserve">The Commission shares overall </w:t>
      </w:r>
      <w:r>
        <w:rPr>
          <w:rFonts w:ascii="Times New Roman" w:hAnsi="Times New Roman"/>
        </w:rPr>
        <w:t>the concerns</w:t>
      </w:r>
      <w:r w:rsidRPr="00931FBF">
        <w:rPr>
          <w:rFonts w:ascii="Times New Roman" w:hAnsi="Times New Roman"/>
        </w:rPr>
        <w:t xml:space="preserve"> presented in the resolution.</w:t>
      </w:r>
    </w:p>
    <w:p w:rsidR="008D2733" w:rsidRPr="00931FBF" w:rsidRDefault="008D2733" w:rsidP="008D2733">
      <w:pPr>
        <w:spacing w:after="120"/>
        <w:rPr>
          <w:rFonts w:ascii="Times New Roman" w:hAnsi="Times New Roman"/>
        </w:rPr>
      </w:pPr>
      <w:r w:rsidRPr="00931FBF">
        <w:rPr>
          <w:rFonts w:ascii="Times New Roman" w:hAnsi="Times New Roman"/>
        </w:rPr>
        <w:t>The Commission reminds that since the expiration of the original Memorandum of Understanding (MoU) regarding Harmonisation of a Charging Capability for Mobile Phones in 2012, the Commission has facilitated a dialogue with industry that resulted in two Letters of Intent signed by the industry and therefore extending the MoU on common chargers until 2014.</w:t>
      </w:r>
    </w:p>
    <w:p w:rsidR="008D2733" w:rsidRPr="00BE70B7" w:rsidRDefault="008D2733" w:rsidP="008D2733">
      <w:pPr>
        <w:spacing w:after="120"/>
        <w:rPr>
          <w:rFonts w:ascii="Times New Roman" w:hAnsi="Times New Roman"/>
        </w:rPr>
      </w:pPr>
      <w:r w:rsidRPr="00BE70B7">
        <w:rPr>
          <w:rFonts w:ascii="Times New Roman" w:hAnsi="Times New Roman"/>
        </w:rPr>
        <w:t xml:space="preserve">After 2014, </w:t>
      </w:r>
      <w:r>
        <w:rPr>
          <w:rFonts w:ascii="Times New Roman" w:hAnsi="Times New Roman"/>
        </w:rPr>
        <w:t>great</w:t>
      </w:r>
      <w:r w:rsidRPr="00BE70B7">
        <w:rPr>
          <w:rFonts w:ascii="Times New Roman" w:hAnsi="Times New Roman"/>
        </w:rPr>
        <w:t xml:space="preserve"> effort has been made from the Commission’s side to find a consensus on a new Memorandum of Understanding. Eventually, the Commission received a new MoU from mobile phone manufacturers published by DigitalEurope in March 2018. The new MoU did not, however, fulfil the desired policy objectives of consumer convenience, safety and interoperability of chargers and reduction</w:t>
      </w:r>
      <w:r>
        <w:rPr>
          <w:rFonts w:ascii="Times New Roman" w:hAnsi="Times New Roman"/>
        </w:rPr>
        <w:t xml:space="preserve"> of electronic waste. </w:t>
      </w:r>
      <w:r w:rsidRPr="00BE70B7">
        <w:rPr>
          <w:rFonts w:ascii="Times New Roman" w:hAnsi="Times New Roman"/>
        </w:rPr>
        <w:t>Industry proposed to continue allowing for proprietary solutions, instead of implementing one common charger. As a result, the Commission launched a study to assess impacts of possible regulatory options, including a standard solution for a common charger.</w:t>
      </w:r>
    </w:p>
    <w:p w:rsidR="008D2733" w:rsidRPr="00BE70B7" w:rsidRDefault="008D2733" w:rsidP="008D2733">
      <w:pPr>
        <w:spacing w:after="120"/>
        <w:rPr>
          <w:rFonts w:ascii="Times New Roman" w:hAnsi="Times New Roman"/>
        </w:rPr>
      </w:pPr>
      <w:r w:rsidRPr="00BE70B7">
        <w:rPr>
          <w:rFonts w:ascii="Times New Roman" w:hAnsi="Times New Roman"/>
        </w:rPr>
        <w:t xml:space="preserve">The study was published in January 2020 under </w:t>
      </w:r>
      <w:hyperlink r:id="rId7" w:history="1">
        <w:r w:rsidRPr="00BE70B7">
          <w:rPr>
            <w:rStyle w:val="Hyperlink"/>
            <w:rFonts w:ascii="Times New Roman" w:hAnsi="Times New Roman"/>
          </w:rPr>
          <w:t>https://op.europa.eu/en/web/eu-law-and-publications/publication-detail/-/publication/c6fadfea-4641-11ea-b81b-01aa75ed71a1</w:t>
        </w:r>
      </w:hyperlink>
      <w:r w:rsidRPr="00BE70B7">
        <w:rPr>
          <w:rFonts w:ascii="Times New Roman" w:hAnsi="Times New Roman"/>
        </w:rPr>
        <w:t>.</w:t>
      </w:r>
    </w:p>
    <w:p w:rsidR="008D2733" w:rsidRPr="00931FBF" w:rsidRDefault="008D2733" w:rsidP="008D2733">
      <w:pPr>
        <w:spacing w:after="120"/>
        <w:rPr>
          <w:rFonts w:ascii="Times New Roman" w:hAnsi="Times New Roman"/>
        </w:rPr>
      </w:pPr>
      <w:r w:rsidRPr="00BE70B7">
        <w:rPr>
          <w:rFonts w:ascii="Times New Roman" w:hAnsi="Times New Roman"/>
        </w:rPr>
        <w:t>According to the study, imposing a common interface on the side of the electronic device (smartphone, but possibly also tablets, cameras, e-readers, etc.) in combination</w:t>
      </w:r>
      <w:r w:rsidRPr="00931FBF">
        <w:rPr>
          <w:rFonts w:ascii="Times New Roman" w:hAnsi="Times New Roman"/>
        </w:rPr>
        <w:t xml:space="preserve"> with incentivising/</w:t>
      </w:r>
      <w:r>
        <w:rPr>
          <w:rFonts w:ascii="Times New Roman" w:hAnsi="Times New Roman"/>
        </w:rPr>
        <w:t xml:space="preserve"> </w:t>
      </w:r>
      <w:r w:rsidRPr="00931FBF">
        <w:rPr>
          <w:rFonts w:ascii="Times New Roman" w:hAnsi="Times New Roman"/>
        </w:rPr>
        <w:t>imposing decoupling (i.e. selling the smartphone without chargers) would benefit consumers and reduce electronic waste the most</w:t>
      </w:r>
      <w:r>
        <w:rPr>
          <w:rFonts w:ascii="Times New Roman" w:hAnsi="Times New Roman"/>
        </w:rPr>
        <w:t>.</w:t>
      </w:r>
    </w:p>
    <w:p w:rsidR="008D2733" w:rsidRPr="00931FBF" w:rsidRDefault="008D2733" w:rsidP="008D2733">
      <w:pPr>
        <w:spacing w:after="120"/>
        <w:rPr>
          <w:rFonts w:ascii="Times New Roman" w:hAnsi="Times New Roman"/>
        </w:rPr>
      </w:pPr>
      <w:r w:rsidRPr="00931FBF">
        <w:rPr>
          <w:rFonts w:ascii="Times New Roman" w:hAnsi="Times New Roman"/>
        </w:rPr>
        <w:t>Building on this study, the Commission is currently working on an impact assessment in support of a regulatory proposal for a common charging interface for certain classes of radio equipment. This measure has been included in the Commission’s Work programme for planned adoption in the third quarter of 2020.</w:t>
      </w:r>
    </w:p>
    <w:p w:rsidR="008D2733" w:rsidRPr="00931FBF" w:rsidRDefault="008D2733" w:rsidP="008D2733">
      <w:pPr>
        <w:spacing w:after="120"/>
        <w:rPr>
          <w:rFonts w:ascii="Times New Roman" w:hAnsi="Times New Roman"/>
        </w:rPr>
      </w:pPr>
      <w:r>
        <w:rPr>
          <w:rFonts w:ascii="Times New Roman" w:hAnsi="Times New Roman"/>
        </w:rPr>
        <w:lastRenderedPageBreak/>
        <w:t>Measures on decoupling would however</w:t>
      </w:r>
      <w:r w:rsidRPr="00931FBF">
        <w:rPr>
          <w:rFonts w:ascii="Times New Roman" w:hAnsi="Times New Roman"/>
        </w:rPr>
        <w:t xml:space="preserve"> need to be supported by complementary studies. Innovations such as fast charging, which are increasingly being adopted by major manufacturers, will have to be assessed to guarantee minimum performance and safety levels when a different charger than the one originally designed for the device is used.</w:t>
      </w:r>
      <w:r>
        <w:rPr>
          <w:rFonts w:ascii="Times New Roman" w:hAnsi="Times New Roman"/>
        </w:rPr>
        <w:t xml:space="preserve"> Possible measures for a wider range of products, wireless charging, quality of the cord would also need additional assessment.</w:t>
      </w:r>
    </w:p>
    <w:p w:rsidR="008D2733" w:rsidRPr="00931FBF" w:rsidRDefault="008D2733" w:rsidP="008D2733">
      <w:pPr>
        <w:spacing w:after="120"/>
        <w:rPr>
          <w:rFonts w:ascii="Times New Roman" w:hAnsi="Times New Roman"/>
        </w:rPr>
      </w:pPr>
      <w:r w:rsidRPr="00931FBF">
        <w:rPr>
          <w:rFonts w:ascii="Times New Roman" w:hAnsi="Times New Roman"/>
        </w:rPr>
        <w:t>The Commission agrees that the preparation of a measure on the common charging interface would need to take into account its impact on innovation and would need to be regularly updated to consider</w:t>
      </w:r>
      <w:r w:rsidRPr="00931FBF" w:rsidDel="00961E3C">
        <w:rPr>
          <w:rFonts w:ascii="Times New Roman" w:hAnsi="Times New Roman"/>
        </w:rPr>
        <w:t xml:space="preserve"> </w:t>
      </w:r>
      <w:r w:rsidRPr="00931FBF">
        <w:rPr>
          <w:rFonts w:ascii="Times New Roman" w:hAnsi="Times New Roman"/>
        </w:rPr>
        <w:t>technological progress.</w:t>
      </w:r>
    </w:p>
    <w:p w:rsidR="008D2733" w:rsidRPr="00931FBF" w:rsidRDefault="008D2733" w:rsidP="008D2733">
      <w:pPr>
        <w:spacing w:after="120"/>
        <w:rPr>
          <w:rFonts w:ascii="Times New Roman" w:hAnsi="Times New Roman"/>
        </w:rPr>
      </w:pPr>
      <w:r w:rsidRPr="00931FBF">
        <w:rPr>
          <w:rFonts w:ascii="Times New Roman" w:hAnsi="Times New Roman"/>
        </w:rPr>
        <w:t>In this respect, standardisation of the charging solutions, both wired and wireless, will continue to be a crucial aspect. With respect to the request</w:t>
      </w:r>
      <w:r>
        <w:rPr>
          <w:rFonts w:ascii="Times New Roman" w:hAnsi="Times New Roman"/>
        </w:rPr>
        <w:t xml:space="preserve"> of the European Parliament</w:t>
      </w:r>
      <w:r w:rsidRPr="00931FBF">
        <w:rPr>
          <w:rFonts w:ascii="Times New Roman" w:hAnsi="Times New Roman"/>
        </w:rPr>
        <w:t>, the participation of relevant stakeholders in the standardisation work will be further facilitated. To this end, and according to Regulation 1025/2012, the Commission will continue to support the active participation of representatives of European stakeholder associations, and in particular, the representatives of consumers, in the standard</w:t>
      </w:r>
      <w:r>
        <w:rPr>
          <w:rFonts w:ascii="Times New Roman" w:hAnsi="Times New Roman"/>
        </w:rPr>
        <w:t>isation work at European level.</w:t>
      </w:r>
    </w:p>
    <w:p w:rsidR="008D2733" w:rsidRPr="00931FBF" w:rsidRDefault="008D2733" w:rsidP="008D2733">
      <w:pPr>
        <w:spacing w:after="120"/>
        <w:rPr>
          <w:rFonts w:ascii="Times New Roman" w:hAnsi="Times New Roman"/>
        </w:rPr>
      </w:pPr>
      <w:r>
        <w:rPr>
          <w:rFonts w:ascii="Times New Roman" w:hAnsi="Times New Roman"/>
        </w:rPr>
        <w:t>In this context, i</w:t>
      </w:r>
      <w:r w:rsidRPr="00931FBF">
        <w:rPr>
          <w:rFonts w:ascii="Times New Roman" w:hAnsi="Times New Roman"/>
        </w:rPr>
        <w:t xml:space="preserve">t is crucial to note that the </w:t>
      </w:r>
      <w:r>
        <w:rPr>
          <w:rFonts w:ascii="Times New Roman" w:hAnsi="Times New Roman"/>
          <w:szCs w:val="24"/>
          <w:shd w:val="clear" w:color="auto" w:fill="FFFFFF"/>
        </w:rPr>
        <w:t>i</w:t>
      </w:r>
      <w:r w:rsidRPr="00392E53">
        <w:rPr>
          <w:rFonts w:ascii="Times New Roman" w:hAnsi="Times New Roman"/>
          <w:szCs w:val="24"/>
          <w:shd w:val="clear" w:color="auto" w:fill="FFFFFF"/>
        </w:rPr>
        <w:t>nformation and communications technology</w:t>
      </w:r>
      <w:r w:rsidRPr="00392E53">
        <w:rPr>
          <w:rFonts w:ascii="Arial" w:hAnsi="Arial" w:cs="Arial"/>
          <w:sz w:val="21"/>
          <w:szCs w:val="21"/>
          <w:shd w:val="clear" w:color="auto" w:fill="FFFFFF"/>
        </w:rPr>
        <w:t xml:space="preserve"> </w:t>
      </w:r>
      <w:r>
        <w:rPr>
          <w:rFonts w:ascii="Arial" w:hAnsi="Arial" w:cs="Arial"/>
          <w:sz w:val="21"/>
          <w:szCs w:val="21"/>
          <w:shd w:val="clear" w:color="auto" w:fill="FFFFFF"/>
        </w:rPr>
        <w:t>(</w:t>
      </w:r>
      <w:r w:rsidRPr="00931FBF">
        <w:rPr>
          <w:rFonts w:ascii="Times New Roman" w:hAnsi="Times New Roman"/>
        </w:rPr>
        <w:t>ICT</w:t>
      </w:r>
      <w:r>
        <w:rPr>
          <w:rFonts w:ascii="Times New Roman" w:hAnsi="Times New Roman"/>
        </w:rPr>
        <w:t>)</w:t>
      </w:r>
      <w:r w:rsidRPr="00931FBF">
        <w:rPr>
          <w:rFonts w:ascii="Times New Roman" w:hAnsi="Times New Roman"/>
        </w:rPr>
        <w:t xml:space="preserve"> and electronics sector is one of the priority sectors in the recently adopted Circular Economy Action Plan for a cleaner and more competitive Europe</w:t>
      </w:r>
      <w:r w:rsidRPr="00931FBF">
        <w:rPr>
          <w:rStyle w:val="FootnoteReference"/>
          <w:rFonts w:ascii="Times New Roman" w:hAnsi="Times New Roman"/>
        </w:rPr>
        <w:footnoteReference w:id="1"/>
      </w:r>
      <w:r w:rsidRPr="00931FBF">
        <w:rPr>
          <w:rFonts w:ascii="Times New Roman" w:hAnsi="Times New Roman"/>
        </w:rPr>
        <w:t>. The plan proposes a ‘Circular Electronics Initiative’, which will promote longer product lifetimes and include, among others, the following actions:</w:t>
      </w:r>
    </w:p>
    <w:p w:rsidR="008D2733" w:rsidRPr="00931FBF" w:rsidRDefault="008D2733" w:rsidP="008D2733">
      <w:pPr>
        <w:spacing w:after="120"/>
        <w:rPr>
          <w:rFonts w:ascii="Times New Roman" w:hAnsi="Times New Roman"/>
        </w:rPr>
      </w:pPr>
      <w:r w:rsidRPr="00931FBF">
        <w:rPr>
          <w:rFonts w:ascii="Times New Roman" w:hAnsi="Times New Roman"/>
        </w:rPr>
        <w:t>• regulatory measures for electronics and ICT including mobile phones, tablets and laptops under the Ecodesign Directive so that devices are designed for energy efficiency and durability, reparability, upgradability, ma</w:t>
      </w:r>
      <w:r>
        <w:rPr>
          <w:rFonts w:ascii="Times New Roman" w:hAnsi="Times New Roman"/>
        </w:rPr>
        <w:t>intenance, reuse and recycling;</w:t>
      </w:r>
    </w:p>
    <w:p w:rsidR="008D2733" w:rsidRPr="00931FBF" w:rsidRDefault="008D2733" w:rsidP="008D2733">
      <w:pPr>
        <w:spacing w:after="120"/>
        <w:rPr>
          <w:rFonts w:ascii="Times New Roman" w:hAnsi="Times New Roman"/>
        </w:rPr>
      </w:pPr>
      <w:r w:rsidRPr="00931FBF">
        <w:rPr>
          <w:rFonts w:ascii="Times New Roman" w:hAnsi="Times New Roman"/>
        </w:rPr>
        <w:t>• focus on electronics and ICT as a priority sector for implementing the ‘right to repair’, including a right to update obsolete software;</w:t>
      </w:r>
    </w:p>
    <w:p w:rsidR="008D2733" w:rsidRPr="00931FBF" w:rsidRDefault="008D2733" w:rsidP="008D2733">
      <w:pPr>
        <w:spacing w:after="120"/>
        <w:rPr>
          <w:rFonts w:ascii="Times New Roman" w:hAnsi="Times New Roman"/>
        </w:rPr>
      </w:pPr>
      <w:r w:rsidRPr="00931FBF">
        <w:rPr>
          <w:rFonts w:ascii="Times New Roman" w:hAnsi="Times New Roman"/>
        </w:rPr>
        <w:t>• regulatory measures on chargers for mobile phones and similar devices and introduction of a common charger,</w:t>
      </w:r>
      <w:r>
        <w:rPr>
          <w:rFonts w:ascii="Times New Roman" w:hAnsi="Times New Roman"/>
        </w:rPr>
        <w:t xml:space="preserve"> improving the durability of charging cables,</w:t>
      </w:r>
      <w:r w:rsidRPr="00931FBF">
        <w:rPr>
          <w:rFonts w:ascii="Times New Roman" w:hAnsi="Times New Roman"/>
        </w:rPr>
        <w:t xml:space="preserve"> and incentives to decouple the purchase of chargers fro</w:t>
      </w:r>
      <w:r>
        <w:rPr>
          <w:rFonts w:ascii="Times New Roman" w:hAnsi="Times New Roman"/>
        </w:rPr>
        <w:t>m the purchase of new devices.</w:t>
      </w:r>
    </w:p>
    <w:p w:rsidR="008D2733" w:rsidRPr="00931FBF" w:rsidRDefault="008D2733" w:rsidP="008D2733">
      <w:pPr>
        <w:spacing w:after="120"/>
        <w:rPr>
          <w:rFonts w:ascii="Times New Roman" w:hAnsi="Times New Roman"/>
        </w:rPr>
      </w:pPr>
      <w:r w:rsidRPr="00931FBF">
        <w:rPr>
          <w:rFonts w:ascii="Times New Roman" w:hAnsi="Times New Roman"/>
        </w:rPr>
        <w:t>Concerning the request</w:t>
      </w:r>
      <w:r>
        <w:rPr>
          <w:rFonts w:ascii="Times New Roman" w:hAnsi="Times New Roman"/>
        </w:rPr>
        <w:t xml:space="preserve"> of the European Parliament</w:t>
      </w:r>
      <w:r w:rsidRPr="00931FBF">
        <w:rPr>
          <w:rFonts w:ascii="Times New Roman" w:hAnsi="Times New Roman"/>
        </w:rPr>
        <w:t xml:space="preserve"> that the Commission should implement regulatory actions to reduce electronic waste and increase the volume of cables and chargers collected and recycled in the Member States, the Commission will explore options for an EU-wide return scheme of mobile phones, tablets and other small electrical and electronic equipment</w:t>
      </w:r>
      <w:r>
        <w:rPr>
          <w:rFonts w:ascii="Times New Roman" w:hAnsi="Times New Roman"/>
        </w:rPr>
        <w:t>.</w:t>
      </w:r>
    </w:p>
    <w:p w:rsidR="008D2733" w:rsidRPr="00931FBF" w:rsidRDefault="008D2733" w:rsidP="008D2733">
      <w:pPr>
        <w:spacing w:after="120"/>
        <w:rPr>
          <w:rFonts w:ascii="Times New Roman" w:hAnsi="Times New Roman"/>
        </w:rPr>
      </w:pPr>
      <w:r w:rsidRPr="00931FBF">
        <w:rPr>
          <w:rFonts w:ascii="Times New Roman" w:hAnsi="Times New Roman"/>
        </w:rPr>
        <w:t xml:space="preserve">In that respect, the Commission is launching a study to analyse implementing such options under the umbrella of the WEEE (waste electrical and electronic equipment) Directive, which already requires </w:t>
      </w:r>
      <w:r>
        <w:rPr>
          <w:rFonts w:ascii="Times New Roman" w:hAnsi="Times New Roman"/>
        </w:rPr>
        <w:t>the Member States</w:t>
      </w:r>
      <w:r w:rsidRPr="00931FBF">
        <w:rPr>
          <w:rFonts w:ascii="Times New Roman" w:hAnsi="Times New Roman"/>
        </w:rPr>
        <w:t xml:space="preserve"> to set up systems that allows for WEEE</w:t>
      </w:r>
      <w:r>
        <w:rPr>
          <w:rFonts w:ascii="Times New Roman" w:hAnsi="Times New Roman"/>
        </w:rPr>
        <w:t xml:space="preserve"> to be returned free of charge.</w:t>
      </w:r>
    </w:p>
    <w:p w:rsidR="005A15A0" w:rsidRDefault="008D2733" w:rsidP="008D2733">
      <w:r w:rsidRPr="00931FBF">
        <w:rPr>
          <w:rFonts w:ascii="Times New Roman" w:hAnsi="Times New Roman"/>
        </w:rPr>
        <w:t>Finally, any regulatory measure needs to provide a reasonable transition period to give the industry sufficient time to adapt to the new requirements. This would also allow a natural phasing-out of older devices.</w:t>
      </w:r>
    </w:p>
    <w:sectPr w:rsidR="005A15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733" w:rsidRDefault="008D2733" w:rsidP="008D2733">
      <w:pPr>
        <w:spacing w:after="0"/>
      </w:pPr>
      <w:r>
        <w:separator/>
      </w:r>
    </w:p>
  </w:endnote>
  <w:endnote w:type="continuationSeparator" w:id="0">
    <w:p w:rsidR="008D2733" w:rsidRDefault="008D2733" w:rsidP="008D2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733" w:rsidRDefault="008D2733" w:rsidP="008D2733">
      <w:pPr>
        <w:spacing w:after="0"/>
      </w:pPr>
      <w:r>
        <w:separator/>
      </w:r>
    </w:p>
  </w:footnote>
  <w:footnote w:type="continuationSeparator" w:id="0">
    <w:p w:rsidR="008D2733" w:rsidRDefault="008D2733" w:rsidP="008D2733">
      <w:pPr>
        <w:spacing w:after="0"/>
      </w:pPr>
      <w:r>
        <w:continuationSeparator/>
      </w:r>
    </w:p>
  </w:footnote>
  <w:footnote w:id="1">
    <w:p w:rsidR="008D2733" w:rsidRPr="004D0FC0" w:rsidRDefault="008D2733" w:rsidP="008D2733">
      <w:pPr>
        <w:pStyle w:val="FootnoteText"/>
        <w:rPr>
          <w:rFonts w:ascii="Times New Roman" w:hAnsi="Times New Roman"/>
          <w:lang w:val="it-IT"/>
        </w:rPr>
      </w:pPr>
      <w:r>
        <w:rPr>
          <w:rStyle w:val="FootnoteReference"/>
        </w:rPr>
        <w:footnoteRef/>
      </w:r>
      <w:r>
        <w:rPr>
          <w:rFonts w:ascii="Times New Roman" w:hAnsi="Times New Roman"/>
          <w:color w:val="1F497D"/>
          <w:lang w:eastAsia="en-US"/>
        </w:rPr>
        <w:t xml:space="preserve"> </w:t>
      </w:r>
      <w:r>
        <w:rPr>
          <w:rFonts w:ascii="Times New Roman" w:hAnsi="Times New Roman"/>
          <w:color w:val="1F497D"/>
          <w:lang w:eastAsia="en-US"/>
        </w:rPr>
        <w:tab/>
      </w:r>
      <w:hyperlink r:id="rId1" w:history="1">
        <w:r w:rsidRPr="001E4A75">
          <w:rPr>
            <w:rStyle w:val="Hyperlink"/>
            <w:rFonts w:ascii="Times New Roman" w:hAnsi="Times New Roman"/>
            <w:lang w:eastAsia="en-US"/>
          </w:rPr>
          <w:t>https://ec.europa.eu/environment/circular-economy/pdf/new_circular_economy_action_plan.pdf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F1483"/>
    <w:multiLevelType w:val="hybridMultilevel"/>
    <w:tmpl w:val="7608AEE0"/>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A9A0076"/>
    <w:multiLevelType w:val="hybridMultilevel"/>
    <w:tmpl w:val="A10246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33"/>
    <w:rsid w:val="00013C39"/>
    <w:rsid w:val="00071A36"/>
    <w:rsid w:val="000D74B8"/>
    <w:rsid w:val="001020EF"/>
    <w:rsid w:val="001174E8"/>
    <w:rsid w:val="001513A8"/>
    <w:rsid w:val="0020195F"/>
    <w:rsid w:val="0021077F"/>
    <w:rsid w:val="00234D47"/>
    <w:rsid w:val="00346FB9"/>
    <w:rsid w:val="003A1684"/>
    <w:rsid w:val="004B0F78"/>
    <w:rsid w:val="00500744"/>
    <w:rsid w:val="0059036B"/>
    <w:rsid w:val="005A15A0"/>
    <w:rsid w:val="005F6F65"/>
    <w:rsid w:val="0062336A"/>
    <w:rsid w:val="006553ED"/>
    <w:rsid w:val="006D1DE3"/>
    <w:rsid w:val="007552A6"/>
    <w:rsid w:val="00773E4C"/>
    <w:rsid w:val="007C550F"/>
    <w:rsid w:val="0080584E"/>
    <w:rsid w:val="00836884"/>
    <w:rsid w:val="008405AB"/>
    <w:rsid w:val="00865B95"/>
    <w:rsid w:val="008A0CA6"/>
    <w:rsid w:val="008A411C"/>
    <w:rsid w:val="008D0021"/>
    <w:rsid w:val="008D013B"/>
    <w:rsid w:val="008D2733"/>
    <w:rsid w:val="009C3030"/>
    <w:rsid w:val="009F7F09"/>
    <w:rsid w:val="00AC1160"/>
    <w:rsid w:val="00B51681"/>
    <w:rsid w:val="00BB1490"/>
    <w:rsid w:val="00C25DA3"/>
    <w:rsid w:val="00C31553"/>
    <w:rsid w:val="00C35640"/>
    <w:rsid w:val="00C439F4"/>
    <w:rsid w:val="00CE3707"/>
    <w:rsid w:val="00D15885"/>
    <w:rsid w:val="00DD709B"/>
    <w:rsid w:val="00DF4C9B"/>
    <w:rsid w:val="00E8297B"/>
    <w:rsid w:val="00EA51AA"/>
    <w:rsid w:val="00EE214F"/>
    <w:rsid w:val="00F00A73"/>
    <w:rsid w:val="00F1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B1539-5B83-4C22-B326-22FC66DD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33"/>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D2733"/>
    <w:pPr>
      <w:spacing w:after="200" w:line="276" w:lineRule="auto"/>
      <w:ind w:left="720"/>
      <w:contextualSpacing/>
      <w:jc w:val="left"/>
    </w:pPr>
    <w:rPr>
      <w:rFonts w:ascii="Calibri" w:eastAsia="Calibri" w:hAnsi="Calibri"/>
      <w:sz w:val="22"/>
      <w:szCs w:val="22"/>
      <w:lang w:val="en-US" w:eastAsia="en-US"/>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rsid w:val="008D2733"/>
    <w:pPr>
      <w:ind w:left="357" w:hanging="357"/>
    </w:pPr>
    <w:rPr>
      <w:sz w:val="20"/>
    </w:rPr>
  </w:style>
  <w:style w:type="character" w:customStyle="1" w:styleId="FootnoteTextChar">
    <w:name w:val="Footnote Text Char"/>
    <w:basedOn w:val="DefaultParagraphFont"/>
    <w:uiPriority w:val="99"/>
    <w:semiHidden/>
    <w:rsid w:val="008D2733"/>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8D2733"/>
    <w:rPr>
      <w:vertAlign w:val="superscript"/>
    </w:rPr>
  </w:style>
  <w:style w:type="character" w:styleId="Hyperlink">
    <w:name w:val="Hyperlink"/>
    <w:aliases w:val="Char1"/>
    <w:uiPriority w:val="99"/>
    <w:rsid w:val="008D2733"/>
    <w:rPr>
      <w:color w:val="0000FF"/>
      <w:u w:val="single"/>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8D2733"/>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8D2733"/>
    <w:pPr>
      <w:spacing w:after="160" w:line="240" w:lineRule="exact"/>
      <w:jc w:val="left"/>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uropa.eu/en/web/eu-law-and-publications/publication-detail/-/publication/c6fadfea-4641-11ea-b81b-01aa75ed71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vironment/circular-economy/pdf/new_circular_economy_action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8087</Characters>
  <Application>Microsoft Office Word</Application>
  <DocSecurity>0</DocSecurity>
  <Lines>126</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Maria Jose (SG)</dc:creator>
  <cp:keywords/>
  <dc:description/>
  <cp:lastModifiedBy>ALMEIDA Maria Jose (SG)</cp:lastModifiedBy>
  <cp:revision>2</cp:revision>
  <dcterms:created xsi:type="dcterms:W3CDTF">2020-05-06T11:38:00Z</dcterms:created>
  <dcterms:modified xsi:type="dcterms:W3CDTF">2020-05-06T11:38:00Z</dcterms:modified>
</cp:coreProperties>
</file>