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90" w:rsidRDefault="004A0BE3">
      <w:pPr>
        <w:ind w:right="19"/>
        <w:jc w:val="center"/>
        <w:rPr>
          <w:sz w:val="20"/>
          <w:szCs w:val="20"/>
        </w:rPr>
      </w:pPr>
      <w:bookmarkStart w:id="0" w:name="page9"/>
      <w:bookmarkStart w:id="1" w:name="_GoBack"/>
      <w:bookmarkEnd w:id="0"/>
      <w:bookmarkEnd w:id="1"/>
      <w:r>
        <w:rPr>
          <w:rFonts w:eastAsia="Times New Roman"/>
          <w:b/>
          <w:bCs/>
          <w:sz w:val="24"/>
          <w:szCs w:val="24"/>
        </w:rPr>
        <w:t>ORDINARY LEGISLATIVE PROCEDURE – First reading</w:t>
      </w:r>
    </w:p>
    <w:p w:rsidR="00D20490" w:rsidRDefault="00D20490">
      <w:pPr>
        <w:spacing w:line="240" w:lineRule="exact"/>
        <w:rPr>
          <w:sz w:val="20"/>
          <w:szCs w:val="20"/>
        </w:rPr>
      </w:pPr>
    </w:p>
    <w:p w:rsidR="00D20490" w:rsidRDefault="004A0BE3" w:rsidP="004A0BE3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Follow up to the European Parliament legislative resolution on the proposal for a</w:t>
      </w:r>
    </w:p>
    <w:p w:rsidR="00D20490" w:rsidRDefault="00D20490" w:rsidP="004A0BE3">
      <w:pPr>
        <w:spacing w:line="12" w:lineRule="exact"/>
        <w:jc w:val="center"/>
        <w:rPr>
          <w:sz w:val="20"/>
          <w:szCs w:val="20"/>
        </w:rPr>
      </w:pPr>
    </w:p>
    <w:p w:rsidR="00D20490" w:rsidRDefault="004A0BE3" w:rsidP="004A0BE3">
      <w:pPr>
        <w:spacing w:line="237" w:lineRule="auto"/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regulation of the European Parliament and of the Council amending Regulation (EU) 2017/352, so as to enable managing bodies or competent authorities to provide flexibility in respect of the levying of port infrastructure charges in the context of the COVID-19 outbreak</w:t>
      </w:r>
    </w:p>
    <w:p w:rsidR="00D20490" w:rsidRDefault="00D20490">
      <w:pPr>
        <w:spacing w:line="200" w:lineRule="exact"/>
        <w:rPr>
          <w:sz w:val="20"/>
          <w:szCs w:val="20"/>
        </w:rPr>
      </w:pPr>
    </w:p>
    <w:p w:rsidR="00D20490" w:rsidRDefault="00D20490">
      <w:pPr>
        <w:spacing w:line="397" w:lineRule="exact"/>
        <w:rPr>
          <w:sz w:val="20"/>
          <w:szCs w:val="20"/>
        </w:rPr>
      </w:pPr>
    </w:p>
    <w:p w:rsidR="00D20490" w:rsidRDefault="004A0BE3">
      <w:pPr>
        <w:numPr>
          <w:ilvl w:val="0"/>
          <w:numId w:val="5"/>
        </w:numPr>
        <w:tabs>
          <w:tab w:val="left" w:pos="561"/>
        </w:tabs>
        <w:ind w:left="561" w:hanging="5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Rapporteur: </w:t>
      </w:r>
      <w:r>
        <w:rPr>
          <w:rFonts w:eastAsia="Times New Roman"/>
          <w:sz w:val="24"/>
          <w:szCs w:val="24"/>
        </w:rPr>
        <w:t>none</w:t>
      </w:r>
    </w:p>
    <w:p w:rsidR="00D20490" w:rsidRDefault="00D20490">
      <w:pPr>
        <w:spacing w:line="278" w:lineRule="exact"/>
        <w:rPr>
          <w:rFonts w:eastAsia="Times New Roman"/>
          <w:b/>
          <w:bCs/>
          <w:sz w:val="24"/>
          <w:szCs w:val="24"/>
        </w:rPr>
      </w:pPr>
    </w:p>
    <w:p w:rsidR="00D20490" w:rsidRDefault="004A0BE3">
      <w:pPr>
        <w:numPr>
          <w:ilvl w:val="0"/>
          <w:numId w:val="5"/>
        </w:numPr>
        <w:tabs>
          <w:tab w:val="left" w:pos="561"/>
        </w:tabs>
        <w:ind w:left="561" w:hanging="5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Reference numbers: </w:t>
      </w:r>
      <w:r>
        <w:rPr>
          <w:rFonts w:eastAsia="Times New Roman"/>
          <w:sz w:val="24"/>
          <w:szCs w:val="24"/>
        </w:rPr>
        <w:t>2020/0067(COD) / P9_TA-PROV(2020)128</w:t>
      </w:r>
    </w:p>
    <w:p w:rsidR="00D20490" w:rsidRDefault="00D20490">
      <w:pPr>
        <w:spacing w:line="281" w:lineRule="exact"/>
        <w:rPr>
          <w:rFonts w:eastAsia="Times New Roman"/>
          <w:b/>
          <w:bCs/>
          <w:sz w:val="24"/>
          <w:szCs w:val="24"/>
        </w:rPr>
      </w:pPr>
    </w:p>
    <w:p w:rsidR="00D20490" w:rsidRDefault="004A0BE3">
      <w:pPr>
        <w:numPr>
          <w:ilvl w:val="0"/>
          <w:numId w:val="5"/>
        </w:numPr>
        <w:tabs>
          <w:tab w:val="left" w:pos="561"/>
        </w:tabs>
        <w:ind w:left="561" w:hanging="5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Date of adoption of the resolution: </w:t>
      </w:r>
      <w:r>
        <w:rPr>
          <w:rFonts w:eastAsia="Times New Roman"/>
          <w:sz w:val="24"/>
          <w:szCs w:val="24"/>
        </w:rPr>
        <w:t>15 May 2020</w:t>
      </w:r>
    </w:p>
    <w:p w:rsidR="00D20490" w:rsidRDefault="00D20490">
      <w:pPr>
        <w:spacing w:line="280" w:lineRule="exact"/>
        <w:rPr>
          <w:rFonts w:eastAsia="Times New Roman"/>
          <w:b/>
          <w:bCs/>
          <w:sz w:val="24"/>
          <w:szCs w:val="24"/>
        </w:rPr>
      </w:pPr>
    </w:p>
    <w:p w:rsidR="00D20490" w:rsidRDefault="004A0BE3">
      <w:pPr>
        <w:numPr>
          <w:ilvl w:val="0"/>
          <w:numId w:val="5"/>
        </w:numPr>
        <w:tabs>
          <w:tab w:val="left" w:pos="561"/>
        </w:tabs>
        <w:ind w:left="561" w:hanging="5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Legal basis: </w:t>
      </w:r>
      <w:r>
        <w:rPr>
          <w:rFonts w:eastAsia="Times New Roman"/>
          <w:sz w:val="24"/>
          <w:szCs w:val="24"/>
        </w:rPr>
        <w:t>Article 100(2) of the Treaty on the Functioning of the European Union</w:t>
      </w:r>
    </w:p>
    <w:p w:rsidR="00D20490" w:rsidRDefault="00D20490">
      <w:pPr>
        <w:spacing w:line="290" w:lineRule="exact"/>
        <w:rPr>
          <w:rFonts w:eastAsia="Times New Roman"/>
          <w:b/>
          <w:bCs/>
          <w:sz w:val="24"/>
          <w:szCs w:val="24"/>
        </w:rPr>
      </w:pPr>
    </w:p>
    <w:p w:rsidR="00D20490" w:rsidRDefault="004A0BE3">
      <w:pPr>
        <w:numPr>
          <w:ilvl w:val="0"/>
          <w:numId w:val="5"/>
        </w:numPr>
        <w:tabs>
          <w:tab w:val="left" w:pos="561"/>
        </w:tabs>
        <w:spacing w:line="234" w:lineRule="auto"/>
        <w:ind w:left="561" w:hanging="5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Competent Parliamentary Committee: </w:t>
      </w:r>
      <w:r>
        <w:rPr>
          <w:rFonts w:eastAsia="Times New Roman"/>
          <w:sz w:val="24"/>
          <w:szCs w:val="24"/>
        </w:rPr>
        <w:t>Committee on Transport and Tourism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(TRAN)</w:t>
      </w:r>
    </w:p>
    <w:p w:rsidR="00D20490" w:rsidRDefault="00D20490">
      <w:pPr>
        <w:spacing w:line="282" w:lineRule="exact"/>
        <w:rPr>
          <w:rFonts w:eastAsia="Times New Roman"/>
          <w:b/>
          <w:bCs/>
          <w:sz w:val="24"/>
          <w:szCs w:val="24"/>
        </w:rPr>
      </w:pPr>
    </w:p>
    <w:p w:rsidR="00D20490" w:rsidRDefault="004A0BE3" w:rsidP="0013083C">
      <w:pPr>
        <w:numPr>
          <w:ilvl w:val="0"/>
          <w:numId w:val="5"/>
        </w:numPr>
        <w:tabs>
          <w:tab w:val="left" w:pos="561"/>
        </w:tabs>
        <w:ind w:left="561" w:hanging="56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Commission's position: </w:t>
      </w:r>
      <w:r>
        <w:rPr>
          <w:rFonts w:eastAsia="Times New Roman"/>
          <w:sz w:val="24"/>
          <w:szCs w:val="24"/>
        </w:rPr>
        <w:t>Accepts all amendments.</w:t>
      </w:r>
    </w:p>
    <w:sectPr w:rsidR="00D20490" w:rsidSect="0013083C">
      <w:pgSz w:w="11900" w:h="16838"/>
      <w:pgMar w:top="1271" w:right="1406" w:bottom="387" w:left="1419" w:header="0" w:footer="0" w:gutter="0"/>
      <w:cols w:space="720" w:equalWidth="0">
        <w:col w:w="90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59D47BA0"/>
    <w:lvl w:ilvl="0" w:tplc="17C681E8">
      <w:start w:val="1"/>
      <w:numFmt w:val="decimal"/>
      <w:lvlText w:val="%1."/>
      <w:lvlJc w:val="left"/>
    </w:lvl>
    <w:lvl w:ilvl="1" w:tplc="28A6DAA0">
      <w:numFmt w:val="decimal"/>
      <w:lvlText w:val=""/>
      <w:lvlJc w:val="left"/>
    </w:lvl>
    <w:lvl w:ilvl="2" w:tplc="AB7AF332">
      <w:numFmt w:val="decimal"/>
      <w:lvlText w:val=""/>
      <w:lvlJc w:val="left"/>
    </w:lvl>
    <w:lvl w:ilvl="3" w:tplc="48183E50">
      <w:numFmt w:val="decimal"/>
      <w:lvlText w:val=""/>
      <w:lvlJc w:val="left"/>
    </w:lvl>
    <w:lvl w:ilvl="4" w:tplc="01662190">
      <w:numFmt w:val="decimal"/>
      <w:lvlText w:val=""/>
      <w:lvlJc w:val="left"/>
    </w:lvl>
    <w:lvl w:ilvl="5" w:tplc="F74471E4">
      <w:numFmt w:val="decimal"/>
      <w:lvlText w:val=""/>
      <w:lvlJc w:val="left"/>
    </w:lvl>
    <w:lvl w:ilvl="6" w:tplc="BB66BB42">
      <w:numFmt w:val="decimal"/>
      <w:lvlText w:val=""/>
      <w:lvlJc w:val="left"/>
    </w:lvl>
    <w:lvl w:ilvl="7" w:tplc="4ECC5D3E">
      <w:numFmt w:val="decimal"/>
      <w:lvlText w:val=""/>
      <w:lvlJc w:val="left"/>
    </w:lvl>
    <w:lvl w:ilvl="8" w:tplc="A2D2BA56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F22D12C"/>
    <w:lvl w:ilvl="0" w:tplc="24449AF6">
      <w:start w:val="1"/>
      <w:numFmt w:val="decimal"/>
      <w:lvlText w:val="%1."/>
      <w:lvlJc w:val="left"/>
    </w:lvl>
    <w:lvl w:ilvl="1" w:tplc="43F44E7E">
      <w:numFmt w:val="decimal"/>
      <w:lvlText w:val=""/>
      <w:lvlJc w:val="left"/>
    </w:lvl>
    <w:lvl w:ilvl="2" w:tplc="A7D663DC">
      <w:numFmt w:val="decimal"/>
      <w:lvlText w:val=""/>
      <w:lvlJc w:val="left"/>
    </w:lvl>
    <w:lvl w:ilvl="3" w:tplc="449206F8">
      <w:numFmt w:val="decimal"/>
      <w:lvlText w:val=""/>
      <w:lvlJc w:val="left"/>
    </w:lvl>
    <w:lvl w:ilvl="4" w:tplc="D6E812E8">
      <w:numFmt w:val="decimal"/>
      <w:lvlText w:val=""/>
      <w:lvlJc w:val="left"/>
    </w:lvl>
    <w:lvl w:ilvl="5" w:tplc="BD0020DA">
      <w:numFmt w:val="decimal"/>
      <w:lvlText w:val=""/>
      <w:lvlJc w:val="left"/>
    </w:lvl>
    <w:lvl w:ilvl="6" w:tplc="9BD00A04">
      <w:numFmt w:val="decimal"/>
      <w:lvlText w:val=""/>
      <w:lvlJc w:val="left"/>
    </w:lvl>
    <w:lvl w:ilvl="7" w:tplc="B0D2E012">
      <w:numFmt w:val="decimal"/>
      <w:lvlText w:val=""/>
      <w:lvlJc w:val="left"/>
    </w:lvl>
    <w:lvl w:ilvl="8" w:tplc="974A76B0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1E809FEE"/>
    <w:lvl w:ilvl="0" w:tplc="19D080C8">
      <w:start w:val="1"/>
      <w:numFmt w:val="decimal"/>
      <w:lvlText w:val="%1."/>
      <w:lvlJc w:val="left"/>
    </w:lvl>
    <w:lvl w:ilvl="1" w:tplc="EF96E2C2">
      <w:numFmt w:val="decimal"/>
      <w:lvlText w:val=""/>
      <w:lvlJc w:val="left"/>
    </w:lvl>
    <w:lvl w:ilvl="2" w:tplc="B232CF46">
      <w:numFmt w:val="decimal"/>
      <w:lvlText w:val=""/>
      <w:lvlJc w:val="left"/>
    </w:lvl>
    <w:lvl w:ilvl="3" w:tplc="2F9E18C0">
      <w:numFmt w:val="decimal"/>
      <w:lvlText w:val=""/>
      <w:lvlJc w:val="left"/>
    </w:lvl>
    <w:lvl w:ilvl="4" w:tplc="EFC61508">
      <w:numFmt w:val="decimal"/>
      <w:lvlText w:val=""/>
      <w:lvlJc w:val="left"/>
    </w:lvl>
    <w:lvl w:ilvl="5" w:tplc="2C169656">
      <w:numFmt w:val="decimal"/>
      <w:lvlText w:val=""/>
      <w:lvlJc w:val="left"/>
    </w:lvl>
    <w:lvl w:ilvl="6" w:tplc="F9387112">
      <w:numFmt w:val="decimal"/>
      <w:lvlText w:val=""/>
      <w:lvlJc w:val="left"/>
    </w:lvl>
    <w:lvl w:ilvl="7" w:tplc="3A7CFBF4">
      <w:numFmt w:val="decimal"/>
      <w:lvlText w:val=""/>
      <w:lvlJc w:val="left"/>
    </w:lvl>
    <w:lvl w:ilvl="8" w:tplc="8B44213C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66BEE3E0"/>
    <w:lvl w:ilvl="0" w:tplc="B5DEAE12">
      <w:start w:val="1"/>
      <w:numFmt w:val="decimal"/>
      <w:lvlText w:val="%1."/>
      <w:lvlJc w:val="left"/>
    </w:lvl>
    <w:lvl w:ilvl="1" w:tplc="9230E674">
      <w:numFmt w:val="decimal"/>
      <w:lvlText w:val=""/>
      <w:lvlJc w:val="left"/>
    </w:lvl>
    <w:lvl w:ilvl="2" w:tplc="7D78DE40">
      <w:numFmt w:val="decimal"/>
      <w:lvlText w:val=""/>
      <w:lvlJc w:val="left"/>
    </w:lvl>
    <w:lvl w:ilvl="3" w:tplc="F81855B0">
      <w:numFmt w:val="decimal"/>
      <w:lvlText w:val=""/>
      <w:lvlJc w:val="left"/>
    </w:lvl>
    <w:lvl w:ilvl="4" w:tplc="B8DA2EE8">
      <w:numFmt w:val="decimal"/>
      <w:lvlText w:val=""/>
      <w:lvlJc w:val="left"/>
    </w:lvl>
    <w:lvl w:ilvl="5" w:tplc="E4BEF08C">
      <w:numFmt w:val="decimal"/>
      <w:lvlText w:val=""/>
      <w:lvlJc w:val="left"/>
    </w:lvl>
    <w:lvl w:ilvl="6" w:tplc="E990C5AC">
      <w:numFmt w:val="decimal"/>
      <w:lvlText w:val=""/>
      <w:lvlJc w:val="left"/>
    </w:lvl>
    <w:lvl w:ilvl="7" w:tplc="0BC025DE">
      <w:numFmt w:val="decimal"/>
      <w:lvlText w:val=""/>
      <w:lvlJc w:val="left"/>
    </w:lvl>
    <w:lvl w:ilvl="8" w:tplc="15B2CDB8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6C58CB68"/>
    <w:lvl w:ilvl="0" w:tplc="0BCA8B80">
      <w:start w:val="1"/>
      <w:numFmt w:val="decimal"/>
      <w:lvlText w:val="%1."/>
      <w:lvlJc w:val="left"/>
    </w:lvl>
    <w:lvl w:ilvl="1" w:tplc="17F20C10">
      <w:numFmt w:val="decimal"/>
      <w:lvlText w:val=""/>
      <w:lvlJc w:val="left"/>
    </w:lvl>
    <w:lvl w:ilvl="2" w:tplc="114C0DF8">
      <w:numFmt w:val="decimal"/>
      <w:lvlText w:val=""/>
      <w:lvlJc w:val="left"/>
    </w:lvl>
    <w:lvl w:ilvl="3" w:tplc="22DE022A">
      <w:numFmt w:val="decimal"/>
      <w:lvlText w:val=""/>
      <w:lvlJc w:val="left"/>
    </w:lvl>
    <w:lvl w:ilvl="4" w:tplc="5CA8EE0C">
      <w:numFmt w:val="decimal"/>
      <w:lvlText w:val=""/>
      <w:lvlJc w:val="left"/>
    </w:lvl>
    <w:lvl w:ilvl="5" w:tplc="CCDE097A">
      <w:numFmt w:val="decimal"/>
      <w:lvlText w:val=""/>
      <w:lvlJc w:val="left"/>
    </w:lvl>
    <w:lvl w:ilvl="6" w:tplc="020AA66E">
      <w:numFmt w:val="decimal"/>
      <w:lvlText w:val=""/>
      <w:lvlJc w:val="left"/>
    </w:lvl>
    <w:lvl w:ilvl="7" w:tplc="457C1DF6">
      <w:numFmt w:val="decimal"/>
      <w:lvlText w:val=""/>
      <w:lvlJc w:val="left"/>
    </w:lvl>
    <w:lvl w:ilvl="8" w:tplc="F172286E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C0949430"/>
    <w:lvl w:ilvl="0" w:tplc="95CAC996">
      <w:start w:val="1"/>
      <w:numFmt w:val="decimal"/>
      <w:lvlText w:val="%1."/>
      <w:lvlJc w:val="left"/>
    </w:lvl>
    <w:lvl w:ilvl="1" w:tplc="3702935A">
      <w:numFmt w:val="decimal"/>
      <w:lvlText w:val=""/>
      <w:lvlJc w:val="left"/>
    </w:lvl>
    <w:lvl w:ilvl="2" w:tplc="84866C6A">
      <w:numFmt w:val="decimal"/>
      <w:lvlText w:val=""/>
      <w:lvlJc w:val="left"/>
    </w:lvl>
    <w:lvl w:ilvl="3" w:tplc="98D46FB0">
      <w:numFmt w:val="decimal"/>
      <w:lvlText w:val=""/>
      <w:lvlJc w:val="left"/>
    </w:lvl>
    <w:lvl w:ilvl="4" w:tplc="215C328C">
      <w:numFmt w:val="decimal"/>
      <w:lvlText w:val=""/>
      <w:lvlJc w:val="left"/>
    </w:lvl>
    <w:lvl w:ilvl="5" w:tplc="73B08726">
      <w:numFmt w:val="decimal"/>
      <w:lvlText w:val=""/>
      <w:lvlJc w:val="left"/>
    </w:lvl>
    <w:lvl w:ilvl="6" w:tplc="53FA1266">
      <w:numFmt w:val="decimal"/>
      <w:lvlText w:val=""/>
      <w:lvlJc w:val="left"/>
    </w:lvl>
    <w:lvl w:ilvl="7" w:tplc="49A47ED4">
      <w:numFmt w:val="decimal"/>
      <w:lvlText w:val=""/>
      <w:lvlJc w:val="left"/>
    </w:lvl>
    <w:lvl w:ilvl="8" w:tplc="10DAD86C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90"/>
    <w:rsid w:val="0013083C"/>
    <w:rsid w:val="004A0BE3"/>
    <w:rsid w:val="00D2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3D7A5-5433-4013-9C93-C0963B01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IOANNOU Efrosyni</cp:lastModifiedBy>
  <cp:revision>2</cp:revision>
  <dcterms:created xsi:type="dcterms:W3CDTF">2020-06-30T15:57:00Z</dcterms:created>
  <dcterms:modified xsi:type="dcterms:W3CDTF">2020-06-30T15:57:00Z</dcterms:modified>
</cp:coreProperties>
</file>