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81" w:rsidRPr="00BF0980" w:rsidRDefault="00601081" w:rsidP="00601081">
      <w:pPr>
        <w:spacing w:after="600"/>
        <w:jc w:val="center"/>
        <w:rPr>
          <w:rFonts w:ascii="Times New Roman" w:hAnsi="Times New Roman"/>
          <w:b/>
          <w:bCs/>
          <w:szCs w:val="24"/>
        </w:rPr>
      </w:pPr>
      <w:r w:rsidRPr="00BF0980">
        <w:rPr>
          <w:rFonts w:ascii="Times New Roman" w:hAnsi="Times New Roman"/>
          <w:b/>
          <w:bCs/>
          <w:szCs w:val="24"/>
        </w:rPr>
        <w:t xml:space="preserve">Follow up to the </w:t>
      </w:r>
      <w:r w:rsidRPr="00BF0980">
        <w:rPr>
          <w:rFonts w:ascii="Times New Roman" w:hAnsi="Times New Roman"/>
          <w:b/>
          <w:szCs w:val="24"/>
        </w:rPr>
        <w:t>European Parliament non-legislative resolution</w:t>
      </w:r>
      <w:r w:rsidRPr="00BF0980">
        <w:rPr>
          <w:rFonts w:ascii="Times New Roman" w:hAnsi="Times New Roman"/>
          <w:noProof/>
          <w:szCs w:val="24"/>
        </w:rPr>
        <w:t xml:space="preserve"> </w:t>
      </w:r>
      <w:r w:rsidRPr="00BF0980">
        <w:rPr>
          <w:rFonts w:ascii="Times New Roman" w:hAnsi="Times New Roman"/>
          <w:b/>
          <w:bCs/>
          <w:szCs w:val="24"/>
        </w:rPr>
        <w:t xml:space="preserve">on </w:t>
      </w:r>
      <w:r w:rsidRPr="00E00065">
        <w:rPr>
          <w:rFonts w:ascii="Times New Roman" w:hAnsi="Times New Roman"/>
          <w:b/>
          <w:shd w:val="clear" w:color="auto" w:fill="FFFFFF"/>
        </w:rPr>
        <w:t>Protection of the European Union's fina</w:t>
      </w:r>
      <w:r>
        <w:rPr>
          <w:rFonts w:ascii="Times New Roman" w:hAnsi="Times New Roman"/>
          <w:b/>
          <w:shd w:val="clear" w:color="auto" w:fill="FFFFFF"/>
        </w:rPr>
        <w:t>n</w:t>
      </w:r>
      <w:r w:rsidRPr="00E00065">
        <w:rPr>
          <w:rFonts w:ascii="Times New Roman" w:hAnsi="Times New Roman"/>
          <w:b/>
          <w:shd w:val="clear" w:color="auto" w:fill="FFFFFF"/>
        </w:rPr>
        <w:t>cial interests - combating fraud - annual report 2018</w:t>
      </w:r>
    </w:p>
    <w:p w:rsidR="00601081" w:rsidRPr="00072AE7" w:rsidRDefault="00601081" w:rsidP="00601081">
      <w:pPr>
        <w:numPr>
          <w:ilvl w:val="0"/>
          <w:numId w:val="1"/>
        </w:numPr>
        <w:rPr>
          <w:rFonts w:ascii="Times New Roman" w:hAnsi="Times New Roman"/>
          <w:b/>
          <w:szCs w:val="24"/>
          <w:lang w:val="fr-BE"/>
        </w:rPr>
      </w:pPr>
      <w:r w:rsidRPr="00BF0980">
        <w:rPr>
          <w:rFonts w:ascii="Times New Roman" w:hAnsi="Times New Roman"/>
          <w:b/>
          <w:szCs w:val="24"/>
          <w:lang w:val="fr-BE"/>
        </w:rPr>
        <w:t>Rapporteur</w:t>
      </w:r>
      <w:r>
        <w:rPr>
          <w:rFonts w:ascii="Times New Roman" w:hAnsi="Times New Roman"/>
          <w:b/>
          <w:szCs w:val="24"/>
          <w:lang w:val="fr-BE"/>
        </w:rPr>
        <w:t xml:space="preserve">: </w:t>
      </w:r>
      <w:r w:rsidRPr="00072AE7">
        <w:rPr>
          <w:rFonts w:ascii="Times New Roman" w:hAnsi="Times New Roman"/>
          <w:color w:val="1E1E1F"/>
          <w:shd w:val="clear" w:color="auto" w:fill="FFFFFF"/>
          <w:lang w:val="fr-BE"/>
        </w:rPr>
        <w:t>Joachim KUHS (ID / DE)</w:t>
      </w:r>
    </w:p>
    <w:p w:rsidR="00601081" w:rsidRPr="00BF0980" w:rsidRDefault="00601081" w:rsidP="00601081">
      <w:pPr>
        <w:numPr>
          <w:ilvl w:val="0"/>
          <w:numId w:val="1"/>
        </w:numPr>
        <w:rPr>
          <w:rFonts w:ascii="Times New Roman" w:hAnsi="Times New Roman"/>
          <w:i/>
          <w:szCs w:val="24"/>
        </w:rPr>
      </w:pPr>
      <w:r w:rsidRPr="00BF0980">
        <w:rPr>
          <w:rFonts w:ascii="Times New Roman" w:hAnsi="Times New Roman"/>
          <w:b/>
          <w:szCs w:val="24"/>
        </w:rPr>
        <w:t xml:space="preserve">Reference numbers: </w:t>
      </w:r>
      <w:r w:rsidRPr="00BF0980">
        <w:rPr>
          <w:rFonts w:ascii="Times New Roman" w:hAnsi="Times New Roman"/>
          <w:szCs w:val="24"/>
        </w:rPr>
        <w:t>2019/2</w:t>
      </w:r>
      <w:r>
        <w:rPr>
          <w:rFonts w:ascii="Times New Roman" w:hAnsi="Times New Roman"/>
          <w:szCs w:val="24"/>
        </w:rPr>
        <w:t>128</w:t>
      </w:r>
      <w:r w:rsidRPr="00BF0980">
        <w:rPr>
          <w:rFonts w:ascii="Times New Roman" w:hAnsi="Times New Roman"/>
          <w:szCs w:val="24"/>
        </w:rPr>
        <w:t xml:space="preserve"> (</w:t>
      </w:r>
      <w:r>
        <w:rPr>
          <w:rFonts w:ascii="Times New Roman" w:hAnsi="Times New Roman"/>
          <w:szCs w:val="24"/>
        </w:rPr>
        <w:t>INI) / A</w:t>
      </w:r>
      <w:r w:rsidRPr="00BF0980">
        <w:rPr>
          <w:rFonts w:ascii="Times New Roman" w:hAnsi="Times New Roman"/>
          <w:szCs w:val="24"/>
        </w:rPr>
        <w:t>9-0</w:t>
      </w:r>
      <w:r>
        <w:rPr>
          <w:rFonts w:ascii="Times New Roman" w:hAnsi="Times New Roman"/>
          <w:szCs w:val="24"/>
        </w:rPr>
        <w:t>103</w:t>
      </w:r>
      <w:r w:rsidRPr="00BF0980">
        <w:rPr>
          <w:rFonts w:ascii="Times New Roman" w:hAnsi="Times New Roman"/>
          <w:szCs w:val="24"/>
        </w:rPr>
        <w:t>/20</w:t>
      </w:r>
      <w:r>
        <w:rPr>
          <w:rFonts w:ascii="Times New Roman" w:hAnsi="Times New Roman"/>
          <w:szCs w:val="24"/>
        </w:rPr>
        <w:t>20</w:t>
      </w:r>
      <w:r w:rsidRPr="00BF0980">
        <w:rPr>
          <w:rFonts w:ascii="Times New Roman" w:hAnsi="Times New Roman"/>
          <w:szCs w:val="24"/>
        </w:rPr>
        <w:t xml:space="preserve"> / P9_TA-PROV(2020)</w:t>
      </w:r>
      <w:r>
        <w:rPr>
          <w:rFonts w:ascii="Times New Roman" w:hAnsi="Times New Roman"/>
          <w:szCs w:val="24"/>
        </w:rPr>
        <w:t>0192</w:t>
      </w:r>
    </w:p>
    <w:p w:rsidR="00601081" w:rsidRPr="00BF0980" w:rsidRDefault="00601081" w:rsidP="00601081">
      <w:pPr>
        <w:numPr>
          <w:ilvl w:val="0"/>
          <w:numId w:val="1"/>
        </w:numPr>
        <w:rPr>
          <w:rFonts w:ascii="Times New Roman" w:hAnsi="Times New Roman"/>
          <w:szCs w:val="24"/>
        </w:rPr>
      </w:pPr>
      <w:r w:rsidRPr="00BF0980">
        <w:rPr>
          <w:rFonts w:ascii="Times New Roman" w:hAnsi="Times New Roman"/>
          <w:b/>
          <w:szCs w:val="24"/>
        </w:rPr>
        <w:t>Date of adoption of the resolution:</w:t>
      </w:r>
      <w:r w:rsidRPr="00BF0980">
        <w:rPr>
          <w:rFonts w:ascii="Times New Roman" w:hAnsi="Times New Roman"/>
          <w:szCs w:val="24"/>
        </w:rPr>
        <w:t xml:space="preserve"> 1</w:t>
      </w:r>
      <w:r>
        <w:rPr>
          <w:rFonts w:ascii="Times New Roman" w:hAnsi="Times New Roman"/>
          <w:szCs w:val="24"/>
        </w:rPr>
        <w:t>0 July</w:t>
      </w:r>
      <w:r w:rsidRPr="00BF0980">
        <w:rPr>
          <w:rFonts w:ascii="Times New Roman" w:hAnsi="Times New Roman"/>
          <w:szCs w:val="24"/>
        </w:rPr>
        <w:t xml:space="preserve"> 2020</w:t>
      </w:r>
    </w:p>
    <w:p w:rsidR="00601081" w:rsidRPr="00773CB2" w:rsidRDefault="00601081" w:rsidP="00601081">
      <w:pPr>
        <w:pStyle w:val="ListParagraph"/>
        <w:numPr>
          <w:ilvl w:val="0"/>
          <w:numId w:val="1"/>
        </w:numPr>
        <w:spacing w:after="240"/>
        <w:jc w:val="both"/>
        <w:rPr>
          <w:rFonts w:ascii="Times New Roman" w:hAnsi="Times New Roman"/>
          <w:sz w:val="24"/>
          <w:szCs w:val="24"/>
          <w:lang w:val="en-GB"/>
        </w:rPr>
      </w:pPr>
      <w:r w:rsidRPr="00773CB2">
        <w:rPr>
          <w:rFonts w:ascii="Times New Roman" w:hAnsi="Times New Roman"/>
          <w:b/>
          <w:sz w:val="24"/>
          <w:szCs w:val="24"/>
          <w:lang w:val="en-GB"/>
        </w:rPr>
        <w:t>Competent Parliamentary Committee:</w:t>
      </w:r>
      <w:r w:rsidRPr="00773CB2">
        <w:rPr>
          <w:rFonts w:ascii="Times New Roman" w:hAnsi="Times New Roman"/>
          <w:sz w:val="24"/>
          <w:szCs w:val="24"/>
          <w:lang w:val="en-GB"/>
        </w:rPr>
        <w:t xml:space="preserve"> </w:t>
      </w:r>
      <w:r w:rsidRPr="00773CB2">
        <w:rPr>
          <w:rFonts w:ascii="Times New Roman" w:hAnsi="Times New Roman"/>
          <w:sz w:val="24"/>
          <w:szCs w:val="24"/>
        </w:rPr>
        <w:t>Committee on Budgetary Control (CONT)</w:t>
      </w:r>
    </w:p>
    <w:p w:rsidR="00601081" w:rsidRPr="00BD5036" w:rsidRDefault="00601081" w:rsidP="00601081">
      <w:pPr>
        <w:widowControl w:val="0"/>
        <w:numPr>
          <w:ilvl w:val="0"/>
          <w:numId w:val="1"/>
        </w:numPr>
        <w:rPr>
          <w:rFonts w:ascii="Times New Roman" w:hAnsi="Times New Roman"/>
          <w:szCs w:val="24"/>
        </w:rPr>
      </w:pPr>
      <w:r w:rsidRPr="00BF0980">
        <w:rPr>
          <w:rFonts w:ascii="Times New Roman" w:hAnsi="Times New Roman"/>
          <w:b/>
          <w:szCs w:val="24"/>
        </w:rPr>
        <w:t>Brief analysis/assessment of the resolution and requests made in it:</w:t>
      </w:r>
    </w:p>
    <w:p w:rsidR="00601081" w:rsidRPr="00BF0980" w:rsidRDefault="00601081" w:rsidP="00601081">
      <w:pPr>
        <w:widowControl w:val="0"/>
        <w:spacing w:after="120"/>
        <w:rPr>
          <w:rFonts w:ascii="Times New Roman" w:hAnsi="Times New Roman"/>
          <w:szCs w:val="24"/>
        </w:rPr>
      </w:pPr>
      <w:r w:rsidRPr="00631615">
        <w:rPr>
          <w:rStyle w:val="None"/>
          <w:rFonts w:ascii="Times New Roman" w:hAnsi="Times New Roman"/>
          <w:lang w:val="en-US"/>
        </w:rPr>
        <w:t xml:space="preserve">The Commission welcomes </w:t>
      </w:r>
      <w:r>
        <w:rPr>
          <w:rStyle w:val="None"/>
          <w:rFonts w:ascii="Times New Roman" w:hAnsi="Times New Roman"/>
          <w:lang w:val="en-US"/>
        </w:rPr>
        <w:t xml:space="preserve">the Parliament’s </w:t>
      </w:r>
      <w:r w:rsidRPr="00631615">
        <w:rPr>
          <w:rStyle w:val="None"/>
          <w:rFonts w:ascii="Times New Roman" w:hAnsi="Times New Roman"/>
          <w:lang w:val="en-US"/>
        </w:rPr>
        <w:t xml:space="preserve">resolution and notes the recognition for the Commission’s actions in the fight against fraud as well as the support for its initiatives in this field, in particular for the establishment of the </w:t>
      </w:r>
      <w:r w:rsidRPr="00A65ADB">
        <w:rPr>
          <w:rStyle w:val="None"/>
          <w:rFonts w:ascii="Times New Roman" w:hAnsi="Times New Roman"/>
          <w:lang w:val="en-US"/>
        </w:rPr>
        <w:t xml:space="preserve">European Public Prosecutor’s Office </w:t>
      </w:r>
      <w:r>
        <w:rPr>
          <w:rStyle w:val="None"/>
          <w:rFonts w:ascii="Times New Roman" w:hAnsi="Times New Roman"/>
          <w:lang w:val="en-US"/>
        </w:rPr>
        <w:t>(</w:t>
      </w:r>
      <w:r w:rsidRPr="00631615">
        <w:rPr>
          <w:rStyle w:val="None"/>
          <w:rFonts w:ascii="Times New Roman" w:hAnsi="Times New Roman"/>
          <w:lang w:val="en-US"/>
        </w:rPr>
        <w:t>EPPO</w:t>
      </w:r>
      <w:r>
        <w:rPr>
          <w:rStyle w:val="None"/>
          <w:rFonts w:ascii="Times New Roman" w:hAnsi="Times New Roman"/>
          <w:lang w:val="en-US"/>
        </w:rPr>
        <w:t>)</w:t>
      </w:r>
      <w:r w:rsidRPr="00631615">
        <w:rPr>
          <w:rStyle w:val="None"/>
          <w:rFonts w:ascii="Times New Roman" w:hAnsi="Times New Roman"/>
          <w:lang w:val="en-US"/>
        </w:rPr>
        <w:t xml:space="preserve"> and the adoption of a new Commission Anti-Fraud Strategy. The Commission will be able to give a positive follow-up to many topics r</w:t>
      </w:r>
      <w:r>
        <w:rPr>
          <w:rStyle w:val="None"/>
          <w:rFonts w:ascii="Times New Roman" w:hAnsi="Times New Roman"/>
          <w:lang w:val="en-US"/>
        </w:rPr>
        <w:t>aised by the Parliament</w:t>
      </w:r>
      <w:r w:rsidRPr="00631615">
        <w:rPr>
          <w:rStyle w:val="None"/>
          <w:rFonts w:ascii="Times New Roman" w:hAnsi="Times New Roman"/>
          <w:lang w:val="en-US"/>
        </w:rPr>
        <w:t>.</w:t>
      </w:r>
      <w:r>
        <w:rPr>
          <w:rStyle w:val="None"/>
          <w:rFonts w:ascii="Times New Roman" w:hAnsi="Times New Roman"/>
          <w:lang w:val="en-US"/>
        </w:rPr>
        <w:t xml:space="preserve"> The resolution addresses a host of issues related to the protection of the financial interests of the EU and </w:t>
      </w:r>
      <w:proofErr w:type="gramStart"/>
      <w:r>
        <w:rPr>
          <w:rStyle w:val="None"/>
          <w:rFonts w:ascii="Times New Roman" w:hAnsi="Times New Roman"/>
          <w:lang w:val="en-US"/>
        </w:rPr>
        <w:t>is divided</w:t>
      </w:r>
      <w:proofErr w:type="gramEnd"/>
      <w:r>
        <w:rPr>
          <w:rStyle w:val="None"/>
          <w:rFonts w:ascii="Times New Roman" w:hAnsi="Times New Roman"/>
          <w:lang w:val="en-US"/>
        </w:rPr>
        <w:t xml:space="preserve"> into </w:t>
      </w:r>
      <w:r>
        <w:rPr>
          <w:rFonts w:ascii="Times New Roman" w:hAnsi="Times New Roman"/>
          <w:b/>
          <w:bCs/>
          <w:lang w:val="en-US"/>
        </w:rPr>
        <w:t>eleven sections</w:t>
      </w:r>
      <w:r>
        <w:rPr>
          <w:rFonts w:ascii="Times New Roman" w:hAnsi="Times New Roman"/>
          <w:szCs w:val="24"/>
        </w:rPr>
        <w:t>.</w:t>
      </w:r>
    </w:p>
    <w:p w:rsidR="00601081" w:rsidRDefault="00601081" w:rsidP="00601081">
      <w:pPr>
        <w:pStyle w:val="ListParagraph"/>
        <w:widowControl w:val="0"/>
        <w:numPr>
          <w:ilvl w:val="0"/>
          <w:numId w:val="1"/>
        </w:numPr>
        <w:spacing w:after="240" w:line="240" w:lineRule="auto"/>
        <w:jc w:val="both"/>
        <w:rPr>
          <w:rFonts w:ascii="Times New Roman" w:hAnsi="Times New Roman"/>
          <w:b/>
          <w:sz w:val="24"/>
          <w:szCs w:val="24"/>
        </w:rPr>
      </w:pPr>
      <w:r w:rsidRPr="00BF0980">
        <w:rPr>
          <w:rFonts w:ascii="Times New Roman" w:hAnsi="Times New Roman"/>
          <w:b/>
          <w:sz w:val="24"/>
          <w:szCs w:val="24"/>
        </w:rPr>
        <w:t>Response to the requests and overview of the action taken, or intended to be taken, by the Commission:</w:t>
      </w:r>
    </w:p>
    <w:p w:rsidR="00601081" w:rsidRPr="00BD5036" w:rsidRDefault="00601081" w:rsidP="00601081">
      <w:pPr>
        <w:widowControl w:val="0"/>
        <w:rPr>
          <w:rFonts w:ascii="Times New Roman" w:hAnsi="Times New Roman"/>
          <w:b/>
          <w:szCs w:val="24"/>
          <w:u w:val="single"/>
        </w:rPr>
      </w:pPr>
      <w:r w:rsidRPr="00BD5036">
        <w:rPr>
          <w:rFonts w:ascii="Times New Roman" w:hAnsi="Times New Roman"/>
          <w:b/>
          <w:szCs w:val="24"/>
          <w:u w:val="single"/>
        </w:rPr>
        <w:t>I. Detection and reporting of irregularities (paragraphs 1 to 18)</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As regards the Parliament’s </w:t>
      </w:r>
      <w:r w:rsidRPr="00BD5036">
        <w:rPr>
          <w:rFonts w:ascii="Times New Roman" w:hAnsi="Times New Roman"/>
          <w:b/>
        </w:rPr>
        <w:t>call to establish a system able to identify undetected irregularities</w:t>
      </w:r>
      <w:r w:rsidRPr="00BD5036">
        <w:rPr>
          <w:rFonts w:ascii="Times New Roman" w:hAnsi="Times New Roman"/>
        </w:rPr>
        <w:t>, the Commission has already put in place a number of actions to ensure that Member States duly fulfil their reporting obligations</w:t>
      </w:r>
      <w:r w:rsidRPr="00BD5036">
        <w:rPr>
          <w:rFonts w:ascii="Times New Roman" w:hAnsi="Times New Roman"/>
          <w:vertAlign w:val="superscript"/>
        </w:rPr>
        <w:footnoteReference w:id="1"/>
      </w:r>
      <w:r>
        <w:rPr>
          <w:rFonts w:ascii="Times New Roman" w:hAnsi="Times New Roman"/>
        </w:rPr>
        <w:t>.</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Concerning the Parliament’s request to </w:t>
      </w:r>
      <w:r w:rsidRPr="00BD5036">
        <w:rPr>
          <w:rFonts w:ascii="Times New Roman" w:hAnsi="Times New Roman"/>
          <w:b/>
        </w:rPr>
        <w:t>estimate the scale of fraud in the EU</w:t>
      </w:r>
      <w:r w:rsidRPr="00BD5036">
        <w:rPr>
          <w:rFonts w:ascii="Times New Roman" w:hAnsi="Times New Roman"/>
        </w:rPr>
        <w:t xml:space="preserve">, the Commission relies on data reported by </w:t>
      </w:r>
      <w:r>
        <w:rPr>
          <w:rFonts w:ascii="Times New Roman" w:hAnsi="Times New Roman"/>
        </w:rPr>
        <w:t xml:space="preserve">the </w:t>
      </w:r>
      <w:r w:rsidRPr="00BD5036">
        <w:rPr>
          <w:rFonts w:ascii="Times New Roman" w:hAnsi="Times New Roman"/>
        </w:rPr>
        <w:t>Member States for statistics on suspected and detected fraud and irregularities. In close cooperation with the Member States, it has considerably improved its irregularity reporting system over the past years, allowing for a better and more refined analysis. The Commission is committed to further improving the reporting of irregularities and fraud as well as the analysis of the nature of fraud based on tailored data collection and a better understanding of the overall anti-fraud framework in the different Member States. However, it is not possible to establish an estimate of the scale of the undetected level of fraud, which is reliable and defendable enough for evidence-based policy, also taking into account the constraint of the efficient use of the limited resourc</w:t>
      </w:r>
      <w:r>
        <w:rPr>
          <w:rFonts w:ascii="Times New Roman" w:hAnsi="Times New Roman"/>
        </w:rPr>
        <w:t>es available to the Commission.</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The Commission carries out </w:t>
      </w:r>
      <w:r w:rsidRPr="00BD5036">
        <w:rPr>
          <w:rFonts w:ascii="Times New Roman" w:hAnsi="Times New Roman"/>
          <w:i/>
        </w:rPr>
        <w:t>ad hoc</w:t>
      </w:r>
      <w:r w:rsidRPr="00BD5036">
        <w:rPr>
          <w:rFonts w:ascii="Times New Roman" w:hAnsi="Times New Roman"/>
        </w:rPr>
        <w:t xml:space="preserve"> </w:t>
      </w:r>
      <w:r w:rsidRPr="00BD5036">
        <w:rPr>
          <w:rFonts w:ascii="Times New Roman" w:hAnsi="Times New Roman"/>
          <w:b/>
        </w:rPr>
        <w:t>checks on quality of data reported via the Irregularity Management System (IMS).</w:t>
      </w:r>
      <w:r w:rsidRPr="00BD5036">
        <w:rPr>
          <w:rFonts w:ascii="Times New Roman" w:hAnsi="Times New Roman"/>
        </w:rPr>
        <w:t xml:space="preserve"> These checks are continuously refined and improved (for instance monitoring the reporting of irregularities detected during Commission’s audits or monitoring information published by the media on cases of suspected fraud). However, available resources do not allow the comprehensive and extensive level of data quality monitoring called by the Parliament.</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The Commission agrees with the Parliament on the important role played by </w:t>
      </w:r>
      <w:r w:rsidRPr="00BD5036">
        <w:rPr>
          <w:rFonts w:ascii="Times New Roman" w:hAnsi="Times New Roman"/>
          <w:b/>
        </w:rPr>
        <w:t xml:space="preserve">exchange of </w:t>
      </w:r>
      <w:r w:rsidRPr="00BD5036">
        <w:rPr>
          <w:rFonts w:ascii="Times New Roman" w:hAnsi="Times New Roman"/>
          <w:b/>
        </w:rPr>
        <w:lastRenderedPageBreak/>
        <w:t>information and coordinated action to fight fraud in the EU</w:t>
      </w:r>
      <w:r w:rsidRPr="00BD5036">
        <w:rPr>
          <w:rFonts w:ascii="Times New Roman" w:hAnsi="Times New Roman"/>
        </w:rPr>
        <w:t xml:space="preserve"> and is committed to </w:t>
      </w:r>
      <w:r w:rsidRPr="00BD5036">
        <w:rPr>
          <w:rFonts w:ascii="Times New Roman" w:hAnsi="Times New Roman"/>
          <w:b/>
        </w:rPr>
        <w:t>increase quality and interoperability of data about beneficiaries in shared management for audit and control purposes</w:t>
      </w:r>
      <w:r w:rsidRPr="00BD5036">
        <w:rPr>
          <w:rFonts w:ascii="Times New Roman" w:hAnsi="Times New Roman"/>
        </w:rPr>
        <w:t xml:space="preserve">. A technical solution </w:t>
      </w:r>
      <w:proofErr w:type="gramStart"/>
      <w:r w:rsidRPr="00BD5036">
        <w:rPr>
          <w:rFonts w:ascii="Times New Roman" w:hAnsi="Times New Roman"/>
        </w:rPr>
        <w:t>is currently being explored</w:t>
      </w:r>
      <w:proofErr w:type="gramEnd"/>
      <w:r w:rsidRPr="00BD5036">
        <w:rPr>
          <w:rFonts w:ascii="Times New Roman" w:hAnsi="Times New Roman"/>
        </w:rPr>
        <w:t>,</w:t>
      </w:r>
      <w:r w:rsidRPr="00BD5036">
        <w:rPr>
          <w:rFonts w:ascii="Times New Roman" w:hAnsi="Times New Roman"/>
          <w:szCs w:val="20"/>
        </w:rPr>
        <w:t xml:space="preserve"> </w:t>
      </w:r>
      <w:r w:rsidRPr="00BD5036">
        <w:rPr>
          <w:rFonts w:ascii="Times New Roman" w:hAnsi="Times New Roman"/>
        </w:rPr>
        <w:t>possibly including the use of a single data-mining tool to enhance control mechanisms at Member States’ and Commission level. Nevertheless, the current legal basis does not allow the Commission to publish such aggregated information. The legal framework in force allows the Commission to use data received from the Member States only for the purpose of clearance of accounts, and (in aggregated form) for monitoring and making foreca</w:t>
      </w:r>
      <w:r>
        <w:rPr>
          <w:rFonts w:ascii="Times New Roman" w:hAnsi="Times New Roman"/>
        </w:rPr>
        <w:t>sts in the agricultural sector.</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The Commission does not agree with the Parliament that it does not take sufficient action to </w:t>
      </w:r>
      <w:r w:rsidRPr="00BD5036">
        <w:rPr>
          <w:rFonts w:ascii="Times New Roman" w:hAnsi="Times New Roman"/>
          <w:b/>
        </w:rPr>
        <w:t>tackle land grabbing fraud and similar practices</w:t>
      </w:r>
      <w:r w:rsidRPr="00BD5036">
        <w:rPr>
          <w:rFonts w:ascii="Times New Roman" w:hAnsi="Times New Roman"/>
        </w:rPr>
        <w:t xml:space="preserve">. The Commission takes all possible actions to tackle this type of fraud and whenever it detects suspicions of fraud and serious irregularities, it reports them to </w:t>
      </w:r>
      <w:r>
        <w:rPr>
          <w:rFonts w:ascii="Times New Roman" w:hAnsi="Times New Roman"/>
        </w:rPr>
        <w:t>the European Anti-Fraud Office (</w:t>
      </w:r>
      <w:r w:rsidRPr="001605E8">
        <w:rPr>
          <w:rFonts w:ascii="Times New Roman" w:hAnsi="Times New Roman"/>
        </w:rPr>
        <w:t>OLAF</w:t>
      </w:r>
      <w:r>
        <w:rPr>
          <w:rFonts w:ascii="Times New Roman" w:hAnsi="Times New Roman"/>
        </w:rPr>
        <w:t>)</w:t>
      </w:r>
      <w:r w:rsidRPr="00BD5036">
        <w:rPr>
          <w:rFonts w:ascii="Times New Roman" w:hAnsi="Times New Roman"/>
        </w:rPr>
        <w:t>.</w:t>
      </w:r>
    </w:p>
    <w:p w:rsidR="00601081" w:rsidRPr="00BD5036" w:rsidRDefault="00601081" w:rsidP="00601081">
      <w:pPr>
        <w:pStyle w:val="Body"/>
        <w:widowControl w:val="0"/>
        <w:spacing w:before="0"/>
        <w:rPr>
          <w:rStyle w:val="None"/>
          <w:rFonts w:ascii="Times New Roman" w:hAnsi="Times New Roman"/>
        </w:rPr>
      </w:pPr>
      <w:r w:rsidRPr="00BD5036">
        <w:rPr>
          <w:rFonts w:ascii="Times New Roman" w:hAnsi="Times New Roman"/>
        </w:rPr>
        <w:t>The Action Plan to take the Customs Union to the next level that the Commission adopt</w:t>
      </w:r>
      <w:r>
        <w:rPr>
          <w:rFonts w:ascii="Times New Roman" w:hAnsi="Times New Roman"/>
        </w:rPr>
        <w:t>ed on</w:t>
      </w:r>
      <w:r w:rsidRPr="00BD5036">
        <w:rPr>
          <w:rFonts w:ascii="Times New Roman" w:hAnsi="Times New Roman"/>
        </w:rPr>
        <w:t xml:space="preserve"> </w:t>
      </w:r>
      <w:r w:rsidRPr="00F13F8B">
        <w:rPr>
          <w:rFonts w:ascii="Times New Roman" w:hAnsi="Times New Roman"/>
        </w:rPr>
        <w:t>28 September 2020</w:t>
      </w:r>
      <w:r>
        <w:rPr>
          <w:rFonts w:ascii="Times New Roman" w:hAnsi="Times New Roman"/>
        </w:rPr>
        <w:t xml:space="preserve"> </w:t>
      </w:r>
      <w:r w:rsidRPr="00BD5036">
        <w:rPr>
          <w:rFonts w:ascii="Times New Roman" w:hAnsi="Times New Roman"/>
        </w:rPr>
        <w:t>announce</w:t>
      </w:r>
      <w:r>
        <w:rPr>
          <w:rFonts w:ascii="Times New Roman" w:hAnsi="Times New Roman"/>
        </w:rPr>
        <w:t>d</w:t>
      </w:r>
      <w:r w:rsidRPr="00BD5036">
        <w:rPr>
          <w:rFonts w:ascii="Times New Roman" w:hAnsi="Times New Roman"/>
        </w:rPr>
        <w:t xml:space="preserve"> actions to address the customs fraud issues identified in the Parliament’s report, including in the field of e-commerce. The Commission adopted in May 2018 an implementing decision laying down measures for the uniform application of customs controls by establishing common financial risk criteria and standards (FRC).</w:t>
      </w:r>
    </w:p>
    <w:p w:rsidR="00601081" w:rsidRPr="00BD5036" w:rsidRDefault="00601081" w:rsidP="00601081">
      <w:pPr>
        <w:widowControl w:val="0"/>
        <w:spacing w:after="120"/>
        <w:rPr>
          <w:rFonts w:ascii="Times New Roman" w:hAnsi="Times New Roman"/>
          <w:b/>
          <w:szCs w:val="24"/>
          <w:u w:val="single"/>
        </w:rPr>
      </w:pPr>
      <w:r w:rsidRPr="00BD5036">
        <w:rPr>
          <w:rFonts w:ascii="Times New Roman" w:hAnsi="Times New Roman"/>
          <w:b/>
          <w:szCs w:val="24"/>
          <w:u w:val="single"/>
        </w:rPr>
        <w:t>II. Revenue – own resources fraud (paragraphs 19 to 38)</w:t>
      </w:r>
    </w:p>
    <w:p w:rsidR="00601081" w:rsidRPr="00BD5036" w:rsidRDefault="00601081" w:rsidP="00601081">
      <w:pPr>
        <w:pStyle w:val="Body"/>
        <w:widowControl w:val="0"/>
        <w:spacing w:before="0"/>
        <w:rPr>
          <w:rFonts w:ascii="Times New Roman" w:hAnsi="Times New Roman"/>
          <w:b/>
        </w:rPr>
      </w:pPr>
      <w:r w:rsidRPr="00BD5036">
        <w:rPr>
          <w:rFonts w:ascii="Times New Roman" w:hAnsi="Times New Roman"/>
        </w:rPr>
        <w:t xml:space="preserve">The Commission welcomes the Parliament’s positive appreciation of Directive 2017/1371 on the fight against fraud to the Union's financial interests by means of criminal law (PIF Directive) and of measures to tackle </w:t>
      </w:r>
      <w:r w:rsidRPr="00674126">
        <w:rPr>
          <w:rFonts w:ascii="Times New Roman" w:hAnsi="Times New Roman"/>
          <w:shd w:val="clear" w:color="auto" w:fill="FFFFFF"/>
        </w:rPr>
        <w:t>Value Added Tax</w:t>
      </w:r>
      <w:r w:rsidRPr="00674126">
        <w:rPr>
          <w:rFonts w:ascii="Times New Roman" w:hAnsi="Times New Roman"/>
        </w:rPr>
        <w:t xml:space="preserve"> </w:t>
      </w:r>
      <w:r>
        <w:rPr>
          <w:rFonts w:ascii="Times New Roman" w:hAnsi="Times New Roman"/>
        </w:rPr>
        <w:t>(</w:t>
      </w:r>
      <w:r w:rsidRPr="00BD5036">
        <w:rPr>
          <w:rFonts w:ascii="Times New Roman" w:hAnsi="Times New Roman"/>
        </w:rPr>
        <w:t>VAT</w:t>
      </w:r>
      <w:r>
        <w:rPr>
          <w:rFonts w:ascii="Times New Roman" w:hAnsi="Times New Roman"/>
        </w:rPr>
        <w:t>)</w:t>
      </w:r>
      <w:r w:rsidRPr="00BD5036">
        <w:rPr>
          <w:rFonts w:ascii="Times New Roman" w:hAnsi="Times New Roman"/>
        </w:rPr>
        <w:t xml:space="preserve"> fraud. It agrees on </w:t>
      </w:r>
      <w:r w:rsidRPr="00BD5036">
        <w:rPr>
          <w:rFonts w:ascii="Times New Roman" w:hAnsi="Times New Roman"/>
          <w:b/>
        </w:rPr>
        <w:t xml:space="preserve">OLAF’s </w:t>
      </w:r>
      <w:proofErr w:type="gramStart"/>
      <w:r w:rsidRPr="00BD5036">
        <w:rPr>
          <w:rFonts w:ascii="Times New Roman" w:hAnsi="Times New Roman"/>
          <w:b/>
        </w:rPr>
        <w:t>added value</w:t>
      </w:r>
      <w:proofErr w:type="gramEnd"/>
      <w:r w:rsidRPr="00BD5036">
        <w:rPr>
          <w:rFonts w:ascii="Times New Roman" w:hAnsi="Times New Roman"/>
          <w:b/>
        </w:rPr>
        <w:t xml:space="preserve"> in investigating cases of VAT fraud</w:t>
      </w:r>
      <w:r w:rsidRPr="00BD5036">
        <w:rPr>
          <w:rFonts w:ascii="Times New Roman" w:hAnsi="Times New Roman"/>
        </w:rPr>
        <w:t xml:space="preserve"> and shares the Parliament’s views that its competence to investigate such cases is set out by Regulation 883/2013 and should in no way be limited.</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The Commission reassures the Parliament that together with the Member States all necessary measures </w:t>
      </w:r>
      <w:proofErr w:type="gramStart"/>
      <w:r w:rsidRPr="00BD5036">
        <w:rPr>
          <w:rFonts w:ascii="Times New Roman" w:hAnsi="Times New Roman"/>
        </w:rPr>
        <w:t>are taken</w:t>
      </w:r>
      <w:proofErr w:type="gramEnd"/>
      <w:r w:rsidRPr="00BD5036">
        <w:rPr>
          <w:rFonts w:ascii="Times New Roman" w:hAnsi="Times New Roman"/>
        </w:rPr>
        <w:t xml:space="preserve"> to fully comply with the applicable data protection requirements when personal data of economic operators under investigation are processed with use of </w:t>
      </w:r>
      <w:r w:rsidRPr="00BD5036">
        <w:rPr>
          <w:rFonts w:ascii="Times New Roman" w:hAnsi="Times New Roman"/>
          <w:b/>
        </w:rPr>
        <w:t>the new Transaction Network Analysis software (TNA)</w:t>
      </w:r>
      <w:r w:rsidRPr="005346C6">
        <w:rPr>
          <w:rFonts w:ascii="Times New Roman" w:hAnsi="Times New Roman"/>
        </w:rPr>
        <w:t>.</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As regards the Parliament’s call on the Commission to </w:t>
      </w:r>
      <w:r w:rsidRPr="00BD5036">
        <w:rPr>
          <w:rFonts w:ascii="Times New Roman" w:hAnsi="Times New Roman"/>
          <w:b/>
        </w:rPr>
        <w:t xml:space="preserve">report annually on the amounts still to </w:t>
      </w:r>
      <w:proofErr w:type="gramStart"/>
      <w:r w:rsidRPr="00BD5036">
        <w:rPr>
          <w:rFonts w:ascii="Times New Roman" w:hAnsi="Times New Roman"/>
          <w:b/>
        </w:rPr>
        <w:t>be recovered</w:t>
      </w:r>
      <w:proofErr w:type="gramEnd"/>
      <w:r w:rsidRPr="00BD5036">
        <w:rPr>
          <w:rFonts w:ascii="Times New Roman" w:hAnsi="Times New Roman"/>
          <w:b/>
        </w:rPr>
        <w:t xml:space="preserve"> following OLAF’s recommendations</w:t>
      </w:r>
      <w:r w:rsidRPr="00BD5036">
        <w:rPr>
          <w:rFonts w:ascii="Times New Roman" w:hAnsi="Times New Roman"/>
        </w:rPr>
        <w:t>, the Commission is already setting-up a robust reporting system to monitor and report in a structured way the follow-up to financial recommendations issued by OLAF. This will enable it to identify gaps between the amounts recommended, the amounts established for recovery, and those recovered.</w:t>
      </w:r>
    </w:p>
    <w:p w:rsidR="00601081" w:rsidRPr="00BD5036" w:rsidRDefault="00601081" w:rsidP="00601081">
      <w:pPr>
        <w:pStyle w:val="Body"/>
        <w:widowControl w:val="0"/>
        <w:spacing w:before="0"/>
        <w:rPr>
          <w:rStyle w:val="None"/>
          <w:rFonts w:ascii="Times New Roman" w:hAnsi="Times New Roman"/>
        </w:rPr>
      </w:pPr>
      <w:r w:rsidRPr="00BD5036">
        <w:rPr>
          <w:rStyle w:val="None"/>
          <w:rFonts w:ascii="Times New Roman" w:hAnsi="Times New Roman"/>
        </w:rPr>
        <w:t xml:space="preserve">Concerning the Parliament's </w:t>
      </w:r>
      <w:r w:rsidRPr="00BD5036">
        <w:rPr>
          <w:rStyle w:val="None"/>
          <w:rFonts w:ascii="Times New Roman" w:hAnsi="Times New Roman"/>
          <w:b/>
          <w:bCs/>
        </w:rPr>
        <w:t>call on the Commission to investigate why some Member States do not report fraud cases</w:t>
      </w:r>
      <w:r w:rsidRPr="00BD5036">
        <w:rPr>
          <w:rStyle w:val="None"/>
          <w:rFonts w:ascii="Times New Roman" w:hAnsi="Times New Roman"/>
        </w:rPr>
        <w:t>, the Commission supervises the own resources' system and performs risk-based inspection programmes to ensure that the Member States properly collect traditional own-resources and in a timely manner transfer them to the EU budget.</w:t>
      </w:r>
    </w:p>
    <w:p w:rsidR="00601081" w:rsidRPr="00BD5036" w:rsidRDefault="00601081" w:rsidP="00601081">
      <w:pPr>
        <w:widowControl w:val="0"/>
        <w:spacing w:after="120"/>
        <w:rPr>
          <w:rFonts w:ascii="Times New Roman" w:hAnsi="Times New Roman"/>
          <w:b/>
          <w:szCs w:val="24"/>
          <w:u w:val="single"/>
        </w:rPr>
      </w:pPr>
      <w:r w:rsidRPr="00BD5036">
        <w:rPr>
          <w:rFonts w:ascii="Times New Roman" w:hAnsi="Times New Roman"/>
          <w:b/>
          <w:szCs w:val="24"/>
          <w:u w:val="single"/>
        </w:rPr>
        <w:t>III. Expenditure (paragraph 39 to 47)</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Regarding the Parliament’s </w:t>
      </w:r>
      <w:r w:rsidRPr="00BD5036">
        <w:rPr>
          <w:rFonts w:ascii="Times New Roman" w:hAnsi="Times New Roman"/>
          <w:b/>
          <w:szCs w:val="24"/>
        </w:rPr>
        <w:t>concern that financial amounts involved by fraudulent irregularities in 2018 increased by 198%</w:t>
      </w:r>
      <w:r w:rsidRPr="00BD5036">
        <w:rPr>
          <w:rFonts w:ascii="Times New Roman" w:hAnsi="Times New Roman"/>
          <w:szCs w:val="24"/>
        </w:rPr>
        <w:t>, the considerable increase was due to the reporting of two multi-million Euro cases concerning Cohesion policy. Notably, in the two cases in question</w:t>
      </w:r>
      <w:r>
        <w:rPr>
          <w:rFonts w:ascii="Times New Roman" w:hAnsi="Times New Roman"/>
          <w:szCs w:val="24"/>
        </w:rPr>
        <w:t>, the</w:t>
      </w:r>
      <w:r w:rsidRPr="00BD5036">
        <w:rPr>
          <w:rFonts w:ascii="Times New Roman" w:hAnsi="Times New Roman"/>
          <w:szCs w:val="24"/>
        </w:rPr>
        <w:t xml:space="preserve"> fraud </w:t>
      </w:r>
      <w:proofErr w:type="gramStart"/>
      <w:r w:rsidRPr="00BD5036">
        <w:rPr>
          <w:rFonts w:ascii="Times New Roman" w:hAnsi="Times New Roman"/>
          <w:szCs w:val="24"/>
        </w:rPr>
        <w:t>was detected</w:t>
      </w:r>
      <w:proofErr w:type="gramEnd"/>
      <w:r w:rsidRPr="00BD5036">
        <w:rPr>
          <w:rFonts w:ascii="Times New Roman" w:hAnsi="Times New Roman"/>
          <w:szCs w:val="24"/>
        </w:rPr>
        <w:t xml:space="preserve"> before payments and therefore there were</w:t>
      </w:r>
      <w:r>
        <w:rPr>
          <w:rFonts w:ascii="Times New Roman" w:hAnsi="Times New Roman"/>
          <w:szCs w:val="24"/>
        </w:rPr>
        <w:t xml:space="preserve"> no losses to the EU budget.</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confirms that it </w:t>
      </w:r>
      <w:r w:rsidRPr="00BD5036">
        <w:rPr>
          <w:rFonts w:ascii="Times New Roman" w:hAnsi="Times New Roman"/>
          <w:b/>
          <w:szCs w:val="24"/>
        </w:rPr>
        <w:t>will continue supporting Member States in their irregularity reporting</w:t>
      </w:r>
      <w:r>
        <w:rPr>
          <w:rFonts w:ascii="Times New Roman" w:hAnsi="Times New Roman"/>
          <w:szCs w:val="24"/>
        </w:rPr>
        <w:t>.</w:t>
      </w:r>
    </w:p>
    <w:p w:rsidR="00601081" w:rsidRPr="00BD5036" w:rsidRDefault="00601081" w:rsidP="00601081">
      <w:pPr>
        <w:widowControl w:val="0"/>
        <w:spacing w:after="120"/>
        <w:rPr>
          <w:rFonts w:ascii="Times New Roman" w:hAnsi="Times New Roman"/>
          <w:b/>
          <w:szCs w:val="24"/>
          <w:u w:val="single"/>
        </w:rPr>
      </w:pPr>
      <w:r w:rsidRPr="00BD5036">
        <w:rPr>
          <w:rFonts w:ascii="Times New Roman" w:hAnsi="Times New Roman"/>
          <w:b/>
          <w:szCs w:val="24"/>
          <w:u w:val="single"/>
        </w:rPr>
        <w:lastRenderedPageBreak/>
        <w:t>IV. The Commission Anti-Fraud Strategy – OLAF (paragraphs 48 to 59)</w:t>
      </w:r>
    </w:p>
    <w:p w:rsidR="00601081" w:rsidRPr="00BD5036" w:rsidRDefault="00601081" w:rsidP="00601081">
      <w:pPr>
        <w:pStyle w:val="Body"/>
        <w:widowControl w:val="0"/>
        <w:spacing w:before="0"/>
        <w:rPr>
          <w:rFonts w:ascii="Times New Roman" w:hAnsi="Times New Roman"/>
          <w:bCs/>
        </w:rPr>
      </w:pPr>
      <w:r w:rsidRPr="00BD5036">
        <w:rPr>
          <w:rFonts w:ascii="Times New Roman" w:hAnsi="Times New Roman"/>
          <w:bCs/>
        </w:rPr>
        <w:t xml:space="preserve">The Commission agrees with the Parliament in </w:t>
      </w:r>
      <w:r w:rsidRPr="00BD5036">
        <w:rPr>
          <w:rFonts w:ascii="Times New Roman" w:hAnsi="Times New Roman"/>
          <w:b/>
          <w:bCs/>
        </w:rPr>
        <w:t>welcoming OLAF’s investigative activities aimed at protecting the EU budget</w:t>
      </w:r>
      <w:r w:rsidRPr="00BD5036">
        <w:rPr>
          <w:rFonts w:ascii="Times New Roman" w:hAnsi="Times New Roman"/>
          <w:bCs/>
        </w:rPr>
        <w:t>. It also acknowledges the role of Anti-Fraud Coordination Services (AFCOS) in the fight against fraud, although their role in fostering cooperation to tackle customs fraud is rather limited.</w:t>
      </w:r>
    </w:p>
    <w:p w:rsidR="00601081" w:rsidRPr="00BD5036" w:rsidRDefault="00601081" w:rsidP="00601081">
      <w:pPr>
        <w:pStyle w:val="Body"/>
        <w:widowControl w:val="0"/>
        <w:spacing w:before="0"/>
        <w:rPr>
          <w:rFonts w:ascii="Times New Roman" w:hAnsi="Times New Roman"/>
          <w:bCs/>
        </w:rPr>
      </w:pPr>
      <w:r w:rsidRPr="00BD5036">
        <w:rPr>
          <w:rFonts w:ascii="Times New Roman" w:hAnsi="Times New Roman"/>
          <w:bCs/>
        </w:rPr>
        <w:t xml:space="preserve">As regards the fact that the Commission did not include a </w:t>
      </w:r>
      <w:r w:rsidRPr="00BD5036">
        <w:rPr>
          <w:rFonts w:ascii="Times New Roman" w:hAnsi="Times New Roman"/>
          <w:b/>
          <w:bCs/>
        </w:rPr>
        <w:t>proposal for mutual administrative assistance on the expenditure side in its work programme</w:t>
      </w:r>
      <w:r w:rsidRPr="00BD5036">
        <w:rPr>
          <w:rFonts w:ascii="Times New Roman" w:hAnsi="Times New Roman"/>
          <w:bCs/>
        </w:rPr>
        <w:t xml:space="preserve">, its proposal to amend Regulation 883/2013 on OLAF’s investigations includes provisions to this effect. These aim to strengthen OLAF’s ability to coordinate action by </w:t>
      </w:r>
      <w:r>
        <w:rPr>
          <w:rFonts w:ascii="Times New Roman" w:hAnsi="Times New Roman"/>
          <w:bCs/>
        </w:rPr>
        <w:t xml:space="preserve">the </w:t>
      </w:r>
      <w:r w:rsidRPr="00BD5036">
        <w:rPr>
          <w:rFonts w:ascii="Times New Roman" w:hAnsi="Times New Roman"/>
          <w:bCs/>
        </w:rPr>
        <w:t>Member States in the fight against fraud and to reinforce the role of the Member States’ AFCOS. These provisions are reflected in the agreement in principle reached on 26 June 2020 and, if confirmed by the co-legislators, would apply in the expenditure and revenue side.</w:t>
      </w:r>
    </w:p>
    <w:p w:rsidR="00601081" w:rsidRPr="00BD5036" w:rsidRDefault="00601081" w:rsidP="00601081">
      <w:pPr>
        <w:pStyle w:val="Body"/>
        <w:widowControl w:val="0"/>
        <w:spacing w:before="0"/>
        <w:rPr>
          <w:rFonts w:ascii="Times New Roman" w:hAnsi="Times New Roman"/>
          <w:bCs/>
        </w:rPr>
      </w:pPr>
      <w:r w:rsidRPr="00BD5036">
        <w:rPr>
          <w:rFonts w:ascii="Times New Roman" w:hAnsi="Times New Roman"/>
          <w:bCs/>
        </w:rPr>
        <w:t xml:space="preserve">The Commission agrees with the Parliament on the </w:t>
      </w:r>
      <w:r w:rsidRPr="00BD5036">
        <w:rPr>
          <w:rFonts w:ascii="Times New Roman" w:hAnsi="Times New Roman"/>
          <w:b/>
          <w:bCs/>
        </w:rPr>
        <w:t>importance that all Member States fully transpose the PIF Directive</w:t>
      </w:r>
      <w:r w:rsidRPr="00BD5036">
        <w:rPr>
          <w:rFonts w:ascii="Times New Roman" w:hAnsi="Times New Roman"/>
          <w:bCs/>
        </w:rPr>
        <w:t xml:space="preserve"> as soon as possible. The Commission is closely monitoring the process and supporting Member States to ensure complete and timely transposition. Infringement procedures </w:t>
      </w:r>
      <w:proofErr w:type="gramStart"/>
      <w:r w:rsidRPr="00BD5036">
        <w:rPr>
          <w:rFonts w:ascii="Times New Roman" w:hAnsi="Times New Roman"/>
          <w:bCs/>
        </w:rPr>
        <w:t>have been launched</w:t>
      </w:r>
      <w:proofErr w:type="gramEnd"/>
      <w:r w:rsidRPr="00BD5036">
        <w:rPr>
          <w:rFonts w:ascii="Times New Roman" w:hAnsi="Times New Roman"/>
          <w:bCs/>
        </w:rPr>
        <w:t xml:space="preserve"> where necessary.</w:t>
      </w:r>
      <w:r w:rsidRPr="00BD5036">
        <w:rPr>
          <w:rFonts w:ascii="Times New Roman" w:hAnsi="Times New Roman"/>
          <w:bCs/>
          <w:vertAlign w:val="superscript"/>
        </w:rPr>
        <w:footnoteReference w:id="2"/>
      </w:r>
      <w:r w:rsidRPr="00BD5036">
        <w:rPr>
          <w:rFonts w:ascii="Times New Roman" w:hAnsi="Times New Roman"/>
          <w:bCs/>
        </w:rPr>
        <w:t xml:space="preserve"> </w:t>
      </w:r>
    </w:p>
    <w:p w:rsidR="00601081" w:rsidRPr="00BD5036" w:rsidRDefault="00601081" w:rsidP="00601081">
      <w:pPr>
        <w:pStyle w:val="Body"/>
        <w:widowControl w:val="0"/>
        <w:spacing w:before="0"/>
        <w:rPr>
          <w:rFonts w:ascii="Times New Roman" w:hAnsi="Times New Roman"/>
          <w:bCs/>
        </w:rPr>
      </w:pPr>
      <w:r w:rsidRPr="00BD5036">
        <w:rPr>
          <w:rFonts w:ascii="Times New Roman" w:hAnsi="Times New Roman"/>
          <w:bCs/>
        </w:rPr>
        <w:t xml:space="preserve">Regarding the fact that not all Member States have adopted </w:t>
      </w:r>
      <w:r w:rsidRPr="00BD5036">
        <w:rPr>
          <w:rFonts w:ascii="Times New Roman" w:hAnsi="Times New Roman"/>
          <w:b/>
          <w:bCs/>
        </w:rPr>
        <w:t>National Anti-Fraud Strategies (NAFS)</w:t>
      </w:r>
      <w:r>
        <w:rPr>
          <w:rFonts w:ascii="Times New Roman" w:hAnsi="Times New Roman"/>
          <w:bCs/>
        </w:rPr>
        <w:t xml:space="preserve"> and</w:t>
      </w:r>
      <w:r w:rsidRPr="00BD5036">
        <w:rPr>
          <w:rFonts w:ascii="Times New Roman" w:hAnsi="Times New Roman"/>
          <w:bCs/>
        </w:rPr>
        <w:t xml:space="preserve"> despite the fact that Member States have no legal obligation to do so</w:t>
      </w:r>
      <w:r>
        <w:rPr>
          <w:rFonts w:ascii="Times New Roman" w:hAnsi="Times New Roman"/>
          <w:bCs/>
        </w:rPr>
        <w:t>,</w:t>
      </w:r>
      <w:r w:rsidRPr="00BD5036">
        <w:rPr>
          <w:rFonts w:ascii="Times New Roman" w:hAnsi="Times New Roman"/>
          <w:bCs/>
        </w:rPr>
        <w:t xml:space="preserve"> the Commission encourages them to develop such anti-fraud strategies and supports them in the drafting process. </w:t>
      </w:r>
      <w:r>
        <w:rPr>
          <w:rFonts w:ascii="Times New Roman" w:hAnsi="Times New Roman"/>
          <w:bCs/>
        </w:rPr>
        <w:t>As</w:t>
      </w:r>
      <w:r w:rsidRPr="00BD5036">
        <w:rPr>
          <w:rFonts w:ascii="Times New Roman" w:hAnsi="Times New Roman"/>
          <w:bCs/>
        </w:rPr>
        <w:t xml:space="preserve"> the adoption of NAFS is not mandatory, their adoption cannot become a pre-condition to obtain EU funds as requested by the Parliament.</w:t>
      </w:r>
    </w:p>
    <w:p w:rsidR="00601081" w:rsidRPr="00BD5036" w:rsidRDefault="00601081" w:rsidP="00601081">
      <w:pPr>
        <w:widowControl w:val="0"/>
        <w:spacing w:after="120"/>
        <w:rPr>
          <w:rFonts w:ascii="Times New Roman" w:hAnsi="Times New Roman"/>
          <w:b/>
          <w:i/>
          <w:u w:val="single"/>
        </w:rPr>
      </w:pPr>
      <w:r w:rsidRPr="00BD5036">
        <w:rPr>
          <w:rFonts w:ascii="Times New Roman" w:hAnsi="Times New Roman"/>
          <w:b/>
          <w:szCs w:val="24"/>
          <w:u w:val="single"/>
        </w:rPr>
        <w:t xml:space="preserve">V. </w:t>
      </w:r>
      <w:r w:rsidRPr="00BD5036">
        <w:rPr>
          <w:rFonts w:ascii="Times New Roman" w:hAnsi="Times New Roman"/>
          <w:b/>
          <w:u w:val="single"/>
        </w:rPr>
        <w:t xml:space="preserve">EPPO establishment process </w:t>
      </w:r>
      <w:r w:rsidRPr="00BD5036">
        <w:rPr>
          <w:rFonts w:ascii="Times New Roman" w:hAnsi="Times New Roman"/>
          <w:b/>
          <w:szCs w:val="24"/>
          <w:u w:val="single"/>
        </w:rPr>
        <w:t>(paragraphs 60 to 67)</w:t>
      </w:r>
    </w:p>
    <w:p w:rsidR="00601081" w:rsidRPr="00BD5036" w:rsidRDefault="00601081" w:rsidP="00601081">
      <w:pPr>
        <w:pStyle w:val="Body"/>
        <w:widowControl w:val="0"/>
        <w:spacing w:before="0"/>
        <w:rPr>
          <w:rFonts w:ascii="Times New Roman" w:hAnsi="Times New Roman"/>
        </w:rPr>
      </w:pPr>
      <w:proofErr w:type="gramStart"/>
      <w:r w:rsidRPr="00BD5036">
        <w:rPr>
          <w:rFonts w:ascii="Times New Roman" w:hAnsi="Times New Roman"/>
        </w:rPr>
        <w:t xml:space="preserve">The Commission agrees with the Parliament on the importance of the EPPO in the fight against fraud and will </w:t>
      </w:r>
      <w:r w:rsidRPr="00BD5036">
        <w:rPr>
          <w:rFonts w:ascii="Times New Roman" w:hAnsi="Times New Roman"/>
          <w:b/>
        </w:rPr>
        <w:t>continue to encourage non-participating Member States to join it</w:t>
      </w:r>
      <w:r w:rsidRPr="00BD5036">
        <w:rPr>
          <w:rFonts w:ascii="Times New Roman" w:hAnsi="Times New Roman"/>
        </w:rPr>
        <w:t>.</w:t>
      </w:r>
      <w:proofErr w:type="gramEnd"/>
      <w:r w:rsidRPr="00BD5036">
        <w:rPr>
          <w:rFonts w:ascii="Times New Roman" w:hAnsi="Times New Roman"/>
        </w:rPr>
        <w:t xml:space="preserve"> It also recalls that all Member States, including those who do not participate in the EPPO, are under the obligation to protect the financial interests of the Union in an effective and dissuasive manner.</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As regards the Parliament’s call to </w:t>
      </w:r>
      <w:r w:rsidRPr="00BD5036">
        <w:rPr>
          <w:rFonts w:ascii="Times New Roman" w:hAnsi="Times New Roman"/>
          <w:b/>
        </w:rPr>
        <w:t>provide the EPPO with adequate resources to perform its mandate</w:t>
      </w:r>
      <w:r w:rsidRPr="00BD5036">
        <w:rPr>
          <w:rFonts w:ascii="Times New Roman" w:hAnsi="Times New Roman"/>
        </w:rPr>
        <w:t>, in June 2020 in its draft budget for 2021 the Commission proposed to considerably reinforce the budget of the EPPO by EUR 24,7 million (</w:t>
      </w:r>
      <w:r>
        <w:rPr>
          <w:rFonts w:ascii="Times New Roman" w:hAnsi="Times New Roman"/>
        </w:rPr>
        <w:t xml:space="preserve">EUR </w:t>
      </w:r>
      <w:r w:rsidRPr="00BD5036">
        <w:rPr>
          <w:rFonts w:ascii="Times New Roman" w:hAnsi="Times New Roman"/>
        </w:rPr>
        <w:t>37,7 million in total for 2021). This will enable important staffing increases and notably increase the funding available for European delegated prosecutors. It will also cover crucial IT an</w:t>
      </w:r>
      <w:r>
        <w:rPr>
          <w:rFonts w:ascii="Times New Roman" w:hAnsi="Times New Roman"/>
        </w:rPr>
        <w:t>d security related expenditure.</w:t>
      </w:r>
    </w:p>
    <w:p w:rsidR="00601081" w:rsidRPr="00BD5036" w:rsidRDefault="00601081" w:rsidP="00601081">
      <w:pPr>
        <w:pStyle w:val="Body"/>
        <w:widowControl w:val="0"/>
        <w:spacing w:before="0"/>
        <w:rPr>
          <w:rFonts w:ascii="Times New Roman" w:hAnsi="Times New Roman"/>
        </w:rPr>
      </w:pPr>
      <w:r w:rsidRPr="00BD5036">
        <w:rPr>
          <w:rFonts w:ascii="Times New Roman" w:hAnsi="Times New Roman"/>
        </w:rPr>
        <w:t xml:space="preserve">The Commission agrees with the Parliament that </w:t>
      </w:r>
      <w:r w:rsidRPr="00BD5036">
        <w:rPr>
          <w:rFonts w:ascii="Times New Roman" w:hAnsi="Times New Roman"/>
          <w:b/>
        </w:rPr>
        <w:t>OLAF should remain a strong and fully functioning body after the establishment of the EPPO</w:t>
      </w:r>
      <w:r w:rsidRPr="00BD5036">
        <w:rPr>
          <w:rFonts w:ascii="Times New Roman" w:hAnsi="Times New Roman"/>
        </w:rPr>
        <w:t xml:space="preserve">. It shares the Parliament’s views that cooperation between the two bodies </w:t>
      </w:r>
      <w:proofErr w:type="gramStart"/>
      <w:r w:rsidRPr="00BD5036">
        <w:rPr>
          <w:rFonts w:ascii="Times New Roman" w:hAnsi="Times New Roman"/>
        </w:rPr>
        <w:t>should be based</w:t>
      </w:r>
      <w:proofErr w:type="gramEnd"/>
      <w:r w:rsidRPr="00BD5036">
        <w:rPr>
          <w:rFonts w:ascii="Times New Roman" w:hAnsi="Times New Roman"/>
        </w:rPr>
        <w:t xml:space="preserve"> on complementarity, efficient exchange of information and mutual support to avoid gaps in the protection of the EU’s financial interests. The Commission’s proposal to amend OLAF Regulation 883/2013 adapts OLAF’s legal framework to the establishment of the EPPO. </w:t>
      </w:r>
      <w:r w:rsidRPr="00A91AC0">
        <w:rPr>
          <w:rFonts w:ascii="Times New Roman" w:hAnsi="Times New Roman"/>
        </w:rPr>
        <w:t xml:space="preserve">An agreement in principle </w:t>
      </w:r>
      <w:proofErr w:type="gramStart"/>
      <w:r w:rsidRPr="00A91AC0">
        <w:rPr>
          <w:rFonts w:ascii="Times New Roman" w:hAnsi="Times New Roman"/>
        </w:rPr>
        <w:t>was reached</w:t>
      </w:r>
      <w:proofErr w:type="gramEnd"/>
      <w:r w:rsidRPr="00A91AC0">
        <w:rPr>
          <w:rFonts w:ascii="Times New Roman" w:hAnsi="Times New Roman"/>
        </w:rPr>
        <w:t xml:space="preserve"> at the </w:t>
      </w:r>
      <w:proofErr w:type="spellStart"/>
      <w:r w:rsidRPr="00A91AC0">
        <w:rPr>
          <w:rFonts w:ascii="Times New Roman" w:hAnsi="Times New Roman"/>
        </w:rPr>
        <w:t>trilogue</w:t>
      </w:r>
      <w:proofErr w:type="spellEnd"/>
      <w:r w:rsidRPr="00A91AC0">
        <w:rPr>
          <w:rFonts w:ascii="Times New Roman" w:hAnsi="Times New Roman"/>
        </w:rPr>
        <w:t xml:space="preserve"> of 26 June 2020, which remains to be confirmed by the co-legislators</w:t>
      </w:r>
      <w:r w:rsidRPr="00B06CAE">
        <w:rPr>
          <w:rFonts w:ascii="Times New Roman" w:hAnsi="Times New Roman"/>
        </w:rPr>
        <w:t>.</w:t>
      </w:r>
    </w:p>
    <w:p w:rsidR="00601081" w:rsidRPr="00BD5036" w:rsidRDefault="00601081" w:rsidP="00601081">
      <w:pPr>
        <w:pStyle w:val="Body"/>
        <w:spacing w:before="0"/>
        <w:rPr>
          <w:rFonts w:ascii="Times New Roman" w:hAnsi="Times New Roman"/>
        </w:rPr>
      </w:pPr>
      <w:r w:rsidRPr="00BD5036">
        <w:rPr>
          <w:rFonts w:ascii="Times New Roman" w:hAnsi="Times New Roman"/>
        </w:rPr>
        <w:t xml:space="preserve">The Commission agrees with the Parliament that </w:t>
      </w:r>
      <w:r w:rsidRPr="00BD5036">
        <w:rPr>
          <w:rFonts w:ascii="Times New Roman" w:hAnsi="Times New Roman"/>
          <w:b/>
        </w:rPr>
        <w:t>OLAF should have adequate resources for fulfilling its mandate</w:t>
      </w:r>
      <w:r>
        <w:rPr>
          <w:rFonts w:ascii="Times New Roman" w:hAnsi="Times New Roman"/>
        </w:rPr>
        <w:t>.</w:t>
      </w:r>
    </w:p>
    <w:p w:rsidR="00601081" w:rsidRPr="00BD5036" w:rsidRDefault="00601081" w:rsidP="00601081">
      <w:pPr>
        <w:widowControl w:val="0"/>
        <w:spacing w:after="120"/>
        <w:rPr>
          <w:rFonts w:ascii="Times New Roman" w:hAnsi="Times New Roman"/>
          <w:b/>
          <w:szCs w:val="24"/>
          <w:u w:val="single"/>
        </w:rPr>
      </w:pPr>
      <w:r w:rsidRPr="00BD5036">
        <w:rPr>
          <w:rFonts w:ascii="Times New Roman" w:hAnsi="Times New Roman"/>
          <w:b/>
          <w:szCs w:val="24"/>
          <w:u w:val="single"/>
        </w:rPr>
        <w:lastRenderedPageBreak/>
        <w:t>VI. Areas for improvement (paragraphs 68 to 88)</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agrees with the Parliament on the importance of </w:t>
      </w:r>
      <w:r w:rsidRPr="00BD5036">
        <w:rPr>
          <w:rFonts w:ascii="Times New Roman" w:hAnsi="Times New Roman"/>
          <w:b/>
          <w:szCs w:val="24"/>
        </w:rPr>
        <w:t>improving fraud risk assessment and management</w:t>
      </w:r>
      <w:r w:rsidRPr="00BD5036">
        <w:rPr>
          <w:rFonts w:ascii="Times New Roman" w:hAnsi="Times New Roman"/>
          <w:szCs w:val="24"/>
        </w:rPr>
        <w:t>. To this end, it adopted a new Commission Ant</w:t>
      </w:r>
      <w:r>
        <w:rPr>
          <w:rFonts w:ascii="Times New Roman" w:hAnsi="Times New Roman"/>
          <w:szCs w:val="24"/>
        </w:rPr>
        <w:t>i-Fraud Strategy in April 2019.</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As regards the fight against corruption, the Commission does not deem it necessary to </w:t>
      </w:r>
      <w:r w:rsidRPr="00BD5036">
        <w:rPr>
          <w:rFonts w:ascii="Times New Roman" w:hAnsi="Times New Roman"/>
          <w:b/>
          <w:szCs w:val="24"/>
        </w:rPr>
        <w:t>resume the publication of annual anti-corruption reports and to develop an anti-corruption index to rank Member States</w:t>
      </w:r>
      <w:r w:rsidRPr="00BD5036">
        <w:rPr>
          <w:rFonts w:ascii="Times New Roman" w:hAnsi="Times New Roman"/>
          <w:szCs w:val="24"/>
        </w:rPr>
        <w:t xml:space="preserve">. The Commission has been monitoring anti-corruption efforts by Member States in the framework of the European Semester of economic governance. On this basis, the Council adopts every year a series of country-specific recommendations, including in this area. These prompt Member States to step up their efforts in case of identified deficiencies. Furthermore, as announced in the Commission Communication of 17 July 2019 and its Work Programme for 2020, the Commission will start issuing Rule of Law reports covering all Member States. The fight against corruption is one of the four pillars that </w:t>
      </w:r>
      <w:proofErr w:type="gramStart"/>
      <w:r w:rsidRPr="00BD5036">
        <w:rPr>
          <w:rFonts w:ascii="Times New Roman" w:hAnsi="Times New Roman"/>
          <w:szCs w:val="24"/>
        </w:rPr>
        <w:t>wil</w:t>
      </w:r>
      <w:r>
        <w:rPr>
          <w:rFonts w:ascii="Times New Roman" w:hAnsi="Times New Roman"/>
          <w:szCs w:val="24"/>
        </w:rPr>
        <w:t>l be covered</w:t>
      </w:r>
      <w:proofErr w:type="gramEnd"/>
      <w:r>
        <w:rPr>
          <w:rFonts w:ascii="Times New Roman" w:hAnsi="Times New Roman"/>
          <w:szCs w:val="24"/>
        </w:rPr>
        <w:t xml:space="preserve"> by this reporting.</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As regards the Parliament’s call to consider the </w:t>
      </w:r>
      <w:r w:rsidRPr="00BD5036">
        <w:rPr>
          <w:rFonts w:ascii="Times New Roman" w:hAnsi="Times New Roman"/>
          <w:b/>
          <w:szCs w:val="24"/>
        </w:rPr>
        <w:t xml:space="preserve">establishment of a network for preventing corruption </w:t>
      </w:r>
      <w:r w:rsidRPr="00BD5036">
        <w:rPr>
          <w:rFonts w:ascii="Times New Roman" w:hAnsi="Times New Roman"/>
          <w:szCs w:val="24"/>
        </w:rPr>
        <w:t>in the EU, the Commission considers that relevant networks on corruption prevention authorities already exist at the European level</w:t>
      </w:r>
      <w:r w:rsidRPr="00BD5036">
        <w:rPr>
          <w:rFonts w:ascii="Times New Roman" w:hAnsi="Times New Roman"/>
          <w:vertAlign w:val="superscript"/>
        </w:rPr>
        <w:footnoteReference w:id="3"/>
      </w:r>
      <w:r w:rsidRPr="00BD5036">
        <w:rPr>
          <w:rFonts w:ascii="Times New Roman" w:hAnsi="Times New Roman"/>
          <w:szCs w:val="24"/>
        </w:rPr>
        <w:t>. Notably, the Commission already works with Member States’ relevant authorities via a Network of Corruption Contact Points and a newly established Network</w:t>
      </w:r>
      <w:r>
        <w:rPr>
          <w:rFonts w:ascii="Times New Roman" w:hAnsi="Times New Roman"/>
          <w:szCs w:val="24"/>
        </w:rPr>
        <w:t xml:space="preserve"> of Rule of Law Contact Points.</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As regards </w:t>
      </w:r>
      <w:r w:rsidRPr="00BD5036">
        <w:rPr>
          <w:rFonts w:ascii="Times New Roman" w:hAnsi="Times New Roman"/>
          <w:b/>
          <w:szCs w:val="24"/>
        </w:rPr>
        <w:t>preventing corruption within the EU institutions</w:t>
      </w:r>
      <w:r w:rsidRPr="00BD5036">
        <w:rPr>
          <w:rFonts w:ascii="Times New Roman" w:hAnsi="Times New Roman"/>
          <w:szCs w:val="24"/>
        </w:rPr>
        <w:t xml:space="preserve">, the Commission considers that the 2018 Financial Regulation and the Staff Regulations provide a solid framework to discourage outside entities from unduly influencing EU policy making through illicit means. As regards the avoidance of possible conflicts of interest, the Commission developed a systemic approach to address this matter by establishing rules and procedures to avoid possible conflicts of interest. In 2014, the Staff Regulations </w:t>
      </w:r>
      <w:proofErr w:type="gramStart"/>
      <w:r w:rsidRPr="00BD5036">
        <w:rPr>
          <w:rFonts w:ascii="Times New Roman" w:hAnsi="Times New Roman"/>
          <w:szCs w:val="24"/>
        </w:rPr>
        <w:t>were further reinforced</w:t>
      </w:r>
      <w:proofErr w:type="gramEnd"/>
      <w:r w:rsidRPr="00BD5036">
        <w:rPr>
          <w:rFonts w:ascii="Times New Roman" w:hAnsi="Times New Roman"/>
          <w:szCs w:val="24"/>
        </w:rPr>
        <w:t xml:space="preserve"> and in June 2018, the Commission adopted a new Decision on outside and occupational activities after leaving the service. Whenever needed, the Commission revises its implementing rules to integrate as far as possible the lessons learnt from experience, as well as suggestions and recommendations from other institutions.</w:t>
      </w:r>
    </w:p>
    <w:p w:rsidR="00601081" w:rsidRPr="00BD5036" w:rsidRDefault="00601081" w:rsidP="00601081">
      <w:pPr>
        <w:widowControl w:val="0"/>
        <w:spacing w:after="120"/>
        <w:rPr>
          <w:rFonts w:ascii="Times New Roman" w:hAnsi="Times New Roman"/>
          <w:szCs w:val="24"/>
        </w:rPr>
      </w:pPr>
      <w:proofErr w:type="gramStart"/>
      <w:r w:rsidRPr="00BD5036">
        <w:rPr>
          <w:rFonts w:ascii="Times New Roman" w:hAnsi="Times New Roman"/>
          <w:szCs w:val="24"/>
        </w:rPr>
        <w:t xml:space="preserve">Moreover, the Commission has been </w:t>
      </w:r>
      <w:r w:rsidRPr="00BD5036">
        <w:rPr>
          <w:rFonts w:ascii="Times New Roman" w:hAnsi="Times New Roman"/>
          <w:b/>
          <w:szCs w:val="24"/>
        </w:rPr>
        <w:t>providing Member States with guidance on the management of conflict of interests</w:t>
      </w:r>
      <w:r w:rsidRPr="00BD5036">
        <w:rPr>
          <w:rFonts w:ascii="Times New Roman" w:hAnsi="Times New Roman"/>
          <w:szCs w:val="24"/>
        </w:rPr>
        <w:t xml:space="preserve"> and will continue to do so.</w:t>
      </w:r>
      <w:proofErr w:type="gramEnd"/>
      <w:r w:rsidRPr="00BD5036">
        <w:rPr>
          <w:rFonts w:ascii="Times New Roman" w:hAnsi="Times New Roman"/>
          <w:szCs w:val="24"/>
        </w:rPr>
        <w:t xml:space="preserve"> In various </w:t>
      </w:r>
      <w:r w:rsidRPr="00BD5036">
        <w:rPr>
          <w:rFonts w:ascii="Times New Roman" w:hAnsi="Times New Roman"/>
          <w:i/>
          <w:szCs w:val="24"/>
        </w:rPr>
        <w:t>fora</w:t>
      </w:r>
      <w:r w:rsidRPr="00BD5036">
        <w:rPr>
          <w:rFonts w:ascii="Times New Roman" w:hAnsi="Times New Roman"/>
          <w:szCs w:val="24"/>
        </w:rPr>
        <w:t xml:space="preserve">, notably the Advisory Committee for the Coordination of Fraud Prevention, the Commission and the Member States have worked together to identify and promote good practices in this respect. Moreover, the 2018 revised Financial Regulation, including its Article 61, is directly applicable in the Member States. Consequently, their obligation to prevent and address conflict of interest, as set out in this Article, does not depend on the adoption of national implementing measures. The Commission has drafted a new guidance note based on Article 61 of the revised Financial Regulation on which the Member States </w:t>
      </w:r>
      <w:proofErr w:type="gramStart"/>
      <w:r w:rsidRPr="00BD5036">
        <w:rPr>
          <w:rFonts w:ascii="Times New Roman" w:hAnsi="Times New Roman"/>
          <w:szCs w:val="24"/>
        </w:rPr>
        <w:t>were consulted</w:t>
      </w:r>
      <w:proofErr w:type="gramEnd"/>
      <w:r w:rsidRPr="00BD5036">
        <w:rPr>
          <w:rFonts w:ascii="Times New Roman" w:hAnsi="Times New Roman"/>
          <w:szCs w:val="24"/>
        </w:rPr>
        <w:t>. The Commission transmitted the new guidance note to the European Parliament’s Committee on Budgetary Control on 4 August 2020.</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welcomes the Parliament’s call on the Member States and the Council to </w:t>
      </w:r>
      <w:r w:rsidRPr="00BD5036">
        <w:rPr>
          <w:rFonts w:ascii="Times New Roman" w:hAnsi="Times New Roman"/>
          <w:b/>
          <w:szCs w:val="24"/>
        </w:rPr>
        <w:t xml:space="preserve">provide the Commission with access to </w:t>
      </w:r>
      <w:proofErr w:type="spellStart"/>
      <w:r w:rsidRPr="00BD5036">
        <w:rPr>
          <w:rFonts w:ascii="Times New Roman" w:hAnsi="Times New Roman"/>
          <w:b/>
          <w:szCs w:val="24"/>
        </w:rPr>
        <w:t>Eurofisc</w:t>
      </w:r>
      <w:proofErr w:type="spellEnd"/>
      <w:r w:rsidRPr="00BD5036">
        <w:rPr>
          <w:rFonts w:ascii="Times New Roman" w:hAnsi="Times New Roman"/>
          <w:b/>
          <w:szCs w:val="24"/>
        </w:rPr>
        <w:t xml:space="preserve"> and to exchange information among them</w:t>
      </w:r>
      <w:r w:rsidRPr="00BD5036">
        <w:rPr>
          <w:rFonts w:ascii="Times New Roman" w:hAnsi="Times New Roman"/>
          <w:szCs w:val="24"/>
        </w:rPr>
        <w:t xml:space="preserve">. The Commission wishes to reassure the Parliament that it is working closely with </w:t>
      </w:r>
      <w:r w:rsidRPr="00BD5036">
        <w:rPr>
          <w:rFonts w:ascii="Times New Roman" w:hAnsi="Times New Roman"/>
          <w:szCs w:val="24"/>
        </w:rPr>
        <w:lastRenderedPageBreak/>
        <w:t xml:space="preserve">Member States to enhance </w:t>
      </w:r>
      <w:r>
        <w:rPr>
          <w:rFonts w:ascii="Times New Roman" w:hAnsi="Times New Roman"/>
          <w:szCs w:val="24"/>
        </w:rPr>
        <w:t>the</w:t>
      </w:r>
      <w:r w:rsidRPr="00BD5036">
        <w:rPr>
          <w:rFonts w:ascii="Times New Roman" w:hAnsi="Times New Roman"/>
          <w:szCs w:val="24"/>
        </w:rPr>
        <w:t xml:space="preserve"> collection </w:t>
      </w:r>
      <w:r>
        <w:rPr>
          <w:rFonts w:ascii="Times New Roman" w:hAnsi="Times New Roman"/>
          <w:szCs w:val="24"/>
        </w:rPr>
        <w:t xml:space="preserve">of </w:t>
      </w:r>
      <w:r w:rsidRPr="00674126">
        <w:rPr>
          <w:rFonts w:ascii="Times New Roman" w:hAnsi="Times New Roman"/>
          <w:szCs w:val="24"/>
        </w:rPr>
        <w:t>the VAT</w:t>
      </w:r>
      <w:r>
        <w:rPr>
          <w:rFonts w:ascii="Times New Roman" w:hAnsi="Times New Roman"/>
          <w:szCs w:val="24"/>
        </w:rPr>
        <w:t xml:space="preserve"> (</w:t>
      </w:r>
      <w:r w:rsidRPr="00A713C2">
        <w:rPr>
          <w:rFonts w:ascii="Times New Roman" w:hAnsi="Times New Roman"/>
          <w:szCs w:val="24"/>
        </w:rPr>
        <w:t>value added tax</w:t>
      </w:r>
      <w:r>
        <w:rPr>
          <w:rFonts w:ascii="Times New Roman" w:hAnsi="Times New Roman"/>
          <w:szCs w:val="24"/>
        </w:rPr>
        <w:t>)</w:t>
      </w:r>
      <w:r w:rsidRPr="00674126">
        <w:rPr>
          <w:rFonts w:ascii="Times New Roman" w:hAnsi="Times New Roman"/>
          <w:szCs w:val="24"/>
        </w:rPr>
        <w:t xml:space="preserve"> </w:t>
      </w:r>
      <w:r w:rsidRPr="00BD5036">
        <w:rPr>
          <w:rFonts w:ascii="Times New Roman" w:hAnsi="Times New Roman"/>
          <w:szCs w:val="24"/>
        </w:rPr>
        <w:t>across all domains and make sure that it benefits national and EU budgets. In particular, the Commission would like to draw the attention of the Parliament to the recently published communication</w:t>
      </w:r>
      <w:r w:rsidRPr="00BD5036">
        <w:rPr>
          <w:rFonts w:ascii="Times New Roman" w:hAnsi="Times New Roman"/>
          <w:vertAlign w:val="superscript"/>
        </w:rPr>
        <w:footnoteReference w:id="4"/>
      </w:r>
      <w:r w:rsidRPr="00BD5036">
        <w:rPr>
          <w:rFonts w:ascii="Times New Roman" w:hAnsi="Times New Roman"/>
          <w:szCs w:val="24"/>
        </w:rPr>
        <w:t xml:space="preserve"> outlining an Action Plan for a fair and simple taxation supporting the recovery strategy and presenting a number of upcoming initiatives in the field of direct and indirect taxation.</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As regards the Parliament’s call on the Commission to </w:t>
      </w:r>
      <w:r w:rsidRPr="00BD5036">
        <w:rPr>
          <w:rFonts w:ascii="Times New Roman" w:hAnsi="Times New Roman"/>
          <w:b/>
          <w:szCs w:val="24"/>
        </w:rPr>
        <w:t>provide EU citizens with full access to information on co-financed projects</w:t>
      </w:r>
      <w:r w:rsidRPr="00BD5036">
        <w:rPr>
          <w:rFonts w:ascii="Times New Roman" w:hAnsi="Times New Roman"/>
          <w:szCs w:val="24"/>
        </w:rPr>
        <w:t>, such information is already available at Member States’ managing authority level. The current legal basis does not allow the Commission to publish aggregated data on EU-financed projects in an EU wide platform. Data received from the Member States can be used by the Commission only for the purpose of clearance of accounts, and (in aggregated form) for monitoring and making forecasts in the agricultural sector.</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agrees on the need to design a legal framework to provide </w:t>
      </w:r>
      <w:r w:rsidRPr="00BD5036">
        <w:rPr>
          <w:rFonts w:ascii="Times New Roman" w:hAnsi="Times New Roman"/>
          <w:b/>
          <w:i/>
          <w:szCs w:val="24"/>
        </w:rPr>
        <w:t>ad hoc</w:t>
      </w:r>
      <w:r w:rsidRPr="00BD5036">
        <w:rPr>
          <w:rFonts w:ascii="Times New Roman" w:hAnsi="Times New Roman"/>
          <w:b/>
          <w:szCs w:val="24"/>
        </w:rPr>
        <w:t xml:space="preserve"> protection to investigative journalists</w:t>
      </w:r>
      <w:r w:rsidRPr="00BD5036">
        <w:rPr>
          <w:rFonts w:ascii="Times New Roman" w:hAnsi="Times New Roman"/>
          <w:szCs w:val="24"/>
        </w:rPr>
        <w:t xml:space="preserve"> across the EU.</w:t>
      </w:r>
    </w:p>
    <w:p w:rsidR="00601081" w:rsidRPr="00BD5036" w:rsidRDefault="00601081" w:rsidP="00601081">
      <w:pPr>
        <w:widowControl w:val="0"/>
        <w:spacing w:after="120"/>
        <w:rPr>
          <w:rFonts w:ascii="Times New Roman" w:hAnsi="Times New Roman"/>
          <w:b/>
          <w:szCs w:val="24"/>
          <w:u w:val="single"/>
        </w:rPr>
      </w:pPr>
      <w:r w:rsidRPr="00BD5036">
        <w:rPr>
          <w:rFonts w:ascii="Times New Roman" w:hAnsi="Times New Roman"/>
          <w:b/>
          <w:szCs w:val="24"/>
          <w:u w:val="single"/>
        </w:rPr>
        <w:t>VII. Public procurement (paragraphs 89 to 94)</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In reply to the Parliament’s call </w:t>
      </w:r>
      <w:r w:rsidRPr="00BD5036">
        <w:rPr>
          <w:rFonts w:ascii="Times New Roman" w:hAnsi="Times New Roman"/>
          <w:b/>
          <w:szCs w:val="24"/>
        </w:rPr>
        <w:t>to elaborate a framework for the digitalisation of all processes of implementation of EU policies</w:t>
      </w:r>
      <w:r w:rsidRPr="00BD5036">
        <w:rPr>
          <w:rFonts w:ascii="Times New Roman" w:hAnsi="Times New Roman"/>
          <w:szCs w:val="24"/>
        </w:rPr>
        <w:t xml:space="preserve"> and develop </w:t>
      </w:r>
      <w:r w:rsidRPr="00BD5036">
        <w:rPr>
          <w:rFonts w:ascii="Times New Roman" w:hAnsi="Times New Roman"/>
          <w:b/>
          <w:szCs w:val="24"/>
        </w:rPr>
        <w:t>incentives to create an electronic profile of contracting authorities</w:t>
      </w:r>
      <w:r w:rsidRPr="00BD5036">
        <w:rPr>
          <w:rFonts w:ascii="Times New Roman" w:hAnsi="Times New Roman"/>
          <w:szCs w:val="24"/>
        </w:rPr>
        <w:t xml:space="preserve"> for those Member States where such profiles are not available, the Commission recalls that it has already established such framework, both for </w:t>
      </w:r>
      <w:r>
        <w:rPr>
          <w:rFonts w:ascii="Times New Roman" w:hAnsi="Times New Roman"/>
          <w:szCs w:val="24"/>
        </w:rPr>
        <w:t>direct and indirect management.</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agrees that the </w:t>
      </w:r>
      <w:r w:rsidRPr="00BD5036">
        <w:rPr>
          <w:rFonts w:ascii="Times New Roman" w:hAnsi="Times New Roman"/>
          <w:b/>
          <w:szCs w:val="24"/>
        </w:rPr>
        <w:t>EU participation in GRECO</w:t>
      </w:r>
      <w:r>
        <w:rPr>
          <w:rFonts w:ascii="Times New Roman" w:hAnsi="Times New Roman"/>
          <w:szCs w:val="24"/>
        </w:rPr>
        <w:t xml:space="preserve"> (Group of States against Corruption)</w:t>
      </w:r>
      <w:r w:rsidRPr="00BD5036">
        <w:rPr>
          <w:rFonts w:ascii="Times New Roman" w:hAnsi="Times New Roman"/>
          <w:szCs w:val="24"/>
        </w:rPr>
        <w:t xml:space="preserve"> will bring </w:t>
      </w:r>
      <w:proofErr w:type="gramStart"/>
      <w:r w:rsidRPr="00BD5036">
        <w:rPr>
          <w:rFonts w:ascii="Times New Roman" w:hAnsi="Times New Roman"/>
          <w:szCs w:val="24"/>
        </w:rPr>
        <w:t>added value</w:t>
      </w:r>
      <w:proofErr w:type="gramEnd"/>
      <w:r w:rsidRPr="00BD5036">
        <w:rPr>
          <w:rFonts w:ascii="Times New Roman" w:hAnsi="Times New Roman"/>
          <w:szCs w:val="24"/>
        </w:rPr>
        <w:t xml:space="preserve"> to the cooperation between the European Union and the Council of Europe. It will facilitate our joint work on capacity-building and implementing standards intended to strengthen the rule of law and the fight against corruption. Discussions have started with the United Nations Office on Drugs and Crime (UNODC) on how the review of the EU implementation of the UN Convention </w:t>
      </w:r>
      <w:proofErr w:type="gramStart"/>
      <w:r w:rsidRPr="00BD5036">
        <w:rPr>
          <w:rFonts w:ascii="Times New Roman" w:hAnsi="Times New Roman"/>
          <w:szCs w:val="24"/>
        </w:rPr>
        <w:t>Against</w:t>
      </w:r>
      <w:proofErr w:type="gramEnd"/>
      <w:r w:rsidRPr="00BD5036">
        <w:rPr>
          <w:rFonts w:ascii="Times New Roman" w:hAnsi="Times New Roman"/>
          <w:szCs w:val="24"/>
        </w:rPr>
        <w:t xml:space="preserve"> Corruption (UNCAC) could be organised. As regards the EU institutions, given that the Convention is binding on all of them, the review will concern them all. Preparatory works between the Commission, the Parliament and the Council have already started.</w:t>
      </w:r>
    </w:p>
    <w:p w:rsidR="00601081" w:rsidRPr="00BD5036" w:rsidRDefault="00601081" w:rsidP="00601081">
      <w:pPr>
        <w:widowControl w:val="0"/>
        <w:spacing w:after="120"/>
        <w:rPr>
          <w:rFonts w:ascii="Times New Roman" w:hAnsi="Times New Roman"/>
          <w:b/>
          <w:szCs w:val="24"/>
          <w:u w:val="single"/>
        </w:rPr>
      </w:pPr>
      <w:r w:rsidRPr="00BD5036">
        <w:rPr>
          <w:rFonts w:ascii="Times New Roman" w:hAnsi="Times New Roman"/>
          <w:b/>
          <w:szCs w:val="24"/>
          <w:u w:val="single"/>
        </w:rPr>
        <w:t>VIII. International cooperation (paragraphs 95 to 103)</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welcomes the Parliament’s acknowledgment of its </w:t>
      </w:r>
      <w:r w:rsidRPr="00BD5036">
        <w:rPr>
          <w:rFonts w:ascii="Times New Roman" w:hAnsi="Times New Roman"/>
          <w:b/>
          <w:szCs w:val="24"/>
        </w:rPr>
        <w:t>awareness-raising activities on the fight against fraud in neighbourhood countries</w:t>
      </w:r>
      <w:r w:rsidRPr="00BD5036">
        <w:rPr>
          <w:rFonts w:ascii="Times New Roman" w:hAnsi="Times New Roman"/>
          <w:szCs w:val="24"/>
        </w:rPr>
        <w:t>, as well as in candidate and potential candidate countries to the EU. Together with OLAF, it will continue engaging with Eastern Partnership countries, notably with authorities entrusted with the fight against fraud. Specific and regular mechanisms to prevent and combat fraud with EU funds in those states are already in place. These measures include the adoption of anti-fraud strategies, the launch of fraud and prevention awareness campaigns and capacity building of anti-fraud related s</w:t>
      </w:r>
      <w:r>
        <w:rPr>
          <w:rFonts w:ascii="Times New Roman" w:hAnsi="Times New Roman"/>
          <w:szCs w:val="24"/>
        </w:rPr>
        <w:t>tructures in partner countries.</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acknowledges that the fight against fraud requires constant commitment and therefore continues to implement measures to </w:t>
      </w:r>
      <w:r w:rsidRPr="00BD5036">
        <w:rPr>
          <w:rFonts w:ascii="Times New Roman" w:hAnsi="Times New Roman"/>
          <w:b/>
          <w:szCs w:val="24"/>
        </w:rPr>
        <w:t xml:space="preserve">enhance further its capacity to prevent and combat fraud in the area of international cooperation, </w:t>
      </w:r>
      <w:r w:rsidRPr="00BD5036">
        <w:rPr>
          <w:rFonts w:ascii="Times New Roman" w:hAnsi="Times New Roman"/>
          <w:szCs w:val="24"/>
        </w:rPr>
        <w:t xml:space="preserve">in particular through the negotiation and implementation of international agreements covering customs cooperation and mutual administrative assistance. Through its monitoring of the implementation of preferential rules of origin, the Commission also assists beneficiary countries to comply with </w:t>
      </w:r>
      <w:r w:rsidRPr="00BD5036">
        <w:rPr>
          <w:rFonts w:ascii="Times New Roman" w:hAnsi="Times New Roman"/>
          <w:szCs w:val="24"/>
        </w:rPr>
        <w:lastRenderedPageBreak/>
        <w:t>those rules.</w:t>
      </w:r>
    </w:p>
    <w:p w:rsidR="00601081" w:rsidRPr="00BD5036" w:rsidRDefault="00601081" w:rsidP="00601081">
      <w:pPr>
        <w:widowControl w:val="0"/>
        <w:spacing w:after="120"/>
        <w:rPr>
          <w:rFonts w:ascii="Times New Roman" w:hAnsi="Times New Roman"/>
          <w:b/>
          <w:szCs w:val="24"/>
          <w:u w:val="single"/>
        </w:rPr>
      </w:pPr>
      <w:r w:rsidRPr="00BD5036">
        <w:rPr>
          <w:rFonts w:ascii="Times New Roman" w:hAnsi="Times New Roman"/>
          <w:b/>
          <w:szCs w:val="24"/>
          <w:u w:val="single"/>
        </w:rPr>
        <w:t>IX. Transparency and cross cutting provisions (paragraphs 104 to 112)</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As regards the Parliament’s call </w:t>
      </w:r>
      <w:proofErr w:type="gramStart"/>
      <w:r w:rsidRPr="00BD5036">
        <w:rPr>
          <w:rFonts w:ascii="Times New Roman" w:hAnsi="Times New Roman"/>
          <w:szCs w:val="24"/>
        </w:rPr>
        <w:t xml:space="preserve">to </w:t>
      </w:r>
      <w:r w:rsidRPr="00BD5036">
        <w:rPr>
          <w:rFonts w:ascii="Times New Roman" w:hAnsi="Times New Roman"/>
          <w:b/>
          <w:szCs w:val="24"/>
        </w:rPr>
        <w:t>closely monitor</w:t>
      </w:r>
      <w:proofErr w:type="gramEnd"/>
      <w:r w:rsidRPr="00BD5036">
        <w:rPr>
          <w:rFonts w:ascii="Times New Roman" w:hAnsi="Times New Roman"/>
          <w:b/>
          <w:szCs w:val="24"/>
        </w:rPr>
        <w:t xml:space="preserve"> the transposition and implementation of the Directive on whistle-blower protection</w:t>
      </w:r>
      <w:r w:rsidRPr="00BD5036">
        <w:rPr>
          <w:rFonts w:ascii="Times New Roman" w:hAnsi="Times New Roman"/>
          <w:szCs w:val="24"/>
        </w:rPr>
        <w:t xml:space="preserve"> in the Member States, the Commission is already doing so. To this aim, it has set-up an informal expert group on Directive 2019/1937 on the protection of persons who report breaches of Union law</w:t>
      </w:r>
      <w:r>
        <w:rPr>
          <w:rFonts w:ascii="Times New Roman" w:hAnsi="Times New Roman"/>
          <w:szCs w:val="24"/>
        </w:rPr>
        <w:t>,</w:t>
      </w:r>
      <w:r w:rsidRPr="00BD5036">
        <w:rPr>
          <w:rFonts w:ascii="Times New Roman" w:hAnsi="Times New Roman"/>
          <w:szCs w:val="24"/>
        </w:rPr>
        <w:t xml:space="preserve"> composed of Member States’ representatives, to ensuring the correct, timely and consistent transposition </w:t>
      </w:r>
      <w:proofErr w:type="gramStart"/>
      <w:r w:rsidRPr="00BD5036">
        <w:rPr>
          <w:rFonts w:ascii="Times New Roman" w:hAnsi="Times New Roman"/>
          <w:szCs w:val="24"/>
        </w:rPr>
        <w:t xml:space="preserve">of the </w:t>
      </w:r>
      <w:r>
        <w:rPr>
          <w:rFonts w:ascii="Times New Roman" w:hAnsi="Times New Roman"/>
          <w:szCs w:val="24"/>
        </w:rPr>
        <w:t>d</w:t>
      </w:r>
      <w:r w:rsidRPr="00BD5036">
        <w:rPr>
          <w:rFonts w:ascii="Times New Roman" w:hAnsi="Times New Roman"/>
          <w:szCs w:val="24"/>
        </w:rPr>
        <w:t>irective and to collect information on its transposition and implementation</w:t>
      </w:r>
      <w:proofErr w:type="gramEnd"/>
      <w:r w:rsidRPr="00BD5036">
        <w:rPr>
          <w:rFonts w:ascii="Times New Roman" w:hAnsi="Times New Roman"/>
          <w:szCs w:val="24"/>
        </w:rPr>
        <w:t>. The group will also be a platform for sharing experiences and good practices with a view to maxim</w:t>
      </w:r>
      <w:r>
        <w:rPr>
          <w:rFonts w:ascii="Times New Roman" w:hAnsi="Times New Roman"/>
          <w:szCs w:val="24"/>
        </w:rPr>
        <w:t>ising the effectiveness of the d</w:t>
      </w:r>
      <w:r w:rsidRPr="00BD5036">
        <w:rPr>
          <w:rFonts w:ascii="Times New Roman" w:hAnsi="Times New Roman"/>
          <w:szCs w:val="24"/>
        </w:rPr>
        <w:t>irective on the ground. The Commission will submit a report on the application and implementation of the Directive to the Parliament and t</w:t>
      </w:r>
      <w:r>
        <w:rPr>
          <w:rFonts w:ascii="Times New Roman" w:hAnsi="Times New Roman"/>
          <w:szCs w:val="24"/>
        </w:rPr>
        <w:t>he Council by 17 December 2023.</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agrees on the importance of </w:t>
      </w:r>
      <w:r w:rsidRPr="00BD5036">
        <w:rPr>
          <w:rFonts w:ascii="Times New Roman" w:hAnsi="Times New Roman"/>
          <w:b/>
          <w:szCs w:val="24"/>
        </w:rPr>
        <w:t>investigative journalism</w:t>
      </w:r>
      <w:r w:rsidRPr="00BD5036">
        <w:rPr>
          <w:rFonts w:ascii="Times New Roman" w:hAnsi="Times New Roman"/>
          <w:szCs w:val="24"/>
        </w:rPr>
        <w:t xml:space="preserve"> and on developing legal instruments to ensure its protection in th</w:t>
      </w:r>
      <w:r>
        <w:rPr>
          <w:rFonts w:ascii="Times New Roman" w:hAnsi="Times New Roman"/>
          <w:szCs w:val="24"/>
        </w:rPr>
        <w:t>e EU.</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Concerning the Parliament’s call </w:t>
      </w:r>
      <w:r w:rsidRPr="00BD5036">
        <w:rPr>
          <w:rFonts w:ascii="Times New Roman" w:hAnsi="Times New Roman"/>
          <w:b/>
          <w:szCs w:val="24"/>
        </w:rPr>
        <w:t>to propose guidelines to avoid conflict of interests of high-level profile politicians</w:t>
      </w:r>
      <w:r w:rsidRPr="00BD5036">
        <w:rPr>
          <w:rFonts w:ascii="Times New Roman" w:hAnsi="Times New Roman"/>
          <w:szCs w:val="24"/>
        </w:rPr>
        <w:t>, the Commission wishes to highlight that it takes the issue of conflict of interests and the “revolving doors” phenomenon very seriously. Article 61 of the Financial Regulation applies to all persons involved in budge</w:t>
      </w:r>
      <w:r>
        <w:rPr>
          <w:rFonts w:ascii="Times New Roman" w:hAnsi="Times New Roman"/>
          <w:szCs w:val="24"/>
        </w:rPr>
        <w:t xml:space="preserve">t implementation at any level. </w:t>
      </w:r>
      <w:r w:rsidRPr="00BD5036">
        <w:rPr>
          <w:rFonts w:ascii="Times New Roman" w:hAnsi="Times New Roman"/>
          <w:szCs w:val="24"/>
        </w:rPr>
        <w:t xml:space="preserve">The guidance note on avoidance of conflict of interests cited above provides guidance and practical examples in that respect. The Staff Regulations contain a comprehensive ethical framework, which </w:t>
      </w:r>
      <w:proofErr w:type="gramStart"/>
      <w:r w:rsidRPr="00BD5036">
        <w:rPr>
          <w:rFonts w:ascii="Times New Roman" w:hAnsi="Times New Roman"/>
          <w:szCs w:val="24"/>
        </w:rPr>
        <w:t>was reinforced</w:t>
      </w:r>
      <w:proofErr w:type="gramEnd"/>
      <w:r w:rsidRPr="00BD5036">
        <w:rPr>
          <w:rFonts w:ascii="Times New Roman" w:hAnsi="Times New Roman"/>
          <w:szCs w:val="24"/>
        </w:rPr>
        <w:t xml:space="preserve"> in the area of post-employment restrictions by the 2014 Staff Regulations Reform and the new Decision on outside activities, assignments and occupational activities after leaving the service adopted in 2018.</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agrees with the Parliament on the </w:t>
      </w:r>
      <w:r w:rsidRPr="00BD5036">
        <w:rPr>
          <w:rFonts w:ascii="Times New Roman" w:hAnsi="Times New Roman"/>
          <w:b/>
          <w:szCs w:val="24"/>
        </w:rPr>
        <w:t>need for a clear legal basis for OLAF to access bank account information</w:t>
      </w:r>
      <w:r w:rsidRPr="00BD5036">
        <w:rPr>
          <w:rFonts w:ascii="Times New Roman" w:hAnsi="Times New Roman"/>
          <w:szCs w:val="24"/>
        </w:rPr>
        <w:t xml:space="preserve"> through the assistance of national competent authorities. The agreement in principle for the revision of the OLAF Regulation 883/2013 reached by the co-legislators at the </w:t>
      </w:r>
      <w:proofErr w:type="spellStart"/>
      <w:r w:rsidRPr="00402F63">
        <w:rPr>
          <w:rFonts w:ascii="Times New Roman" w:hAnsi="Times New Roman"/>
          <w:szCs w:val="24"/>
        </w:rPr>
        <w:t>trilogue</w:t>
      </w:r>
      <w:proofErr w:type="spellEnd"/>
      <w:r w:rsidRPr="00402F63">
        <w:rPr>
          <w:rFonts w:ascii="Times New Roman" w:hAnsi="Times New Roman"/>
          <w:szCs w:val="24"/>
        </w:rPr>
        <w:t xml:space="preserve"> of 26 June 2020</w:t>
      </w:r>
      <w:r w:rsidRPr="00BD5036">
        <w:rPr>
          <w:rFonts w:ascii="Times New Roman" w:hAnsi="Times New Roman"/>
          <w:szCs w:val="24"/>
        </w:rPr>
        <w:t xml:space="preserve"> contains such a provision, which is a crucial element of</w:t>
      </w:r>
      <w:r>
        <w:rPr>
          <w:rFonts w:ascii="Times New Roman" w:hAnsi="Times New Roman"/>
          <w:szCs w:val="24"/>
        </w:rPr>
        <w:t xml:space="preserve"> the overall package agreement.</w:t>
      </w:r>
    </w:p>
    <w:p w:rsidR="00601081" w:rsidRPr="00BD5036" w:rsidRDefault="00601081" w:rsidP="00601081">
      <w:pPr>
        <w:widowControl w:val="0"/>
        <w:spacing w:after="120"/>
        <w:rPr>
          <w:rFonts w:ascii="Times New Roman" w:hAnsi="Times New Roman"/>
          <w:szCs w:val="24"/>
        </w:rPr>
      </w:pPr>
      <w:r w:rsidRPr="00BD5036">
        <w:rPr>
          <w:rFonts w:ascii="Times New Roman" w:hAnsi="Times New Roman"/>
          <w:szCs w:val="24"/>
        </w:rPr>
        <w:t xml:space="preserve">The Commission also agrees with the Parliament’s call on the Member States to </w:t>
      </w:r>
      <w:r w:rsidRPr="00BD5036">
        <w:rPr>
          <w:rFonts w:ascii="Times New Roman" w:hAnsi="Times New Roman"/>
          <w:b/>
          <w:szCs w:val="24"/>
        </w:rPr>
        <w:t>intensify exchange of information and cooperation with OLAF</w:t>
      </w:r>
      <w:r w:rsidRPr="00BD5036">
        <w:rPr>
          <w:rFonts w:ascii="Times New Roman" w:hAnsi="Times New Roman"/>
          <w:szCs w:val="24"/>
        </w:rPr>
        <w:t xml:space="preserve">. In this regard, the agreement in principle reached by the co-legislators at the </w:t>
      </w:r>
      <w:proofErr w:type="spellStart"/>
      <w:r w:rsidRPr="00BD5036">
        <w:rPr>
          <w:rFonts w:ascii="Times New Roman" w:hAnsi="Times New Roman"/>
          <w:szCs w:val="24"/>
        </w:rPr>
        <w:t>trilogue</w:t>
      </w:r>
      <w:proofErr w:type="spellEnd"/>
      <w:r w:rsidRPr="00BD5036">
        <w:rPr>
          <w:rFonts w:ascii="Times New Roman" w:hAnsi="Times New Roman"/>
          <w:szCs w:val="24"/>
        </w:rPr>
        <w:t xml:space="preserve"> of 26 June 2020 on the revision of the OLAF Regulation 883/2013 introduces a new provision that strengthens OLAF's coordination activities in support of Member States, to assist them in organising close and regular cooperation. Furthermore, the Commission proposal includes provisions that facilitate OLAF's cooperation with AFCOS in the Member States as well as the </w:t>
      </w:r>
      <w:proofErr w:type="gramStart"/>
      <w:r w:rsidRPr="00BD5036">
        <w:rPr>
          <w:rFonts w:ascii="Times New Roman" w:hAnsi="Times New Roman"/>
          <w:szCs w:val="24"/>
        </w:rPr>
        <w:t>mutual cooperation</w:t>
      </w:r>
      <w:proofErr w:type="gramEnd"/>
      <w:r w:rsidRPr="00BD5036">
        <w:rPr>
          <w:rFonts w:ascii="Times New Roman" w:hAnsi="Times New Roman"/>
          <w:szCs w:val="24"/>
        </w:rPr>
        <w:t xml:space="preserve"> among AFCOS.</w:t>
      </w:r>
    </w:p>
    <w:p w:rsidR="00A05781" w:rsidRDefault="00601081" w:rsidP="00601081">
      <w:r w:rsidRPr="00BD5036">
        <w:rPr>
          <w:rFonts w:ascii="Times New Roman" w:hAnsi="Times New Roman"/>
          <w:szCs w:val="24"/>
        </w:rPr>
        <w:t xml:space="preserve">Regarding the fact that </w:t>
      </w:r>
      <w:r w:rsidRPr="00BD5036">
        <w:rPr>
          <w:rFonts w:ascii="Times New Roman" w:hAnsi="Times New Roman"/>
          <w:b/>
          <w:szCs w:val="24"/>
        </w:rPr>
        <w:t>many Member States do not have specific laws against organised crime</w:t>
      </w:r>
      <w:r w:rsidRPr="00BD5036">
        <w:rPr>
          <w:rFonts w:ascii="Times New Roman" w:hAnsi="Times New Roman"/>
          <w:szCs w:val="24"/>
        </w:rPr>
        <w:t>, the Framework Council Decision 2008/941/JHA on the fight against organised crime aims at approximating definitions and sanctions for offences relating to the participation in a criminal organisation in all Member States.</w:t>
      </w:r>
      <w:bookmarkStart w:id="0" w:name="_GoBack"/>
      <w:bookmarkEnd w:id="0"/>
    </w:p>
    <w:sectPr w:rsidR="00A057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81" w:rsidRDefault="00601081" w:rsidP="00601081">
      <w:pPr>
        <w:spacing w:after="0"/>
      </w:pPr>
      <w:r>
        <w:separator/>
      </w:r>
    </w:p>
  </w:endnote>
  <w:endnote w:type="continuationSeparator" w:id="0">
    <w:p w:rsidR="00601081" w:rsidRDefault="00601081" w:rsidP="00601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 Square Sans Pro">
    <w:altName w:val="Bahnschrift Light"/>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81" w:rsidRDefault="00601081" w:rsidP="00601081">
      <w:pPr>
        <w:spacing w:after="0"/>
      </w:pPr>
      <w:r>
        <w:separator/>
      </w:r>
    </w:p>
  </w:footnote>
  <w:footnote w:type="continuationSeparator" w:id="0">
    <w:p w:rsidR="00601081" w:rsidRDefault="00601081" w:rsidP="00601081">
      <w:pPr>
        <w:spacing w:after="0"/>
      </w:pPr>
      <w:r>
        <w:continuationSeparator/>
      </w:r>
    </w:p>
  </w:footnote>
  <w:footnote w:id="1">
    <w:p w:rsidR="00601081" w:rsidRPr="007B15A8" w:rsidRDefault="00601081" w:rsidP="00601081">
      <w:pPr>
        <w:pStyle w:val="FootnoteText"/>
        <w:spacing w:after="120"/>
        <w:rPr>
          <w:rFonts w:ascii="Times New Roman" w:hAnsi="Times New Roman"/>
        </w:rPr>
      </w:pPr>
      <w:r w:rsidRPr="007B15A8">
        <w:rPr>
          <w:rStyle w:val="FootnoteReference"/>
          <w:rFonts w:ascii="Times New Roman" w:hAnsi="Times New Roman"/>
        </w:rPr>
        <w:footnoteRef/>
      </w:r>
      <w:r w:rsidRPr="007B15A8">
        <w:rPr>
          <w:rFonts w:ascii="Times New Roman" w:hAnsi="Times New Roman"/>
        </w:rPr>
        <w:t xml:space="preserve"> </w:t>
      </w:r>
      <w:r>
        <w:rPr>
          <w:rFonts w:ascii="Times New Roman" w:hAnsi="Times New Roman"/>
        </w:rPr>
        <w:tab/>
      </w:r>
      <w:r w:rsidRPr="007B15A8">
        <w:rPr>
          <w:rFonts w:ascii="Times New Roman" w:hAnsi="Times New Roman"/>
        </w:rPr>
        <w:t>See for example action No 3 of the Commiss</w:t>
      </w:r>
      <w:r>
        <w:rPr>
          <w:rFonts w:ascii="Times New Roman" w:hAnsi="Times New Roman"/>
        </w:rPr>
        <w:t>ion Anti-Fraud Strategy (CAFS)</w:t>
      </w:r>
    </w:p>
  </w:footnote>
  <w:footnote w:id="2">
    <w:p w:rsidR="00601081" w:rsidRPr="007D5B79" w:rsidRDefault="00601081" w:rsidP="00601081">
      <w:pPr>
        <w:pStyle w:val="FootnoteText"/>
        <w:spacing w:after="120"/>
        <w:rPr>
          <w:rFonts w:ascii="Times New Roman" w:hAnsi="Times New Roman"/>
        </w:rPr>
      </w:pPr>
      <w:r w:rsidRPr="007D5B79">
        <w:rPr>
          <w:rStyle w:val="FootnoteReference"/>
          <w:rFonts w:ascii="Times New Roman" w:hAnsi="Times New Roman"/>
        </w:rPr>
        <w:footnoteRef/>
      </w:r>
      <w:r w:rsidRPr="007D5B79">
        <w:rPr>
          <w:rFonts w:ascii="Times New Roman" w:hAnsi="Times New Roman"/>
        </w:rPr>
        <w:t xml:space="preserve"> </w:t>
      </w:r>
      <w:r>
        <w:rPr>
          <w:rFonts w:ascii="Times New Roman" w:hAnsi="Times New Roman"/>
        </w:rPr>
        <w:tab/>
      </w:r>
      <w:r w:rsidRPr="007D5B79">
        <w:rPr>
          <w:rFonts w:ascii="Times New Roman" w:hAnsi="Times New Roman"/>
        </w:rPr>
        <w:t xml:space="preserve">At this stage, </w:t>
      </w:r>
      <w:r>
        <w:rPr>
          <w:rFonts w:ascii="Times New Roman" w:hAnsi="Times New Roman"/>
        </w:rPr>
        <w:t>23</w:t>
      </w:r>
      <w:r w:rsidRPr="007D5B79">
        <w:rPr>
          <w:rFonts w:ascii="Times New Roman" w:hAnsi="Times New Roman"/>
        </w:rPr>
        <w:t xml:space="preserve"> Member States</w:t>
      </w:r>
      <w:r>
        <w:rPr>
          <w:rFonts w:ascii="Times New Roman" w:hAnsi="Times New Roman"/>
        </w:rPr>
        <w:t xml:space="preserve"> have</w:t>
      </w:r>
      <w:r w:rsidRPr="007D5B79">
        <w:rPr>
          <w:rFonts w:ascii="Times New Roman" w:hAnsi="Times New Roman"/>
        </w:rPr>
        <w:t xml:space="preserve"> notified the Commission of the complete transposition of the PIF Directive,</w:t>
      </w:r>
      <w:r>
        <w:rPr>
          <w:rFonts w:ascii="Times New Roman" w:hAnsi="Times New Roman"/>
        </w:rPr>
        <w:t xml:space="preserve"> while</w:t>
      </w:r>
      <w:r w:rsidRPr="007D5B79">
        <w:rPr>
          <w:rFonts w:ascii="Times New Roman" w:hAnsi="Times New Roman"/>
        </w:rPr>
        <w:t xml:space="preserve"> </w:t>
      </w:r>
      <w:r>
        <w:rPr>
          <w:rFonts w:ascii="Times New Roman" w:hAnsi="Times New Roman"/>
        </w:rPr>
        <w:t>three</w:t>
      </w:r>
      <w:r w:rsidRPr="007D5B79">
        <w:rPr>
          <w:rFonts w:ascii="Times New Roman" w:hAnsi="Times New Roman"/>
        </w:rPr>
        <w:t xml:space="preserve"> Member States</w:t>
      </w:r>
      <w:r>
        <w:rPr>
          <w:rFonts w:ascii="Times New Roman" w:hAnsi="Times New Roman"/>
        </w:rPr>
        <w:t xml:space="preserve"> (BE, IE, RO)</w:t>
      </w:r>
      <w:r w:rsidRPr="007D5B79">
        <w:rPr>
          <w:rFonts w:ascii="Times New Roman" w:hAnsi="Times New Roman"/>
        </w:rPr>
        <w:t xml:space="preserve"> </w:t>
      </w:r>
      <w:r>
        <w:rPr>
          <w:rFonts w:ascii="Times New Roman" w:hAnsi="Times New Roman"/>
        </w:rPr>
        <w:t xml:space="preserve">have </w:t>
      </w:r>
      <w:r w:rsidRPr="007D5B79">
        <w:rPr>
          <w:rFonts w:ascii="Times New Roman" w:hAnsi="Times New Roman"/>
        </w:rPr>
        <w:t>notifie</w:t>
      </w:r>
      <w:r>
        <w:rPr>
          <w:rFonts w:ascii="Times New Roman" w:hAnsi="Times New Roman"/>
        </w:rPr>
        <w:t>d a partial transposition. The d</w:t>
      </w:r>
      <w:r w:rsidRPr="007D5B79">
        <w:rPr>
          <w:rFonts w:ascii="Times New Roman" w:hAnsi="Times New Roman"/>
        </w:rPr>
        <w:t>irective does not bind one Member State (Denmark)</w:t>
      </w:r>
    </w:p>
  </w:footnote>
  <w:footnote w:id="3">
    <w:p w:rsidR="00601081" w:rsidRDefault="00601081" w:rsidP="00601081">
      <w:pPr>
        <w:pStyle w:val="FootnoteText"/>
      </w:pPr>
      <w:r>
        <w:rPr>
          <w:rStyle w:val="FootnoteReference"/>
        </w:rPr>
        <w:footnoteRef/>
      </w:r>
      <w:r>
        <w:t xml:space="preserve"> </w:t>
      </w:r>
      <w:r>
        <w:tab/>
      </w:r>
      <w:r w:rsidRPr="009F34BC">
        <w:rPr>
          <w:rFonts w:ascii="Times New Roman" w:hAnsi="Times New Roman"/>
        </w:rPr>
        <w:t>Examples of these networks are the European contact-point network against corruption (EACN), the European Partners against Corruption (EPAC), and the Network of Corruption Prevention Agenc</w:t>
      </w:r>
      <w:r>
        <w:rPr>
          <w:rFonts w:ascii="Times New Roman" w:hAnsi="Times New Roman"/>
        </w:rPr>
        <w:t>ies established in October 2018</w:t>
      </w:r>
    </w:p>
  </w:footnote>
  <w:footnote w:id="4">
    <w:p w:rsidR="00601081" w:rsidRDefault="00601081" w:rsidP="00601081">
      <w:pPr>
        <w:pStyle w:val="FootnoteText"/>
        <w:spacing w:after="120"/>
      </w:pPr>
      <w:r>
        <w:rPr>
          <w:rStyle w:val="FootnoteReference"/>
        </w:rPr>
        <w:footnoteRef/>
      </w:r>
      <w:r>
        <w:t xml:space="preserve"> </w:t>
      </w:r>
      <w:r>
        <w:tab/>
      </w:r>
      <w:r w:rsidRPr="005A6E28">
        <w:rPr>
          <w:rFonts w:ascii="Times New Roman" w:hAnsi="Times New Roman"/>
        </w:rPr>
        <w:t>https://ec.europa.eu/taxation_customs/sites/taxation/files/2020_tax_package_tax_action_plan_en.pdf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286"/>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81"/>
    <w:rsid w:val="00006CB5"/>
    <w:rsid w:val="00023E86"/>
    <w:rsid w:val="00030D43"/>
    <w:rsid w:val="0004625B"/>
    <w:rsid w:val="0006161D"/>
    <w:rsid w:val="000667FA"/>
    <w:rsid w:val="000867D7"/>
    <w:rsid w:val="000927AA"/>
    <w:rsid w:val="000A15C3"/>
    <w:rsid w:val="000B1051"/>
    <w:rsid w:val="000C032D"/>
    <w:rsid w:val="000F6D42"/>
    <w:rsid w:val="0011022A"/>
    <w:rsid w:val="0013325B"/>
    <w:rsid w:val="00183960"/>
    <w:rsid w:val="001F4E25"/>
    <w:rsid w:val="002039DE"/>
    <w:rsid w:val="00221A97"/>
    <w:rsid w:val="002240A0"/>
    <w:rsid w:val="00247686"/>
    <w:rsid w:val="00265D8D"/>
    <w:rsid w:val="0027439D"/>
    <w:rsid w:val="002C6C21"/>
    <w:rsid w:val="002F561A"/>
    <w:rsid w:val="00340D7E"/>
    <w:rsid w:val="003C180C"/>
    <w:rsid w:val="003C725B"/>
    <w:rsid w:val="004037C8"/>
    <w:rsid w:val="0042138E"/>
    <w:rsid w:val="00440587"/>
    <w:rsid w:val="004A1C70"/>
    <w:rsid w:val="00502524"/>
    <w:rsid w:val="00531ABD"/>
    <w:rsid w:val="00562B7C"/>
    <w:rsid w:val="005F2126"/>
    <w:rsid w:val="00601081"/>
    <w:rsid w:val="00607073"/>
    <w:rsid w:val="00611114"/>
    <w:rsid w:val="00663973"/>
    <w:rsid w:val="00667EE5"/>
    <w:rsid w:val="00703176"/>
    <w:rsid w:val="0075523A"/>
    <w:rsid w:val="00764A5D"/>
    <w:rsid w:val="00770FC1"/>
    <w:rsid w:val="007A366F"/>
    <w:rsid w:val="007B7506"/>
    <w:rsid w:val="007F59D1"/>
    <w:rsid w:val="00806E75"/>
    <w:rsid w:val="008517AE"/>
    <w:rsid w:val="00861E0F"/>
    <w:rsid w:val="008716A6"/>
    <w:rsid w:val="00875267"/>
    <w:rsid w:val="00883902"/>
    <w:rsid w:val="008C0922"/>
    <w:rsid w:val="008C1BBD"/>
    <w:rsid w:val="008E6CC0"/>
    <w:rsid w:val="00972AB4"/>
    <w:rsid w:val="00985106"/>
    <w:rsid w:val="009B2A61"/>
    <w:rsid w:val="009D75F8"/>
    <w:rsid w:val="00A05781"/>
    <w:rsid w:val="00A06FBA"/>
    <w:rsid w:val="00A663D0"/>
    <w:rsid w:val="00AB3154"/>
    <w:rsid w:val="00AB3C88"/>
    <w:rsid w:val="00AE766E"/>
    <w:rsid w:val="00AF23EE"/>
    <w:rsid w:val="00B03741"/>
    <w:rsid w:val="00B21ECC"/>
    <w:rsid w:val="00B3458E"/>
    <w:rsid w:val="00B6693C"/>
    <w:rsid w:val="00B82573"/>
    <w:rsid w:val="00B969DD"/>
    <w:rsid w:val="00C00871"/>
    <w:rsid w:val="00C30D7E"/>
    <w:rsid w:val="00C369D4"/>
    <w:rsid w:val="00C6130B"/>
    <w:rsid w:val="00C66019"/>
    <w:rsid w:val="00CB0991"/>
    <w:rsid w:val="00CB142D"/>
    <w:rsid w:val="00CB7563"/>
    <w:rsid w:val="00CD5034"/>
    <w:rsid w:val="00CF3C75"/>
    <w:rsid w:val="00D3445D"/>
    <w:rsid w:val="00D53400"/>
    <w:rsid w:val="00D6508F"/>
    <w:rsid w:val="00DB06A5"/>
    <w:rsid w:val="00E171BE"/>
    <w:rsid w:val="00E44A6A"/>
    <w:rsid w:val="00F0617A"/>
    <w:rsid w:val="00F34F36"/>
    <w:rsid w:val="00F44EB7"/>
    <w:rsid w:val="00F519FC"/>
    <w:rsid w:val="00F52F9D"/>
    <w:rsid w:val="00F608A0"/>
    <w:rsid w:val="00F77D82"/>
    <w:rsid w:val="00F857A7"/>
    <w:rsid w:val="00F9124C"/>
    <w:rsid w:val="00F91AF0"/>
    <w:rsid w:val="00FA1E72"/>
    <w:rsid w:val="00FA3484"/>
    <w:rsid w:val="00FC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AE410-573E-4C1E-B648-CDD43C1B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81"/>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
    <w:basedOn w:val="Normal"/>
    <w:link w:val="ListParagraphChar"/>
    <w:uiPriority w:val="34"/>
    <w:qFormat/>
    <w:rsid w:val="00601081"/>
    <w:pPr>
      <w:spacing w:after="200" w:line="276" w:lineRule="auto"/>
      <w:ind w:left="720"/>
      <w:contextualSpacing/>
      <w:jc w:val="left"/>
    </w:pPr>
    <w:rPr>
      <w:rFonts w:ascii="Calibri" w:eastAsia="Calibri" w:hAnsi="Calibri"/>
      <w:sz w:val="22"/>
      <w:szCs w:val="22"/>
      <w:lang w:val="en-US" w:eastAsia="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601081"/>
    <w:pPr>
      <w:ind w:left="357" w:hanging="357"/>
    </w:pPr>
    <w:rPr>
      <w:sz w:val="20"/>
    </w:rPr>
  </w:style>
  <w:style w:type="character" w:customStyle="1" w:styleId="FootnoteTextChar">
    <w:name w:val="Footnote Text Char"/>
    <w:basedOn w:val="DefaultParagraphFont"/>
    <w:uiPriority w:val="99"/>
    <w:semiHidden/>
    <w:rsid w:val="00601081"/>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601081"/>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601081"/>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601081"/>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Body">
    <w:name w:val="Body"/>
    <w:basedOn w:val="Normal"/>
    <w:link w:val="BodyChar"/>
    <w:qFormat/>
    <w:rsid w:val="00601081"/>
    <w:pPr>
      <w:spacing w:before="120" w:after="120"/>
    </w:pPr>
    <w:rPr>
      <w:rFonts w:ascii="EC Square Sans Pro" w:hAnsi="EC Square Sans Pro"/>
      <w:szCs w:val="24"/>
      <w:lang w:eastAsia="en-US"/>
    </w:rPr>
  </w:style>
  <w:style w:type="character" w:customStyle="1" w:styleId="BodyChar">
    <w:name w:val="Body Char"/>
    <w:link w:val="Body"/>
    <w:rsid w:val="00601081"/>
    <w:rPr>
      <w:rFonts w:ascii="EC Square Sans Pro" w:eastAsia="Times New Roman" w:hAnsi="EC Square Sans Pro" w:cs="Times New Roman"/>
      <w:sz w:val="24"/>
      <w:szCs w:val="24"/>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601081"/>
    <w:rPr>
      <w:rFonts w:ascii="Calibri" w:eastAsia="Calibri" w:hAnsi="Calibri" w:cs="Times New Roman"/>
      <w:lang w:val="en-US"/>
    </w:rPr>
  </w:style>
  <w:style w:type="character" w:customStyle="1" w:styleId="None">
    <w:name w:val="None"/>
    <w:rsid w:val="0060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1</cp:revision>
  <dcterms:created xsi:type="dcterms:W3CDTF">2020-10-02T12:51:00Z</dcterms:created>
  <dcterms:modified xsi:type="dcterms:W3CDTF">2020-10-02T12:52:00Z</dcterms:modified>
</cp:coreProperties>
</file>