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EB9" w:rsidRPr="00BF0980" w:rsidRDefault="00852EB9" w:rsidP="00852EB9">
      <w:pPr>
        <w:spacing w:after="600"/>
        <w:jc w:val="center"/>
        <w:rPr>
          <w:rFonts w:ascii="Times New Roman" w:hAnsi="Times New Roman"/>
          <w:b/>
          <w:bCs/>
          <w:szCs w:val="24"/>
        </w:rPr>
      </w:pPr>
      <w:r w:rsidRPr="00BF0980">
        <w:rPr>
          <w:rFonts w:ascii="Times New Roman" w:hAnsi="Times New Roman"/>
          <w:b/>
          <w:bCs/>
          <w:szCs w:val="24"/>
        </w:rPr>
        <w:t xml:space="preserve">Follow up to the </w:t>
      </w:r>
      <w:r w:rsidRPr="00BF0980">
        <w:rPr>
          <w:rFonts w:ascii="Times New Roman" w:hAnsi="Times New Roman"/>
          <w:b/>
          <w:szCs w:val="24"/>
        </w:rPr>
        <w:t xml:space="preserve">European Parliament non-legislative </w:t>
      </w:r>
      <w:r w:rsidRPr="00352008">
        <w:rPr>
          <w:rFonts w:ascii="Times New Roman" w:hAnsi="Times New Roman"/>
          <w:b/>
          <w:szCs w:val="24"/>
        </w:rPr>
        <w:t>resolution</w:t>
      </w:r>
      <w:r>
        <w:rPr>
          <w:rFonts w:ascii="Times New Roman" w:hAnsi="Times New Roman"/>
          <w:b/>
          <w:szCs w:val="24"/>
        </w:rPr>
        <w:t xml:space="preserve"> </w:t>
      </w:r>
      <w:r w:rsidRPr="00566880">
        <w:rPr>
          <w:rFonts w:ascii="Times New Roman" w:hAnsi="Times New Roman"/>
          <w:b/>
          <w:szCs w:val="24"/>
          <w:shd w:val="clear" w:color="auto" w:fill="FFFFFF"/>
        </w:rPr>
        <w:t>on effective measures to ‘green’ Erasmus+, Creative Europe and the European Solidarity Corps</w:t>
      </w:r>
    </w:p>
    <w:p w:rsidR="00852EB9" w:rsidRPr="00566880" w:rsidRDefault="00852EB9" w:rsidP="00852EB9">
      <w:pPr>
        <w:numPr>
          <w:ilvl w:val="0"/>
          <w:numId w:val="1"/>
        </w:numPr>
        <w:spacing w:after="240" w:line="240" w:lineRule="auto"/>
        <w:jc w:val="both"/>
        <w:rPr>
          <w:rFonts w:ascii="Times New Roman" w:hAnsi="Times New Roman"/>
          <w:b/>
          <w:szCs w:val="24"/>
          <w:lang w:val="fr-BE"/>
        </w:rPr>
      </w:pPr>
      <w:r w:rsidRPr="00BF0980">
        <w:rPr>
          <w:rFonts w:ascii="Times New Roman" w:hAnsi="Times New Roman"/>
          <w:b/>
          <w:szCs w:val="24"/>
          <w:lang w:val="fr-BE"/>
        </w:rPr>
        <w:t>Rapporteur:</w:t>
      </w:r>
      <w:r w:rsidRPr="00BF0980">
        <w:rPr>
          <w:rFonts w:ascii="Times New Roman" w:hAnsi="Times New Roman"/>
          <w:szCs w:val="24"/>
          <w:lang w:val="fr-BE"/>
        </w:rPr>
        <w:t xml:space="preserve"> </w:t>
      </w:r>
      <w:r w:rsidRPr="00566880">
        <w:rPr>
          <w:rFonts w:ascii="Georgia" w:hAnsi="Georgia"/>
          <w:color w:val="1E1E1F"/>
          <w:shd w:val="clear" w:color="auto" w:fill="FFFFFF"/>
          <w:lang w:val="fr-BE"/>
        </w:rPr>
        <w:t xml:space="preserve">Laurence </w:t>
      </w:r>
      <w:proofErr w:type="spellStart"/>
      <w:r w:rsidRPr="00566880">
        <w:rPr>
          <w:rFonts w:ascii="Georgia" w:hAnsi="Georgia"/>
          <w:color w:val="1E1E1F"/>
          <w:shd w:val="clear" w:color="auto" w:fill="FFFFFF"/>
          <w:lang w:val="fr-BE"/>
        </w:rPr>
        <w:t>FARRENG</w:t>
      </w:r>
      <w:proofErr w:type="spellEnd"/>
      <w:r>
        <w:rPr>
          <w:rFonts w:ascii="Times New Roman" w:hAnsi="Times New Roman"/>
          <w:szCs w:val="24"/>
          <w:lang w:val="fr-BE"/>
        </w:rPr>
        <w:t xml:space="preserve"> (</w:t>
      </w:r>
      <w:proofErr w:type="spellStart"/>
      <w:r>
        <w:rPr>
          <w:rFonts w:ascii="Times New Roman" w:hAnsi="Times New Roman"/>
          <w:szCs w:val="24"/>
          <w:lang w:val="fr-BE"/>
        </w:rPr>
        <w:t>Renew</w:t>
      </w:r>
      <w:proofErr w:type="spellEnd"/>
      <w:r>
        <w:rPr>
          <w:rFonts w:ascii="Times New Roman" w:hAnsi="Times New Roman"/>
          <w:szCs w:val="24"/>
          <w:lang w:val="fr-BE"/>
        </w:rPr>
        <w:t xml:space="preserve"> Europe/ F</w:t>
      </w:r>
      <w:r w:rsidRPr="00BF0980">
        <w:rPr>
          <w:rFonts w:ascii="Times New Roman" w:hAnsi="Times New Roman"/>
          <w:szCs w:val="24"/>
          <w:lang w:val="fr-BE"/>
        </w:rPr>
        <w:t>R)</w:t>
      </w:r>
    </w:p>
    <w:p w:rsidR="00852EB9" w:rsidRPr="00BF0980" w:rsidRDefault="00852EB9" w:rsidP="00852EB9">
      <w:pPr>
        <w:numPr>
          <w:ilvl w:val="0"/>
          <w:numId w:val="1"/>
        </w:numPr>
        <w:spacing w:after="240" w:line="240" w:lineRule="auto"/>
        <w:jc w:val="both"/>
        <w:rPr>
          <w:rFonts w:ascii="Times New Roman" w:hAnsi="Times New Roman"/>
          <w:i/>
          <w:szCs w:val="24"/>
        </w:rPr>
      </w:pPr>
      <w:r w:rsidRPr="00BF0980">
        <w:rPr>
          <w:rFonts w:ascii="Times New Roman" w:hAnsi="Times New Roman"/>
          <w:b/>
          <w:szCs w:val="24"/>
        </w:rPr>
        <w:t xml:space="preserve">Reference numbers: </w:t>
      </w:r>
      <w:r w:rsidRPr="00BF0980">
        <w:rPr>
          <w:rFonts w:ascii="Times New Roman" w:hAnsi="Times New Roman"/>
          <w:szCs w:val="24"/>
        </w:rPr>
        <w:t>2019/21</w:t>
      </w:r>
      <w:r>
        <w:rPr>
          <w:rFonts w:ascii="Times New Roman" w:hAnsi="Times New Roman"/>
          <w:szCs w:val="24"/>
        </w:rPr>
        <w:t>95</w:t>
      </w:r>
      <w:r w:rsidRPr="00BF0980">
        <w:rPr>
          <w:rFonts w:ascii="Times New Roman" w:hAnsi="Times New Roman"/>
          <w:szCs w:val="24"/>
        </w:rPr>
        <w:t xml:space="preserve"> (</w:t>
      </w:r>
      <w:proofErr w:type="spellStart"/>
      <w:r w:rsidRPr="00BF0980">
        <w:rPr>
          <w:rFonts w:ascii="Times New Roman" w:hAnsi="Times New Roman"/>
          <w:szCs w:val="24"/>
        </w:rPr>
        <w:t>INI</w:t>
      </w:r>
      <w:proofErr w:type="spellEnd"/>
      <w:r w:rsidRPr="00BF0980">
        <w:rPr>
          <w:rFonts w:ascii="Times New Roman" w:hAnsi="Times New Roman"/>
          <w:szCs w:val="24"/>
        </w:rPr>
        <w:t xml:space="preserve">) / </w:t>
      </w:r>
      <w:bookmarkStart w:id="0" w:name="_GoBack"/>
      <w:r w:rsidRPr="00BF0980">
        <w:rPr>
          <w:rFonts w:ascii="Times New Roman" w:hAnsi="Times New Roman"/>
          <w:szCs w:val="24"/>
        </w:rPr>
        <w:t>A9-0</w:t>
      </w:r>
      <w:r>
        <w:rPr>
          <w:rFonts w:ascii="Times New Roman" w:hAnsi="Times New Roman"/>
          <w:szCs w:val="24"/>
        </w:rPr>
        <w:t>14</w:t>
      </w:r>
      <w:r w:rsidRPr="00BF0980">
        <w:rPr>
          <w:rFonts w:ascii="Times New Roman" w:hAnsi="Times New Roman"/>
          <w:szCs w:val="24"/>
        </w:rPr>
        <w:t xml:space="preserve">1/2020 </w:t>
      </w:r>
      <w:bookmarkEnd w:id="0"/>
      <w:r w:rsidRPr="00BF0980">
        <w:rPr>
          <w:rFonts w:ascii="Times New Roman" w:hAnsi="Times New Roman"/>
          <w:szCs w:val="24"/>
        </w:rPr>
        <w:t>/ P9_TA-PROV(2020)0</w:t>
      </w:r>
      <w:r>
        <w:rPr>
          <w:rFonts w:ascii="Times New Roman" w:hAnsi="Times New Roman"/>
          <w:szCs w:val="24"/>
        </w:rPr>
        <w:t>21</w:t>
      </w:r>
      <w:r w:rsidRPr="00BF0980">
        <w:rPr>
          <w:rFonts w:ascii="Times New Roman" w:hAnsi="Times New Roman"/>
          <w:szCs w:val="24"/>
        </w:rPr>
        <w:t>1</w:t>
      </w:r>
    </w:p>
    <w:p w:rsidR="00852EB9" w:rsidRPr="00BF0980" w:rsidRDefault="00852EB9" w:rsidP="00852EB9">
      <w:pPr>
        <w:numPr>
          <w:ilvl w:val="0"/>
          <w:numId w:val="1"/>
        </w:numPr>
        <w:spacing w:after="240" w:line="240" w:lineRule="auto"/>
        <w:jc w:val="both"/>
        <w:rPr>
          <w:rFonts w:ascii="Times New Roman" w:hAnsi="Times New Roman"/>
          <w:szCs w:val="24"/>
        </w:rPr>
      </w:pPr>
      <w:r w:rsidRPr="00BF0980">
        <w:rPr>
          <w:rFonts w:ascii="Times New Roman" w:hAnsi="Times New Roman"/>
          <w:b/>
          <w:szCs w:val="24"/>
        </w:rPr>
        <w:t>Date of adoption of the resolution:</w:t>
      </w:r>
      <w:r w:rsidRPr="00BF0980">
        <w:rPr>
          <w:rFonts w:ascii="Times New Roman" w:hAnsi="Times New Roman"/>
          <w:szCs w:val="24"/>
        </w:rPr>
        <w:t xml:space="preserve"> 1</w:t>
      </w:r>
      <w:r>
        <w:rPr>
          <w:rFonts w:ascii="Times New Roman" w:hAnsi="Times New Roman"/>
          <w:szCs w:val="24"/>
        </w:rPr>
        <w:t>5 September</w:t>
      </w:r>
      <w:r w:rsidRPr="00BF0980">
        <w:rPr>
          <w:rFonts w:ascii="Times New Roman" w:hAnsi="Times New Roman"/>
          <w:szCs w:val="24"/>
        </w:rPr>
        <w:t xml:space="preserve"> 2020</w:t>
      </w:r>
    </w:p>
    <w:p w:rsidR="00852EB9" w:rsidRPr="00BF0980" w:rsidRDefault="00852EB9" w:rsidP="00852EB9">
      <w:pPr>
        <w:pStyle w:val="ListParagraph"/>
        <w:numPr>
          <w:ilvl w:val="0"/>
          <w:numId w:val="1"/>
        </w:numPr>
        <w:spacing w:after="240"/>
        <w:jc w:val="both"/>
        <w:rPr>
          <w:rFonts w:ascii="Times New Roman" w:hAnsi="Times New Roman"/>
          <w:sz w:val="24"/>
          <w:szCs w:val="24"/>
        </w:rPr>
      </w:pPr>
      <w:r w:rsidRPr="00BF0980">
        <w:rPr>
          <w:rFonts w:ascii="Times New Roman" w:hAnsi="Times New Roman"/>
          <w:b/>
          <w:sz w:val="24"/>
          <w:szCs w:val="24"/>
        </w:rPr>
        <w:t>Competent Parliamentary Committee:</w:t>
      </w:r>
      <w:r w:rsidRPr="00BF0980">
        <w:rPr>
          <w:rFonts w:ascii="Times New Roman" w:hAnsi="Times New Roman"/>
          <w:sz w:val="24"/>
          <w:szCs w:val="24"/>
        </w:rPr>
        <w:t xml:space="preserve"> Committee on </w:t>
      </w:r>
      <w:r>
        <w:rPr>
          <w:rFonts w:ascii="Times New Roman" w:hAnsi="Times New Roman"/>
          <w:sz w:val="24"/>
          <w:szCs w:val="24"/>
        </w:rPr>
        <w:t>Culture and Education</w:t>
      </w:r>
      <w:r w:rsidRPr="00BF0980">
        <w:rPr>
          <w:rFonts w:ascii="Times New Roman" w:hAnsi="Times New Roman"/>
          <w:sz w:val="24"/>
          <w:szCs w:val="24"/>
        </w:rPr>
        <w:t xml:space="preserve"> (</w:t>
      </w:r>
      <w:r>
        <w:rPr>
          <w:rFonts w:ascii="Times New Roman" w:hAnsi="Times New Roman"/>
          <w:sz w:val="24"/>
          <w:szCs w:val="24"/>
        </w:rPr>
        <w:t>CULT</w:t>
      </w:r>
      <w:r w:rsidRPr="00BF0980">
        <w:rPr>
          <w:rFonts w:ascii="Times New Roman" w:hAnsi="Times New Roman"/>
          <w:sz w:val="24"/>
          <w:szCs w:val="24"/>
        </w:rPr>
        <w:t>)</w:t>
      </w:r>
    </w:p>
    <w:p w:rsidR="00852EB9" w:rsidRPr="00FC3ACF" w:rsidRDefault="00852EB9" w:rsidP="00852EB9">
      <w:pPr>
        <w:widowControl w:val="0"/>
        <w:numPr>
          <w:ilvl w:val="0"/>
          <w:numId w:val="1"/>
        </w:numPr>
        <w:spacing w:after="240" w:line="240" w:lineRule="auto"/>
        <w:jc w:val="both"/>
        <w:rPr>
          <w:rFonts w:ascii="Times New Roman" w:hAnsi="Times New Roman"/>
          <w:szCs w:val="24"/>
        </w:rPr>
      </w:pPr>
      <w:r w:rsidRPr="00BF0980">
        <w:rPr>
          <w:rFonts w:ascii="Times New Roman" w:hAnsi="Times New Roman"/>
          <w:b/>
          <w:szCs w:val="24"/>
        </w:rPr>
        <w:t>Brief analysis/assessment of the resolution and requests made in it:</w:t>
      </w:r>
    </w:p>
    <w:p w:rsidR="00852EB9" w:rsidRPr="00FC3ACF" w:rsidRDefault="00852EB9" w:rsidP="00852EB9">
      <w:pPr>
        <w:widowControl w:val="0"/>
        <w:spacing w:after="120"/>
        <w:jc w:val="both"/>
        <w:rPr>
          <w:rFonts w:ascii="Times New Roman" w:hAnsi="Times New Roman"/>
          <w:szCs w:val="24"/>
        </w:rPr>
      </w:pPr>
      <w:r w:rsidRPr="00FC3ACF">
        <w:rPr>
          <w:rFonts w:ascii="Times New Roman" w:hAnsi="Times New Roman"/>
          <w:szCs w:val="24"/>
        </w:rPr>
        <w:t xml:space="preserve">The resolution puts forward specific proposals to reduce the environmental impact of the three flagship programmes for education (Erasmus+), culture (Creative Europe) and volunteering (European Solidarity Corps) and </w:t>
      </w:r>
      <w:proofErr w:type="gramStart"/>
      <w:r w:rsidRPr="00FC3ACF">
        <w:rPr>
          <w:rFonts w:ascii="Times New Roman" w:hAnsi="Times New Roman"/>
          <w:szCs w:val="24"/>
        </w:rPr>
        <w:t>to fully integrate</w:t>
      </w:r>
      <w:proofErr w:type="gramEnd"/>
      <w:r w:rsidRPr="00FC3ACF">
        <w:rPr>
          <w:rFonts w:ascii="Times New Roman" w:hAnsi="Times New Roman"/>
          <w:szCs w:val="24"/>
        </w:rPr>
        <w:t xml:space="preserve"> the programme</w:t>
      </w:r>
      <w:r>
        <w:rPr>
          <w:rFonts w:ascii="Times New Roman" w:hAnsi="Times New Roman"/>
          <w:szCs w:val="24"/>
        </w:rPr>
        <w:t>s into the European Green Deal.</w:t>
      </w:r>
    </w:p>
    <w:p w:rsidR="00852EB9" w:rsidRPr="00FC3ACF" w:rsidRDefault="00852EB9" w:rsidP="00852EB9">
      <w:pPr>
        <w:widowControl w:val="0"/>
        <w:spacing w:after="120"/>
        <w:jc w:val="both"/>
        <w:rPr>
          <w:rFonts w:ascii="Times New Roman" w:hAnsi="Times New Roman"/>
          <w:szCs w:val="24"/>
        </w:rPr>
      </w:pPr>
      <w:r w:rsidRPr="00FC3ACF">
        <w:rPr>
          <w:rFonts w:ascii="Times New Roman" w:hAnsi="Times New Roman"/>
          <w:szCs w:val="24"/>
        </w:rPr>
        <w:t>The resolution recognises the fundamental role of education, training, youth, sport, volunteering and culture in the green transition as regards awareness-raising, learning, communication, the sharing of knowledge as well as their potential to develop innovative ways of tackling environmental challenges.</w:t>
      </w:r>
    </w:p>
    <w:p w:rsidR="00852EB9" w:rsidRPr="00046B49" w:rsidRDefault="00852EB9" w:rsidP="00852EB9">
      <w:pPr>
        <w:pStyle w:val="ListParagraph"/>
        <w:widowControl w:val="0"/>
        <w:numPr>
          <w:ilvl w:val="0"/>
          <w:numId w:val="1"/>
        </w:numPr>
        <w:spacing w:after="240" w:line="240" w:lineRule="auto"/>
        <w:jc w:val="both"/>
        <w:rPr>
          <w:rFonts w:ascii="Times New Roman" w:hAnsi="Times New Roman"/>
          <w:b/>
          <w:i/>
          <w:sz w:val="24"/>
          <w:szCs w:val="24"/>
        </w:rPr>
      </w:pPr>
      <w:r w:rsidRPr="00BF0980">
        <w:rPr>
          <w:rFonts w:ascii="Times New Roman" w:hAnsi="Times New Roman"/>
          <w:b/>
          <w:sz w:val="24"/>
          <w:szCs w:val="24"/>
        </w:rPr>
        <w:t>Response to the requests and overview of the action taken, or intended to be taken, by the Commission:</w:t>
      </w:r>
    </w:p>
    <w:p w:rsidR="00852EB9" w:rsidRPr="00536C05" w:rsidRDefault="00852EB9" w:rsidP="00852EB9">
      <w:pPr>
        <w:widowControl w:val="0"/>
        <w:spacing w:after="120"/>
        <w:jc w:val="both"/>
        <w:rPr>
          <w:rFonts w:ascii="Times New Roman" w:hAnsi="Times New Roman"/>
          <w:szCs w:val="24"/>
        </w:rPr>
      </w:pPr>
      <w:r w:rsidRPr="00536C05">
        <w:rPr>
          <w:rFonts w:ascii="Times New Roman" w:hAnsi="Times New Roman"/>
          <w:szCs w:val="24"/>
        </w:rPr>
        <w:t xml:space="preserve">The Commission welcomes the resolution of the European Parliament on Greening Erasmus+, Creative Europe and the European Solidarity Corps and confirms that many measures suggested in the resolution are under preparation and </w:t>
      </w:r>
      <w:proofErr w:type="gramStart"/>
      <w:r w:rsidRPr="00536C05">
        <w:rPr>
          <w:rFonts w:ascii="Times New Roman" w:hAnsi="Times New Roman"/>
          <w:szCs w:val="24"/>
        </w:rPr>
        <w:t>will be implemented</w:t>
      </w:r>
      <w:proofErr w:type="gramEnd"/>
      <w:r w:rsidRPr="00536C05">
        <w:rPr>
          <w:rFonts w:ascii="Times New Roman" w:hAnsi="Times New Roman"/>
          <w:szCs w:val="24"/>
        </w:rPr>
        <w:t xml:space="preserve"> under the future programmes (2021-27).</w:t>
      </w:r>
    </w:p>
    <w:p w:rsidR="00852EB9" w:rsidRDefault="00852EB9" w:rsidP="00852EB9">
      <w:pPr>
        <w:widowControl w:val="0"/>
        <w:spacing w:after="120"/>
        <w:jc w:val="both"/>
        <w:rPr>
          <w:rFonts w:ascii="Times New Roman" w:hAnsi="Times New Roman"/>
          <w:szCs w:val="24"/>
        </w:rPr>
      </w:pPr>
      <w:proofErr w:type="gramStart"/>
      <w:r w:rsidRPr="00536C05">
        <w:rPr>
          <w:rFonts w:ascii="Times New Roman" w:hAnsi="Times New Roman"/>
          <w:szCs w:val="24"/>
        </w:rPr>
        <w:t xml:space="preserve">In relation to the call on the Commission, </w:t>
      </w:r>
      <w:r>
        <w:rPr>
          <w:rFonts w:ascii="Times New Roman" w:hAnsi="Times New Roman"/>
          <w:szCs w:val="24"/>
        </w:rPr>
        <w:t>the n</w:t>
      </w:r>
      <w:r w:rsidRPr="00536C05">
        <w:rPr>
          <w:rFonts w:ascii="Times New Roman" w:hAnsi="Times New Roman"/>
          <w:szCs w:val="24"/>
        </w:rPr>
        <w:t xml:space="preserve">ational </w:t>
      </w:r>
      <w:r>
        <w:rPr>
          <w:rFonts w:ascii="Times New Roman" w:hAnsi="Times New Roman"/>
          <w:szCs w:val="24"/>
        </w:rPr>
        <w:t>a</w:t>
      </w:r>
      <w:r w:rsidRPr="00536C05">
        <w:rPr>
          <w:rFonts w:ascii="Times New Roman" w:hAnsi="Times New Roman"/>
          <w:szCs w:val="24"/>
        </w:rPr>
        <w:t xml:space="preserve">gencies and the Creative Europe </w:t>
      </w:r>
      <w:r>
        <w:rPr>
          <w:rFonts w:ascii="Times New Roman" w:hAnsi="Times New Roman"/>
          <w:szCs w:val="24"/>
        </w:rPr>
        <w:t>d</w:t>
      </w:r>
      <w:r w:rsidRPr="00536C05">
        <w:rPr>
          <w:rFonts w:ascii="Times New Roman" w:hAnsi="Times New Roman"/>
          <w:szCs w:val="24"/>
        </w:rPr>
        <w:t>esks to provide support to participants so that they can resume their activities after the pandemic in a sustainable way (</w:t>
      </w:r>
      <w:r w:rsidRPr="00536C05">
        <w:rPr>
          <w:rFonts w:ascii="Times New Roman" w:hAnsi="Times New Roman"/>
          <w:b/>
          <w:szCs w:val="24"/>
        </w:rPr>
        <w:t>paragraph 3</w:t>
      </w:r>
      <w:r w:rsidRPr="00536C05">
        <w:rPr>
          <w:rFonts w:ascii="Times New Roman" w:hAnsi="Times New Roman"/>
          <w:szCs w:val="24"/>
        </w:rPr>
        <w:t>), the Commission is applying maximum flexibility to the management of programmes by allowing ongoing project beneficiaries to adapt their activities to the new circumstances without financial penalties, including the possibility to use alternative digital solutions to replace physical activities, such as a mix of virtual and physical mobility and virtual meetings.</w:t>
      </w:r>
      <w:proofErr w:type="gramEnd"/>
      <w:r w:rsidRPr="00536C05">
        <w:rPr>
          <w:rFonts w:ascii="Times New Roman" w:hAnsi="Times New Roman"/>
          <w:szCs w:val="24"/>
        </w:rPr>
        <w:t xml:space="preserve"> </w:t>
      </w:r>
      <w:r w:rsidRPr="00A964D0">
        <w:rPr>
          <w:rFonts w:ascii="Times New Roman" w:hAnsi="Times New Roman"/>
          <w:szCs w:val="24"/>
        </w:rPr>
        <w:t>Pr</w:t>
      </w:r>
      <w:r w:rsidRPr="00A964D0">
        <w:rPr>
          <w:rFonts w:ascii="Times New Roman" w:hAnsi="Times New Roman"/>
          <w:color w:val="666666"/>
          <w:szCs w:val="24"/>
          <w:shd w:val="clear" w:color="auto" w:fill="FFFFFF"/>
        </w:rPr>
        <w:t xml:space="preserve">ogrammes </w:t>
      </w:r>
      <w:r>
        <w:rPr>
          <w:rFonts w:ascii="Times New Roman" w:hAnsi="Times New Roman"/>
          <w:color w:val="666666"/>
          <w:szCs w:val="24"/>
          <w:shd w:val="clear" w:color="auto" w:fill="FFFFFF"/>
        </w:rPr>
        <w:t xml:space="preserve">under Erasmus+, Creative Europe, and the European Solidarity Corps </w:t>
      </w:r>
      <w:proofErr w:type="gramStart"/>
      <w:r w:rsidRPr="00AD64D1">
        <w:rPr>
          <w:rFonts w:ascii="Times New Roman" w:hAnsi="Times New Roman"/>
          <w:color w:val="666666"/>
          <w:szCs w:val="24"/>
          <w:shd w:val="clear" w:color="auto" w:fill="FFFFFF"/>
        </w:rPr>
        <w:t xml:space="preserve">should be </w:t>
      </w:r>
      <w:r>
        <w:rPr>
          <w:rFonts w:ascii="Times New Roman" w:hAnsi="Times New Roman"/>
          <w:color w:val="666666"/>
          <w:szCs w:val="24"/>
          <w:shd w:val="clear" w:color="auto" w:fill="FFFFFF"/>
        </w:rPr>
        <w:t>made</w:t>
      </w:r>
      <w:proofErr w:type="gramEnd"/>
      <w:r>
        <w:rPr>
          <w:rFonts w:ascii="Times New Roman" w:hAnsi="Times New Roman"/>
          <w:color w:val="666666"/>
          <w:szCs w:val="24"/>
          <w:shd w:val="clear" w:color="auto" w:fill="FFFFFF"/>
        </w:rPr>
        <w:t xml:space="preserve"> </w:t>
      </w:r>
      <w:r w:rsidRPr="00AD64D1">
        <w:rPr>
          <w:rFonts w:ascii="Times New Roman" w:hAnsi="Times New Roman"/>
          <w:color w:val="666666"/>
          <w:szCs w:val="24"/>
          <w:shd w:val="clear" w:color="auto" w:fill="FFFFFF"/>
        </w:rPr>
        <w:t xml:space="preserve">accessible and </w:t>
      </w:r>
      <w:r>
        <w:rPr>
          <w:rFonts w:ascii="Times New Roman" w:hAnsi="Times New Roman"/>
        </w:rPr>
        <w:t xml:space="preserve">should ensure the increase of </w:t>
      </w:r>
      <w:r w:rsidRPr="00E24DD6">
        <w:rPr>
          <w:rFonts w:ascii="Times New Roman" w:hAnsi="Times New Roman"/>
        </w:rPr>
        <w:t>cultural</w:t>
      </w:r>
      <w:r>
        <w:rPr>
          <w:rFonts w:ascii="Times New Roman" w:hAnsi="Times New Roman"/>
        </w:rPr>
        <w:t xml:space="preserve"> and educational </w:t>
      </w:r>
      <w:r w:rsidRPr="00A964D0">
        <w:rPr>
          <w:rFonts w:ascii="Times New Roman" w:hAnsi="Times New Roman"/>
        </w:rPr>
        <w:t xml:space="preserve">participation across the Union, in particular with regard to </w:t>
      </w:r>
      <w:r>
        <w:rPr>
          <w:rFonts w:ascii="Times New Roman" w:hAnsi="Times New Roman"/>
        </w:rPr>
        <w:t xml:space="preserve">persons </w:t>
      </w:r>
      <w:r w:rsidRPr="00A964D0">
        <w:rPr>
          <w:rFonts w:ascii="Times New Roman" w:hAnsi="Times New Roman"/>
        </w:rPr>
        <w:t xml:space="preserve">with disabilities and </w:t>
      </w:r>
      <w:r>
        <w:rPr>
          <w:rFonts w:ascii="Times New Roman" w:hAnsi="Times New Roman"/>
        </w:rPr>
        <w:t>persons</w:t>
      </w:r>
      <w:r w:rsidRPr="00A964D0">
        <w:rPr>
          <w:rFonts w:ascii="Times New Roman" w:hAnsi="Times New Roman"/>
        </w:rPr>
        <w:t xml:space="preserve"> from </w:t>
      </w:r>
      <w:r>
        <w:rPr>
          <w:rFonts w:ascii="Times New Roman" w:hAnsi="Times New Roman"/>
        </w:rPr>
        <w:t xml:space="preserve">marginalized </w:t>
      </w:r>
      <w:r w:rsidRPr="00A964D0">
        <w:rPr>
          <w:rFonts w:ascii="Times New Roman" w:hAnsi="Times New Roman"/>
        </w:rPr>
        <w:t>backgrounds</w:t>
      </w:r>
      <w:r>
        <w:rPr>
          <w:rFonts w:ascii="Times New Roman" w:hAnsi="Times New Roman"/>
        </w:rPr>
        <w:t>.</w:t>
      </w:r>
    </w:p>
    <w:p w:rsidR="00852EB9" w:rsidRPr="00536C05" w:rsidRDefault="00852EB9" w:rsidP="00852EB9">
      <w:pPr>
        <w:widowControl w:val="0"/>
        <w:spacing w:after="120"/>
        <w:jc w:val="both"/>
        <w:rPr>
          <w:rFonts w:ascii="Times New Roman" w:hAnsi="Times New Roman"/>
          <w:szCs w:val="24"/>
          <w:lang w:val="en-IE"/>
        </w:rPr>
      </w:pPr>
      <w:r w:rsidRPr="00536C05">
        <w:rPr>
          <w:rFonts w:ascii="Times New Roman" w:hAnsi="Times New Roman"/>
          <w:szCs w:val="24"/>
        </w:rPr>
        <w:t>The Erasmus+ programme will support two additional formats of Strategic Partnerships to respond to the educational challenges resulting from the COVID-19 pandemic. The first call aims at equipping education and training systems to face the challenges presented by the sudden shift to online and distance learning, including supporting teachers to develop digital competences. The second call aims to enhance skills development and competences that reinforce creativity, as well as to boost quality, innovation and recognition of youth work that support the creative potential of youth, thus contributing to the recovery resilience of the cultural and creative sectors</w:t>
      </w:r>
      <w:r>
        <w:rPr>
          <w:rFonts w:ascii="Times New Roman" w:hAnsi="Times New Roman"/>
          <w:szCs w:val="24"/>
        </w:rPr>
        <w:t>.</w:t>
      </w:r>
    </w:p>
    <w:p w:rsidR="00852EB9" w:rsidRPr="00536C05" w:rsidRDefault="00852EB9" w:rsidP="00852EB9">
      <w:pPr>
        <w:widowControl w:val="0"/>
        <w:spacing w:after="120"/>
        <w:jc w:val="both"/>
        <w:rPr>
          <w:rFonts w:ascii="Times New Roman" w:hAnsi="Times New Roman"/>
          <w:szCs w:val="24"/>
        </w:rPr>
      </w:pPr>
      <w:r w:rsidRPr="00536C05">
        <w:rPr>
          <w:rFonts w:ascii="Times New Roman" w:hAnsi="Times New Roman"/>
          <w:szCs w:val="24"/>
        </w:rPr>
        <w:t>Concerning the call on the Commission to propose environmental, climate and sustainability indicators for the new generation of programmes (</w:t>
      </w:r>
      <w:r w:rsidRPr="00536C05">
        <w:rPr>
          <w:rFonts w:ascii="Times New Roman" w:hAnsi="Times New Roman"/>
          <w:b/>
          <w:szCs w:val="24"/>
        </w:rPr>
        <w:t>paragraph 4</w:t>
      </w:r>
      <w:r w:rsidRPr="00536C05">
        <w:rPr>
          <w:rFonts w:ascii="Times New Roman" w:hAnsi="Times New Roman"/>
          <w:szCs w:val="24"/>
        </w:rPr>
        <w:t xml:space="preserve">), the Commission recalls that indicators </w:t>
      </w:r>
      <w:proofErr w:type="gramStart"/>
      <w:r w:rsidRPr="00536C05">
        <w:rPr>
          <w:rFonts w:ascii="Times New Roman" w:hAnsi="Times New Roman"/>
          <w:szCs w:val="24"/>
        </w:rPr>
        <w:t>have been proposed</w:t>
      </w:r>
      <w:proofErr w:type="gramEnd"/>
      <w:r w:rsidRPr="00536C05">
        <w:rPr>
          <w:rFonts w:ascii="Times New Roman" w:hAnsi="Times New Roman"/>
          <w:szCs w:val="24"/>
        </w:rPr>
        <w:t xml:space="preserve"> to the co-legislators. Once established, regular reporting on these indicators </w:t>
      </w:r>
      <w:proofErr w:type="gramStart"/>
      <w:r w:rsidRPr="00536C05">
        <w:rPr>
          <w:rFonts w:ascii="Times New Roman" w:hAnsi="Times New Roman"/>
          <w:szCs w:val="24"/>
        </w:rPr>
        <w:t>will be ensured</w:t>
      </w:r>
      <w:proofErr w:type="gramEnd"/>
      <w:r w:rsidRPr="00536C05">
        <w:rPr>
          <w:rFonts w:ascii="Times New Roman" w:hAnsi="Times New Roman"/>
          <w:szCs w:val="24"/>
        </w:rPr>
        <w:t>.</w:t>
      </w:r>
    </w:p>
    <w:p w:rsidR="00852EB9" w:rsidRPr="00536C05" w:rsidRDefault="00852EB9" w:rsidP="00852EB9">
      <w:pPr>
        <w:widowControl w:val="0"/>
        <w:spacing w:after="120"/>
        <w:jc w:val="both"/>
        <w:rPr>
          <w:rFonts w:ascii="Times New Roman" w:hAnsi="Times New Roman"/>
          <w:szCs w:val="24"/>
        </w:rPr>
      </w:pPr>
      <w:r w:rsidRPr="00536C05">
        <w:rPr>
          <w:rFonts w:ascii="Times New Roman" w:hAnsi="Times New Roman"/>
          <w:szCs w:val="24"/>
        </w:rPr>
        <w:t>Regarding the call on the Commission to record and calculate participants’ individual transport-</w:t>
      </w:r>
      <w:r w:rsidRPr="00536C05">
        <w:rPr>
          <w:rFonts w:ascii="Times New Roman" w:hAnsi="Times New Roman"/>
          <w:szCs w:val="24"/>
        </w:rPr>
        <w:lastRenderedPageBreak/>
        <w:t>related carbon footprints and to make relevant data easily accessible to the public (</w:t>
      </w:r>
      <w:r w:rsidRPr="00536C05">
        <w:rPr>
          <w:rFonts w:ascii="Times New Roman" w:hAnsi="Times New Roman"/>
          <w:b/>
          <w:szCs w:val="24"/>
        </w:rPr>
        <w:t>paragraph 5</w:t>
      </w:r>
      <w:r w:rsidRPr="00536C05">
        <w:rPr>
          <w:rFonts w:ascii="Times New Roman" w:hAnsi="Times New Roman"/>
          <w:szCs w:val="24"/>
        </w:rPr>
        <w:t>), the Commission is planning to register in its IT tools for Erasmus+ and the European Solidarity Corps the main means of transport used by participants and the distance travelled. This will allow calculating individual transport-related carbon footprints and monitoring the evolution over the years. The Commission will analyse how best to make relevant results accessible to the public. In addition, the Commission will analyse the possibility of making a similar calculation tool available for journeys undertaken under the Creative Europe programme.</w:t>
      </w:r>
    </w:p>
    <w:p w:rsidR="00852EB9" w:rsidRPr="00536C05" w:rsidRDefault="00852EB9" w:rsidP="00852EB9">
      <w:pPr>
        <w:widowControl w:val="0"/>
        <w:spacing w:after="120"/>
        <w:jc w:val="both"/>
        <w:rPr>
          <w:rFonts w:ascii="Times New Roman" w:hAnsi="Times New Roman"/>
          <w:szCs w:val="24"/>
        </w:rPr>
      </w:pPr>
      <w:proofErr w:type="gramStart"/>
      <w:r w:rsidRPr="00536C05">
        <w:rPr>
          <w:rFonts w:ascii="Times New Roman" w:hAnsi="Times New Roman"/>
          <w:szCs w:val="24"/>
        </w:rPr>
        <w:t>As for the call on the Commission to work with stakeholders in order to develop a list of recommendations based on the analysis of good practices, to improve communication and to set up a SALTO</w:t>
      </w:r>
      <w:r>
        <w:rPr>
          <w:rFonts w:ascii="Times New Roman" w:hAnsi="Times New Roman"/>
          <w:szCs w:val="24"/>
        </w:rPr>
        <w:t xml:space="preserve"> (</w:t>
      </w:r>
      <w:r w:rsidRPr="00B64E18">
        <w:rPr>
          <w:rFonts w:ascii="Times New Roman" w:hAnsi="Times New Roman"/>
          <w:szCs w:val="24"/>
        </w:rPr>
        <w:t>Support, Advanced Learning and Training Opportunities</w:t>
      </w:r>
      <w:r>
        <w:rPr>
          <w:rFonts w:ascii="Times New Roman" w:hAnsi="Times New Roman"/>
          <w:szCs w:val="24"/>
        </w:rPr>
        <w:t>)</w:t>
      </w:r>
      <w:r w:rsidRPr="00536C05">
        <w:rPr>
          <w:rFonts w:ascii="Times New Roman" w:hAnsi="Times New Roman"/>
          <w:szCs w:val="24"/>
        </w:rPr>
        <w:t xml:space="preserve"> platform for greening (</w:t>
      </w:r>
      <w:r w:rsidRPr="00536C05">
        <w:rPr>
          <w:rFonts w:ascii="Times New Roman" w:hAnsi="Times New Roman"/>
          <w:b/>
          <w:szCs w:val="24"/>
        </w:rPr>
        <w:t>paragraphs 6</w:t>
      </w:r>
      <w:r>
        <w:rPr>
          <w:rFonts w:ascii="Times New Roman" w:hAnsi="Times New Roman"/>
          <w:b/>
          <w:szCs w:val="24"/>
        </w:rPr>
        <w:t xml:space="preserve">, </w:t>
      </w:r>
      <w:r w:rsidRPr="00536C05">
        <w:rPr>
          <w:rFonts w:ascii="Times New Roman" w:hAnsi="Times New Roman"/>
          <w:b/>
          <w:szCs w:val="24"/>
        </w:rPr>
        <w:t>7</w:t>
      </w:r>
      <w:r>
        <w:rPr>
          <w:rFonts w:ascii="Times New Roman" w:hAnsi="Times New Roman"/>
          <w:b/>
          <w:szCs w:val="24"/>
        </w:rPr>
        <w:t xml:space="preserve"> and </w:t>
      </w:r>
      <w:r w:rsidRPr="00536C05">
        <w:rPr>
          <w:rFonts w:ascii="Times New Roman" w:hAnsi="Times New Roman"/>
          <w:b/>
          <w:szCs w:val="24"/>
        </w:rPr>
        <w:t>24</w:t>
      </w:r>
      <w:r w:rsidRPr="00536C05">
        <w:rPr>
          <w:rFonts w:ascii="Times New Roman" w:hAnsi="Times New Roman"/>
          <w:szCs w:val="24"/>
        </w:rPr>
        <w:t>), the Commission is considering to set up a support network with the</w:t>
      </w:r>
      <w:r>
        <w:rPr>
          <w:rFonts w:ascii="Times New Roman" w:hAnsi="Times New Roman"/>
          <w:szCs w:val="24"/>
        </w:rPr>
        <w:t xml:space="preserve"> national a</w:t>
      </w:r>
      <w:r w:rsidRPr="00536C05">
        <w:rPr>
          <w:rFonts w:ascii="Times New Roman" w:hAnsi="Times New Roman"/>
          <w:szCs w:val="24"/>
        </w:rPr>
        <w:t>gencies to this effect.</w:t>
      </w:r>
      <w:proofErr w:type="gramEnd"/>
      <w:r w:rsidRPr="00536C05">
        <w:rPr>
          <w:rFonts w:ascii="Times New Roman" w:hAnsi="Times New Roman"/>
          <w:szCs w:val="24"/>
        </w:rPr>
        <w:t xml:space="preserve"> This network would gather and share good practices, build capacity for green practices within</w:t>
      </w:r>
      <w:r>
        <w:rPr>
          <w:rFonts w:ascii="Times New Roman" w:hAnsi="Times New Roman"/>
          <w:szCs w:val="24"/>
        </w:rPr>
        <w:t xml:space="preserve"> n</w:t>
      </w:r>
      <w:r w:rsidRPr="00536C05">
        <w:rPr>
          <w:rFonts w:ascii="Times New Roman" w:hAnsi="Times New Roman"/>
          <w:szCs w:val="24"/>
        </w:rPr>
        <w:t xml:space="preserve">ational </w:t>
      </w:r>
      <w:r>
        <w:rPr>
          <w:rFonts w:ascii="Times New Roman" w:hAnsi="Times New Roman"/>
          <w:szCs w:val="24"/>
        </w:rPr>
        <w:t>a</w:t>
      </w:r>
      <w:r w:rsidRPr="00536C05">
        <w:rPr>
          <w:rFonts w:ascii="Times New Roman" w:hAnsi="Times New Roman"/>
          <w:szCs w:val="24"/>
        </w:rPr>
        <w:t>gencies and elaborate ‘eco-tips’ for participants and organisations with a view to making their mobility and activities more sustainable. The Commission is also exploring the possibility of introducing an eco-label to give visibility to projects meeting certain sustainability standards</w:t>
      </w:r>
      <w:r>
        <w:rPr>
          <w:rFonts w:ascii="Times New Roman" w:hAnsi="Times New Roman"/>
          <w:szCs w:val="24"/>
        </w:rPr>
        <w:t>.</w:t>
      </w:r>
    </w:p>
    <w:p w:rsidR="00852EB9" w:rsidRPr="00536C05" w:rsidRDefault="00852EB9" w:rsidP="00852EB9">
      <w:pPr>
        <w:widowControl w:val="0"/>
        <w:spacing w:after="120"/>
        <w:jc w:val="both"/>
        <w:rPr>
          <w:rFonts w:ascii="Times New Roman" w:hAnsi="Times New Roman"/>
          <w:szCs w:val="24"/>
        </w:rPr>
      </w:pPr>
      <w:r w:rsidRPr="00536C05">
        <w:rPr>
          <w:rFonts w:ascii="Times New Roman" w:hAnsi="Times New Roman"/>
          <w:szCs w:val="24"/>
        </w:rPr>
        <w:t xml:space="preserve">Concerning the call on the Commission to provide guidance to </w:t>
      </w:r>
      <w:r>
        <w:rPr>
          <w:rFonts w:ascii="Times New Roman" w:hAnsi="Times New Roman"/>
          <w:szCs w:val="24"/>
        </w:rPr>
        <w:t>n</w:t>
      </w:r>
      <w:r w:rsidRPr="00536C05">
        <w:rPr>
          <w:rFonts w:ascii="Times New Roman" w:hAnsi="Times New Roman"/>
          <w:szCs w:val="24"/>
        </w:rPr>
        <w:t xml:space="preserve">ational </w:t>
      </w:r>
      <w:r>
        <w:rPr>
          <w:rFonts w:ascii="Times New Roman" w:hAnsi="Times New Roman"/>
          <w:szCs w:val="24"/>
        </w:rPr>
        <w:t>a</w:t>
      </w:r>
      <w:r w:rsidRPr="00536C05">
        <w:rPr>
          <w:rFonts w:ascii="Times New Roman" w:hAnsi="Times New Roman"/>
          <w:szCs w:val="24"/>
        </w:rPr>
        <w:t xml:space="preserve">gencies and Creative Europe </w:t>
      </w:r>
      <w:r>
        <w:rPr>
          <w:rFonts w:ascii="Times New Roman" w:hAnsi="Times New Roman"/>
          <w:szCs w:val="24"/>
        </w:rPr>
        <w:t>d</w:t>
      </w:r>
      <w:r w:rsidRPr="00536C05">
        <w:rPr>
          <w:rFonts w:ascii="Times New Roman" w:hAnsi="Times New Roman"/>
          <w:szCs w:val="24"/>
        </w:rPr>
        <w:t xml:space="preserve">esks, and to support and foster dialogue with stakeholders to ensure that synergies </w:t>
      </w:r>
      <w:proofErr w:type="gramStart"/>
      <w:r w:rsidRPr="00536C05">
        <w:rPr>
          <w:rFonts w:ascii="Times New Roman" w:hAnsi="Times New Roman"/>
          <w:szCs w:val="24"/>
        </w:rPr>
        <w:t>are achieved</w:t>
      </w:r>
      <w:proofErr w:type="gramEnd"/>
      <w:r w:rsidRPr="00536C05">
        <w:rPr>
          <w:rFonts w:ascii="Times New Roman" w:hAnsi="Times New Roman"/>
          <w:szCs w:val="24"/>
        </w:rPr>
        <w:t xml:space="preserve"> in practice (</w:t>
      </w:r>
      <w:r w:rsidRPr="00536C05">
        <w:rPr>
          <w:rFonts w:ascii="Times New Roman" w:hAnsi="Times New Roman"/>
          <w:b/>
          <w:szCs w:val="24"/>
        </w:rPr>
        <w:t>paragraph 20</w:t>
      </w:r>
      <w:r w:rsidRPr="00536C05">
        <w:rPr>
          <w:rFonts w:ascii="Times New Roman" w:hAnsi="Times New Roman"/>
          <w:szCs w:val="24"/>
        </w:rPr>
        <w:t>), the Commission continues to cooperat</w:t>
      </w:r>
      <w:r>
        <w:rPr>
          <w:rFonts w:ascii="Times New Roman" w:hAnsi="Times New Roman"/>
          <w:szCs w:val="24"/>
        </w:rPr>
        <w:t>e with and provide guidance to national a</w:t>
      </w:r>
      <w:r w:rsidRPr="00536C05">
        <w:rPr>
          <w:rFonts w:ascii="Times New Roman" w:hAnsi="Times New Roman"/>
          <w:szCs w:val="24"/>
        </w:rPr>
        <w:t xml:space="preserve">gencies and to facilitate the exchange </w:t>
      </w:r>
      <w:r>
        <w:rPr>
          <w:rFonts w:ascii="Times New Roman" w:hAnsi="Times New Roman"/>
          <w:szCs w:val="24"/>
        </w:rPr>
        <w:t>of good practices between them.</w:t>
      </w:r>
    </w:p>
    <w:p w:rsidR="00852EB9" w:rsidRPr="00536C05" w:rsidRDefault="00852EB9" w:rsidP="00852EB9">
      <w:pPr>
        <w:widowControl w:val="0"/>
        <w:spacing w:after="120"/>
        <w:jc w:val="both"/>
        <w:rPr>
          <w:rFonts w:ascii="Times New Roman" w:hAnsi="Times New Roman"/>
          <w:szCs w:val="24"/>
        </w:rPr>
      </w:pPr>
      <w:proofErr w:type="gramStart"/>
      <w:r w:rsidRPr="00536C05">
        <w:rPr>
          <w:rFonts w:ascii="Times New Roman" w:hAnsi="Times New Roman"/>
          <w:szCs w:val="24"/>
        </w:rPr>
        <w:t xml:space="preserve">In relation to the call on the Commission to encourage </w:t>
      </w:r>
      <w:r>
        <w:rPr>
          <w:rFonts w:ascii="Times New Roman" w:hAnsi="Times New Roman"/>
          <w:szCs w:val="24"/>
        </w:rPr>
        <w:t>n</w:t>
      </w:r>
      <w:r w:rsidRPr="00536C05">
        <w:rPr>
          <w:rFonts w:ascii="Times New Roman" w:hAnsi="Times New Roman"/>
          <w:szCs w:val="24"/>
        </w:rPr>
        <w:t xml:space="preserve">ational </w:t>
      </w:r>
      <w:r>
        <w:rPr>
          <w:rFonts w:ascii="Times New Roman" w:hAnsi="Times New Roman"/>
          <w:szCs w:val="24"/>
        </w:rPr>
        <w:t>a</w:t>
      </w:r>
      <w:r w:rsidRPr="00536C05">
        <w:rPr>
          <w:rFonts w:ascii="Times New Roman" w:hAnsi="Times New Roman"/>
          <w:szCs w:val="24"/>
        </w:rPr>
        <w:t xml:space="preserve">gencies, Creative Europe </w:t>
      </w:r>
      <w:r>
        <w:rPr>
          <w:rFonts w:ascii="Times New Roman" w:hAnsi="Times New Roman"/>
          <w:szCs w:val="24"/>
        </w:rPr>
        <w:t>d</w:t>
      </w:r>
      <w:r w:rsidRPr="00536C05">
        <w:rPr>
          <w:rFonts w:ascii="Times New Roman" w:hAnsi="Times New Roman"/>
          <w:szCs w:val="24"/>
        </w:rPr>
        <w:t>esks and project developers to register with the EU Eco-Management and Audit Scheme (EMAS)</w:t>
      </w:r>
      <w:r w:rsidRPr="00536C05">
        <w:rPr>
          <w:rStyle w:val="FootnoteReference"/>
          <w:rFonts w:ascii="Times New Roman" w:hAnsi="Times New Roman"/>
          <w:szCs w:val="24"/>
        </w:rPr>
        <w:footnoteReference w:id="1"/>
      </w:r>
      <w:r w:rsidRPr="00536C05">
        <w:rPr>
          <w:rFonts w:ascii="Times New Roman" w:hAnsi="Times New Roman"/>
          <w:szCs w:val="24"/>
        </w:rPr>
        <w:t xml:space="preserve"> and to coordinate their efforts to reduce their environmental footprint (</w:t>
      </w:r>
      <w:r w:rsidRPr="00536C05">
        <w:rPr>
          <w:rFonts w:ascii="Times New Roman" w:hAnsi="Times New Roman"/>
          <w:b/>
          <w:szCs w:val="24"/>
        </w:rPr>
        <w:t>paragraph</w:t>
      </w:r>
      <w:r>
        <w:rPr>
          <w:rFonts w:ascii="Times New Roman" w:hAnsi="Times New Roman"/>
          <w:b/>
          <w:szCs w:val="24"/>
        </w:rPr>
        <w:t> </w:t>
      </w:r>
      <w:r w:rsidRPr="00536C05">
        <w:rPr>
          <w:rFonts w:ascii="Times New Roman" w:hAnsi="Times New Roman"/>
          <w:b/>
          <w:szCs w:val="24"/>
        </w:rPr>
        <w:t>10</w:t>
      </w:r>
      <w:r w:rsidRPr="00536C05">
        <w:rPr>
          <w:rFonts w:ascii="Times New Roman" w:hAnsi="Times New Roman"/>
          <w:szCs w:val="24"/>
        </w:rPr>
        <w:t xml:space="preserve">), the Commission will foster the adoption of sustainable practices in the daily </w:t>
      </w:r>
      <w:r>
        <w:rPr>
          <w:rFonts w:ascii="Times New Roman" w:hAnsi="Times New Roman"/>
          <w:szCs w:val="24"/>
        </w:rPr>
        <w:t>work of the national a</w:t>
      </w:r>
      <w:r w:rsidRPr="00536C05">
        <w:rPr>
          <w:rFonts w:ascii="Times New Roman" w:hAnsi="Times New Roman"/>
          <w:szCs w:val="24"/>
        </w:rPr>
        <w:t>gencies</w:t>
      </w:r>
      <w:r>
        <w:rPr>
          <w:rFonts w:ascii="Times New Roman" w:hAnsi="Times New Roman"/>
          <w:szCs w:val="24"/>
        </w:rPr>
        <w:t xml:space="preserve"> and Creative Europe d</w:t>
      </w:r>
      <w:r w:rsidRPr="00536C05">
        <w:rPr>
          <w:rFonts w:ascii="Times New Roman" w:hAnsi="Times New Roman"/>
          <w:szCs w:val="24"/>
        </w:rPr>
        <w:t>esks.</w:t>
      </w:r>
      <w:proofErr w:type="gramEnd"/>
      <w:r w:rsidRPr="00536C05">
        <w:rPr>
          <w:rFonts w:ascii="Times New Roman" w:hAnsi="Times New Roman"/>
          <w:szCs w:val="24"/>
        </w:rPr>
        <w:t xml:space="preserve"> Public recommendations provided by EMAS </w:t>
      </w:r>
      <w:proofErr w:type="gramStart"/>
      <w:r w:rsidRPr="00536C05">
        <w:rPr>
          <w:rFonts w:ascii="Times New Roman" w:hAnsi="Times New Roman"/>
          <w:szCs w:val="24"/>
        </w:rPr>
        <w:t>can be shared</w:t>
      </w:r>
      <w:proofErr w:type="gramEnd"/>
      <w:r w:rsidRPr="00536C05">
        <w:rPr>
          <w:rFonts w:ascii="Times New Roman" w:hAnsi="Times New Roman"/>
          <w:szCs w:val="24"/>
        </w:rPr>
        <w:t xml:space="preserve"> and practical examples offered when organising events and activities. The Commission has started this process earlier this year, with the organisation of a</w:t>
      </w:r>
      <w:r>
        <w:rPr>
          <w:rFonts w:ascii="Times New Roman" w:hAnsi="Times New Roman"/>
          <w:szCs w:val="24"/>
        </w:rPr>
        <w:t xml:space="preserve"> workshop for stakeholders and national a</w:t>
      </w:r>
      <w:r w:rsidRPr="00536C05">
        <w:rPr>
          <w:rFonts w:ascii="Times New Roman" w:hAnsi="Times New Roman"/>
          <w:szCs w:val="24"/>
        </w:rPr>
        <w:t>gencies, in cooperation with EMAS, on how to organise more sustainable events.</w:t>
      </w:r>
    </w:p>
    <w:p w:rsidR="00852EB9" w:rsidRPr="00536C05" w:rsidRDefault="00852EB9" w:rsidP="00852EB9">
      <w:pPr>
        <w:widowControl w:val="0"/>
        <w:spacing w:after="120"/>
        <w:jc w:val="both"/>
        <w:rPr>
          <w:rFonts w:ascii="Times New Roman" w:hAnsi="Times New Roman"/>
          <w:szCs w:val="24"/>
        </w:rPr>
      </w:pPr>
      <w:r w:rsidRPr="00536C05">
        <w:rPr>
          <w:rFonts w:ascii="Times New Roman" w:hAnsi="Times New Roman"/>
          <w:szCs w:val="24"/>
        </w:rPr>
        <w:t>Regarding the call on the Commission</w:t>
      </w:r>
      <w:r>
        <w:rPr>
          <w:rFonts w:ascii="Times New Roman" w:hAnsi="Times New Roman"/>
          <w:szCs w:val="24"/>
        </w:rPr>
        <w:t>, the n</w:t>
      </w:r>
      <w:r w:rsidRPr="00536C05">
        <w:rPr>
          <w:rFonts w:ascii="Times New Roman" w:hAnsi="Times New Roman"/>
          <w:szCs w:val="24"/>
        </w:rPr>
        <w:t xml:space="preserve">ational </w:t>
      </w:r>
      <w:r>
        <w:rPr>
          <w:rFonts w:ascii="Times New Roman" w:hAnsi="Times New Roman"/>
          <w:szCs w:val="24"/>
        </w:rPr>
        <w:t>a</w:t>
      </w:r>
      <w:r w:rsidRPr="00536C05">
        <w:rPr>
          <w:rFonts w:ascii="Times New Roman" w:hAnsi="Times New Roman"/>
          <w:szCs w:val="24"/>
        </w:rPr>
        <w:t xml:space="preserve">gencies and the Creative Europe </w:t>
      </w:r>
      <w:r>
        <w:rPr>
          <w:rFonts w:ascii="Times New Roman" w:hAnsi="Times New Roman"/>
          <w:szCs w:val="24"/>
        </w:rPr>
        <w:t>d</w:t>
      </w:r>
      <w:r w:rsidRPr="00536C05">
        <w:rPr>
          <w:rFonts w:ascii="Times New Roman" w:hAnsi="Times New Roman"/>
          <w:szCs w:val="24"/>
        </w:rPr>
        <w:t xml:space="preserve">esks to establish criteria so that environmental aspects of projects </w:t>
      </w:r>
      <w:proofErr w:type="gramStart"/>
      <w:r w:rsidRPr="00536C05">
        <w:rPr>
          <w:rFonts w:ascii="Times New Roman" w:hAnsi="Times New Roman"/>
          <w:szCs w:val="24"/>
        </w:rPr>
        <w:t>can be factored</w:t>
      </w:r>
      <w:proofErr w:type="gramEnd"/>
      <w:r w:rsidRPr="00536C05">
        <w:rPr>
          <w:rFonts w:ascii="Times New Roman" w:hAnsi="Times New Roman"/>
          <w:szCs w:val="24"/>
        </w:rPr>
        <w:t xml:space="preserve"> into project evaluation (</w:t>
      </w:r>
      <w:r w:rsidRPr="00536C05">
        <w:rPr>
          <w:rFonts w:ascii="Times New Roman" w:hAnsi="Times New Roman"/>
          <w:b/>
          <w:szCs w:val="24"/>
        </w:rPr>
        <w:t>paragraphs 11</w:t>
      </w:r>
      <w:r w:rsidRPr="00536C05">
        <w:rPr>
          <w:rFonts w:ascii="Times New Roman" w:hAnsi="Times New Roman"/>
          <w:szCs w:val="24"/>
        </w:rPr>
        <w:t>), the Commission will continue to include a horizontal priority on environment and climate</w:t>
      </w:r>
      <w:r>
        <w:rPr>
          <w:rFonts w:ascii="Times New Roman" w:hAnsi="Times New Roman"/>
          <w:szCs w:val="24"/>
        </w:rPr>
        <w:t xml:space="preserve"> for the selection of projects.</w:t>
      </w:r>
    </w:p>
    <w:p w:rsidR="00852EB9" w:rsidRPr="00536C05" w:rsidRDefault="00852EB9" w:rsidP="00852EB9">
      <w:pPr>
        <w:widowControl w:val="0"/>
        <w:spacing w:after="120"/>
        <w:jc w:val="both"/>
        <w:rPr>
          <w:rFonts w:ascii="Times New Roman" w:hAnsi="Times New Roman"/>
          <w:szCs w:val="24"/>
        </w:rPr>
      </w:pPr>
      <w:r w:rsidRPr="00536C05">
        <w:rPr>
          <w:rFonts w:ascii="Times New Roman" w:hAnsi="Times New Roman"/>
          <w:szCs w:val="24"/>
        </w:rPr>
        <w:t>As for the call on the Commission to encourage the use of virtual formats as a complement to physical mobility (</w:t>
      </w:r>
      <w:r w:rsidRPr="00536C05">
        <w:rPr>
          <w:rFonts w:ascii="Times New Roman" w:hAnsi="Times New Roman"/>
          <w:b/>
          <w:szCs w:val="24"/>
        </w:rPr>
        <w:t>paragraph 12</w:t>
      </w:r>
      <w:r w:rsidRPr="00536C05">
        <w:rPr>
          <w:rFonts w:ascii="Times New Roman" w:hAnsi="Times New Roman"/>
          <w:szCs w:val="24"/>
        </w:rPr>
        <w:t>), the Commission, while considering that physical mobility can never be replaced by virtual formats, is planning to expand the menu of learning formats. In particular, the Commission is looking at solutions, which would allow more virtual formats of learning and cooperation t</w:t>
      </w:r>
      <w:r>
        <w:rPr>
          <w:rFonts w:ascii="Times New Roman" w:hAnsi="Times New Roman"/>
          <w:szCs w:val="24"/>
        </w:rPr>
        <w:t>o complement physical mobility.</w:t>
      </w:r>
    </w:p>
    <w:p w:rsidR="00852EB9" w:rsidRPr="00536C05" w:rsidRDefault="00852EB9" w:rsidP="00852EB9">
      <w:pPr>
        <w:widowControl w:val="0"/>
        <w:spacing w:after="120"/>
        <w:jc w:val="both"/>
        <w:rPr>
          <w:rFonts w:ascii="Times New Roman" w:hAnsi="Times New Roman"/>
          <w:szCs w:val="24"/>
        </w:rPr>
      </w:pPr>
      <w:r w:rsidRPr="00536C05">
        <w:rPr>
          <w:rFonts w:ascii="Times New Roman" w:hAnsi="Times New Roman"/>
          <w:szCs w:val="24"/>
        </w:rPr>
        <w:t>Concerning the request to the Commission to encourage participants to choose the least polluting means of transport and to fully reimburse additional costs and journey times in this regard (</w:t>
      </w:r>
      <w:r w:rsidRPr="00536C05">
        <w:rPr>
          <w:rFonts w:ascii="Times New Roman" w:hAnsi="Times New Roman"/>
          <w:b/>
          <w:szCs w:val="24"/>
        </w:rPr>
        <w:t>paragraphs 13 and 14</w:t>
      </w:r>
      <w:r w:rsidRPr="00536C05">
        <w:rPr>
          <w:rFonts w:ascii="Times New Roman" w:hAnsi="Times New Roman"/>
          <w:szCs w:val="24"/>
        </w:rPr>
        <w:t>)</w:t>
      </w:r>
      <w:proofErr w:type="gramStart"/>
      <w:r w:rsidRPr="00536C05">
        <w:rPr>
          <w:rFonts w:ascii="Times New Roman" w:hAnsi="Times New Roman"/>
          <w:szCs w:val="24"/>
        </w:rPr>
        <w:t>,</w:t>
      </w:r>
      <w:proofErr w:type="gramEnd"/>
      <w:r w:rsidRPr="00536C05">
        <w:rPr>
          <w:rFonts w:ascii="Times New Roman" w:hAnsi="Times New Roman"/>
          <w:szCs w:val="24"/>
        </w:rPr>
        <w:t xml:space="preserve"> the Commission will introduce incentives to facilitate the use of low-carbon means of transport, including financial incentives and additional travel days when needed. The programmes will continue to ensure coverage of exceptional travel costs for participants coming from the outermost regions and remote areas.</w:t>
      </w:r>
    </w:p>
    <w:p w:rsidR="00852EB9" w:rsidRPr="00536C05" w:rsidRDefault="00852EB9" w:rsidP="00852EB9">
      <w:pPr>
        <w:widowControl w:val="0"/>
        <w:spacing w:after="120"/>
        <w:jc w:val="both"/>
        <w:rPr>
          <w:rFonts w:ascii="Times New Roman" w:hAnsi="Times New Roman"/>
          <w:szCs w:val="24"/>
        </w:rPr>
      </w:pPr>
      <w:r w:rsidRPr="00536C05">
        <w:rPr>
          <w:rFonts w:ascii="Times New Roman" w:hAnsi="Times New Roman"/>
          <w:szCs w:val="24"/>
        </w:rPr>
        <w:t>In relation to the call on the Commission to enter into partnerships with European rail operators (</w:t>
      </w:r>
      <w:r w:rsidRPr="00536C05">
        <w:rPr>
          <w:rFonts w:ascii="Times New Roman" w:hAnsi="Times New Roman"/>
          <w:b/>
          <w:szCs w:val="24"/>
        </w:rPr>
        <w:t>paragraph 15</w:t>
      </w:r>
      <w:r w:rsidRPr="00536C05">
        <w:rPr>
          <w:rFonts w:ascii="Times New Roman" w:hAnsi="Times New Roman"/>
          <w:szCs w:val="24"/>
        </w:rPr>
        <w:t>)</w:t>
      </w:r>
      <w:proofErr w:type="gramStart"/>
      <w:r w:rsidRPr="00536C05">
        <w:rPr>
          <w:rFonts w:ascii="Times New Roman" w:hAnsi="Times New Roman"/>
          <w:szCs w:val="24"/>
        </w:rPr>
        <w:t>,</w:t>
      </w:r>
      <w:proofErr w:type="gramEnd"/>
      <w:r w:rsidRPr="00536C05">
        <w:rPr>
          <w:rFonts w:ascii="Times New Roman" w:hAnsi="Times New Roman"/>
          <w:szCs w:val="24"/>
        </w:rPr>
        <w:t xml:space="preserve"> the Commission is exploring several possibilities in this regard. In this context, since </w:t>
      </w:r>
      <w:r w:rsidRPr="00536C05">
        <w:rPr>
          <w:rFonts w:ascii="Times New Roman" w:hAnsi="Times New Roman"/>
          <w:szCs w:val="24"/>
        </w:rPr>
        <w:lastRenderedPageBreak/>
        <w:t xml:space="preserve">June 2018, the </w:t>
      </w:r>
      <w:proofErr w:type="spellStart"/>
      <w:r w:rsidRPr="00536C05">
        <w:rPr>
          <w:rFonts w:ascii="Times New Roman" w:hAnsi="Times New Roman"/>
          <w:szCs w:val="24"/>
        </w:rPr>
        <w:t>DiscoverEU</w:t>
      </w:r>
      <w:proofErr w:type="spellEnd"/>
      <w:r w:rsidRPr="00536C05">
        <w:rPr>
          <w:rFonts w:ascii="Times New Roman" w:hAnsi="Times New Roman"/>
          <w:szCs w:val="24"/>
        </w:rPr>
        <w:t xml:space="preserve"> initiative</w:t>
      </w:r>
      <w:r w:rsidRPr="00536C05">
        <w:rPr>
          <w:rStyle w:val="FootnoteReference"/>
          <w:rFonts w:ascii="Times New Roman" w:hAnsi="Times New Roman"/>
          <w:szCs w:val="24"/>
        </w:rPr>
        <w:footnoteReference w:id="2"/>
      </w:r>
      <w:r w:rsidRPr="00536C05">
        <w:rPr>
          <w:rFonts w:ascii="Times New Roman" w:hAnsi="Times New Roman"/>
          <w:szCs w:val="24"/>
        </w:rPr>
        <w:t xml:space="preserve"> has been cooperating with European rail companies to give young people the opportunity to discover and learn about Europe travelling predominantly by rail.</w:t>
      </w:r>
    </w:p>
    <w:p w:rsidR="00852EB9" w:rsidRPr="00536C05" w:rsidRDefault="00852EB9" w:rsidP="00852EB9">
      <w:pPr>
        <w:widowControl w:val="0"/>
        <w:spacing w:after="120"/>
        <w:jc w:val="both"/>
        <w:rPr>
          <w:rFonts w:ascii="Times New Roman" w:hAnsi="Times New Roman"/>
          <w:szCs w:val="24"/>
        </w:rPr>
      </w:pPr>
      <w:r w:rsidRPr="00536C05">
        <w:rPr>
          <w:rFonts w:ascii="Times New Roman" w:hAnsi="Times New Roman"/>
          <w:szCs w:val="24"/>
        </w:rPr>
        <w:t>Regarding the call on the Commission to take account of the digital environmental impact of the three programmes (</w:t>
      </w:r>
      <w:r w:rsidRPr="00536C05">
        <w:rPr>
          <w:rFonts w:ascii="Times New Roman" w:hAnsi="Times New Roman"/>
          <w:b/>
          <w:szCs w:val="24"/>
        </w:rPr>
        <w:t>paragraph 18</w:t>
      </w:r>
      <w:r w:rsidRPr="00536C05">
        <w:rPr>
          <w:rFonts w:ascii="Times New Roman" w:hAnsi="Times New Roman"/>
          <w:szCs w:val="24"/>
        </w:rPr>
        <w:t>)</w:t>
      </w:r>
      <w:proofErr w:type="gramStart"/>
      <w:r w:rsidRPr="00536C05">
        <w:rPr>
          <w:rFonts w:ascii="Times New Roman" w:hAnsi="Times New Roman"/>
          <w:szCs w:val="24"/>
        </w:rPr>
        <w:t>,</w:t>
      </w:r>
      <w:proofErr w:type="gramEnd"/>
      <w:r w:rsidRPr="00536C05">
        <w:rPr>
          <w:rFonts w:ascii="Times New Roman" w:hAnsi="Times New Roman"/>
          <w:szCs w:val="24"/>
        </w:rPr>
        <w:t xml:space="preserve"> the Commission will follow the general measures proposed by the EU E</w:t>
      </w:r>
      <w:r>
        <w:rPr>
          <w:rFonts w:ascii="Times New Roman" w:hAnsi="Times New Roman"/>
          <w:szCs w:val="24"/>
        </w:rPr>
        <w:t>co-Management and Audit Scheme.</w:t>
      </w:r>
    </w:p>
    <w:p w:rsidR="00852EB9" w:rsidRPr="00536C05" w:rsidRDefault="00852EB9" w:rsidP="00852EB9">
      <w:pPr>
        <w:widowControl w:val="0"/>
        <w:spacing w:after="120"/>
        <w:jc w:val="both"/>
        <w:rPr>
          <w:rFonts w:ascii="Times New Roman" w:hAnsi="Times New Roman"/>
          <w:szCs w:val="24"/>
        </w:rPr>
      </w:pPr>
      <w:r w:rsidRPr="00536C05">
        <w:rPr>
          <w:rFonts w:ascii="Times New Roman" w:hAnsi="Times New Roman"/>
          <w:szCs w:val="24"/>
        </w:rPr>
        <w:t xml:space="preserve">As for the </w:t>
      </w:r>
      <w:proofErr w:type="gramStart"/>
      <w:r w:rsidRPr="00536C05">
        <w:rPr>
          <w:rFonts w:ascii="Times New Roman" w:hAnsi="Times New Roman"/>
          <w:szCs w:val="24"/>
        </w:rPr>
        <w:t>fact</w:t>
      </w:r>
      <w:proofErr w:type="gramEnd"/>
      <w:r w:rsidRPr="00536C05">
        <w:rPr>
          <w:rFonts w:ascii="Times New Roman" w:hAnsi="Times New Roman"/>
          <w:szCs w:val="24"/>
        </w:rPr>
        <w:t xml:space="preserve"> that many beneficiaries are small </w:t>
      </w:r>
      <w:r>
        <w:rPr>
          <w:rFonts w:ascii="Times New Roman" w:hAnsi="Times New Roman"/>
          <w:szCs w:val="24"/>
        </w:rPr>
        <w:t xml:space="preserve">and </w:t>
      </w:r>
      <w:r w:rsidRPr="00536C05">
        <w:rPr>
          <w:rFonts w:ascii="Times New Roman" w:hAnsi="Times New Roman"/>
          <w:szCs w:val="24"/>
        </w:rPr>
        <w:t>struggling with administrative requirements, and regarding the call on the Com</w:t>
      </w:r>
      <w:r>
        <w:rPr>
          <w:rFonts w:ascii="Times New Roman" w:hAnsi="Times New Roman"/>
          <w:szCs w:val="24"/>
        </w:rPr>
        <w:t>mission to provide guidance to national agencies and Creative Europe d</w:t>
      </w:r>
      <w:r w:rsidRPr="00536C05">
        <w:rPr>
          <w:rFonts w:ascii="Times New Roman" w:hAnsi="Times New Roman"/>
          <w:szCs w:val="24"/>
        </w:rPr>
        <w:t>esks (</w:t>
      </w:r>
      <w:r w:rsidRPr="00536C05">
        <w:rPr>
          <w:rFonts w:ascii="Times New Roman" w:hAnsi="Times New Roman"/>
          <w:b/>
          <w:szCs w:val="24"/>
        </w:rPr>
        <w:t>paragraph 20</w:t>
      </w:r>
      <w:r w:rsidRPr="00536C05">
        <w:rPr>
          <w:rFonts w:ascii="Times New Roman" w:hAnsi="Times New Roman"/>
          <w:szCs w:val="24"/>
        </w:rPr>
        <w:t xml:space="preserve">) in this respect, the Commission confirms that micro and small organisations represent more than 70% of Creative Europe beneficiaries. The Commission intends </w:t>
      </w:r>
      <w:proofErr w:type="gramStart"/>
      <w:r w:rsidRPr="00536C05">
        <w:rPr>
          <w:rFonts w:ascii="Times New Roman" w:hAnsi="Times New Roman"/>
          <w:szCs w:val="24"/>
        </w:rPr>
        <w:t>to further facilitate</w:t>
      </w:r>
      <w:proofErr w:type="gramEnd"/>
      <w:r w:rsidRPr="00536C05">
        <w:rPr>
          <w:rFonts w:ascii="Times New Roman" w:hAnsi="Times New Roman"/>
          <w:szCs w:val="24"/>
        </w:rPr>
        <w:t xml:space="preserve"> access to Creative Europe cooperation projects through simplification. It intends to increase co-financing rates and to guide</w:t>
      </w:r>
      <w:r>
        <w:rPr>
          <w:rFonts w:ascii="Times New Roman" w:hAnsi="Times New Roman"/>
          <w:szCs w:val="24"/>
        </w:rPr>
        <w:t xml:space="preserve"> Creative Europe d</w:t>
      </w:r>
      <w:r w:rsidRPr="00536C05">
        <w:rPr>
          <w:rFonts w:ascii="Times New Roman" w:hAnsi="Times New Roman"/>
          <w:szCs w:val="24"/>
        </w:rPr>
        <w:t>esks so that they can help applicants build transnational partnerships.</w:t>
      </w:r>
    </w:p>
    <w:p w:rsidR="00852EB9" w:rsidRPr="00536C05" w:rsidRDefault="00852EB9" w:rsidP="00852EB9">
      <w:pPr>
        <w:widowControl w:val="0"/>
        <w:spacing w:after="120"/>
        <w:jc w:val="both"/>
        <w:rPr>
          <w:rFonts w:ascii="Times New Roman" w:hAnsi="Times New Roman"/>
          <w:szCs w:val="24"/>
        </w:rPr>
      </w:pPr>
      <w:proofErr w:type="gramStart"/>
      <w:r w:rsidRPr="00536C05">
        <w:rPr>
          <w:rFonts w:ascii="Times New Roman" w:hAnsi="Times New Roman"/>
          <w:szCs w:val="24"/>
        </w:rPr>
        <w:t>Concerning the call on the Commission to include respect for the environment, sound environmental practices and environmental protection among the principles set out in the Erasmus+ Higher Education Charter (</w:t>
      </w:r>
      <w:proofErr w:type="spellStart"/>
      <w:r w:rsidRPr="00536C05">
        <w:rPr>
          <w:rFonts w:ascii="Times New Roman" w:hAnsi="Times New Roman"/>
          <w:szCs w:val="24"/>
        </w:rPr>
        <w:t>ECHE</w:t>
      </w:r>
      <w:proofErr w:type="spellEnd"/>
      <w:r w:rsidRPr="00536C05">
        <w:rPr>
          <w:rFonts w:ascii="Times New Roman" w:hAnsi="Times New Roman"/>
          <w:szCs w:val="24"/>
        </w:rPr>
        <w:t>)</w:t>
      </w:r>
      <w:r w:rsidRPr="00536C05">
        <w:rPr>
          <w:rStyle w:val="FootnoteReference"/>
          <w:rFonts w:ascii="Times New Roman" w:hAnsi="Times New Roman"/>
          <w:szCs w:val="24"/>
        </w:rPr>
        <w:footnoteReference w:id="3"/>
      </w:r>
      <w:r w:rsidRPr="00536C05">
        <w:rPr>
          <w:rFonts w:ascii="Times New Roman" w:hAnsi="Times New Roman"/>
          <w:szCs w:val="24"/>
        </w:rPr>
        <w:t xml:space="preserve"> (</w:t>
      </w:r>
      <w:r w:rsidRPr="00536C05">
        <w:rPr>
          <w:rFonts w:ascii="Times New Roman" w:hAnsi="Times New Roman"/>
          <w:b/>
          <w:szCs w:val="24"/>
        </w:rPr>
        <w:t>paragraph 21</w:t>
      </w:r>
      <w:r w:rsidRPr="00536C05">
        <w:rPr>
          <w:rFonts w:ascii="Times New Roman" w:hAnsi="Times New Roman"/>
          <w:szCs w:val="24"/>
        </w:rPr>
        <w:t xml:space="preserve">), the Commission has reviewed the principles of the 2021-2027 </w:t>
      </w:r>
      <w:proofErr w:type="spellStart"/>
      <w:r w:rsidRPr="00536C05">
        <w:rPr>
          <w:rFonts w:ascii="Times New Roman" w:hAnsi="Times New Roman"/>
          <w:szCs w:val="24"/>
        </w:rPr>
        <w:t>ECHE</w:t>
      </w:r>
      <w:proofErr w:type="spellEnd"/>
      <w:r w:rsidRPr="00536C05">
        <w:rPr>
          <w:rFonts w:ascii="Times New Roman" w:hAnsi="Times New Roman"/>
          <w:szCs w:val="24"/>
        </w:rPr>
        <w:t>, and included a new provision requesting the higher education institutions to “promote environmentally friendly practices in all activities related to the Programme.”</w:t>
      </w:r>
      <w:proofErr w:type="gramEnd"/>
      <w:r w:rsidRPr="00536C05">
        <w:rPr>
          <w:rFonts w:ascii="Times New Roman" w:hAnsi="Times New Roman"/>
          <w:szCs w:val="24"/>
        </w:rPr>
        <w:t xml:space="preserve"> In addition, one of the selection criteria for awarding the </w:t>
      </w:r>
      <w:proofErr w:type="spellStart"/>
      <w:r w:rsidRPr="00536C05">
        <w:rPr>
          <w:rFonts w:ascii="Times New Roman" w:hAnsi="Times New Roman"/>
          <w:szCs w:val="24"/>
        </w:rPr>
        <w:t>ECHE</w:t>
      </w:r>
      <w:proofErr w:type="spellEnd"/>
      <w:r w:rsidRPr="00536C05">
        <w:rPr>
          <w:rFonts w:ascii="Times New Roman" w:hAnsi="Times New Roman"/>
          <w:szCs w:val="24"/>
        </w:rPr>
        <w:t xml:space="preserve"> 2021-2027 is an explicit commitment to this principle, where higher education institutions need to indicate how they will promote environmentally friendly practices in the context of Erasmus. Several of the 41 European Universities have already committed to mainstreaming teaching and training on environmental and sustainable development issues. This will serve as inspiration and good practice for the broad higher education community in Europe.</w:t>
      </w:r>
    </w:p>
    <w:p w:rsidR="00852EB9" w:rsidRDefault="00852EB9" w:rsidP="00852EB9">
      <w:pPr>
        <w:widowControl w:val="0"/>
        <w:spacing w:after="120"/>
        <w:jc w:val="both"/>
        <w:rPr>
          <w:rFonts w:ascii="Times New Roman" w:hAnsi="Times New Roman"/>
          <w:szCs w:val="24"/>
        </w:rPr>
      </w:pPr>
      <w:r w:rsidRPr="00536C05">
        <w:rPr>
          <w:rFonts w:ascii="Times New Roman" w:hAnsi="Times New Roman"/>
          <w:szCs w:val="24"/>
        </w:rPr>
        <w:t>Regarding the call on the Commission to make every effort to expedite the roll-out of the European Student Card Initiative</w:t>
      </w:r>
      <w:r w:rsidRPr="00536C05">
        <w:rPr>
          <w:rStyle w:val="FootnoteReference"/>
          <w:rFonts w:ascii="Times New Roman" w:hAnsi="Times New Roman"/>
          <w:szCs w:val="24"/>
        </w:rPr>
        <w:footnoteReference w:id="4"/>
      </w:r>
      <w:r w:rsidRPr="00536C05">
        <w:rPr>
          <w:rFonts w:ascii="Times New Roman" w:hAnsi="Times New Roman"/>
          <w:szCs w:val="24"/>
        </w:rPr>
        <w:t xml:space="preserve"> (</w:t>
      </w:r>
      <w:r w:rsidRPr="00536C05">
        <w:rPr>
          <w:rFonts w:ascii="Times New Roman" w:hAnsi="Times New Roman"/>
          <w:b/>
          <w:szCs w:val="24"/>
        </w:rPr>
        <w:t>paragraph 23</w:t>
      </w:r>
      <w:r w:rsidRPr="00536C05">
        <w:rPr>
          <w:rFonts w:ascii="Times New Roman" w:hAnsi="Times New Roman"/>
          <w:szCs w:val="24"/>
        </w:rPr>
        <w:t>), the Commission agrees that this initiative will make the management of mobility easier, more efficient and greener for higher education institutions. The Commission will start the gradual rollout of these services starting in 2021, with the aim to reach all mobile students in Europe by 202</w:t>
      </w:r>
      <w:r>
        <w:rPr>
          <w:rFonts w:ascii="Times New Roman" w:hAnsi="Times New Roman"/>
          <w:szCs w:val="24"/>
        </w:rPr>
        <w:t>5 at the latest.</w:t>
      </w:r>
    </w:p>
    <w:p w:rsidR="00852EB9" w:rsidRPr="00536C05" w:rsidRDefault="00852EB9" w:rsidP="00852EB9">
      <w:pPr>
        <w:widowControl w:val="0"/>
        <w:spacing w:after="120"/>
        <w:jc w:val="both"/>
        <w:rPr>
          <w:rFonts w:ascii="Times New Roman" w:hAnsi="Times New Roman"/>
          <w:szCs w:val="24"/>
        </w:rPr>
      </w:pPr>
      <w:proofErr w:type="gramStart"/>
      <w:r w:rsidRPr="00536C05">
        <w:rPr>
          <w:rFonts w:ascii="Times New Roman" w:hAnsi="Times New Roman"/>
          <w:szCs w:val="24"/>
        </w:rPr>
        <w:t>In relation to the value of the ‘eTwinning’ network</w:t>
      </w:r>
      <w:r w:rsidRPr="00536C05">
        <w:rPr>
          <w:rStyle w:val="FootnoteReference"/>
          <w:rFonts w:ascii="Times New Roman" w:hAnsi="Times New Roman"/>
          <w:szCs w:val="24"/>
        </w:rPr>
        <w:footnoteReference w:id="5"/>
      </w:r>
      <w:r w:rsidRPr="00536C05">
        <w:rPr>
          <w:rFonts w:ascii="Times New Roman" w:hAnsi="Times New Roman"/>
          <w:szCs w:val="24"/>
        </w:rPr>
        <w:t>, particularly its annual theme for 2020 on sustainability and climate change, and in relation to the calls on the Commission to disseminate as widely as possible the annual report on this priority as well as the toolkit for teachers (</w:t>
      </w:r>
      <w:r w:rsidRPr="00536C05">
        <w:rPr>
          <w:rFonts w:ascii="Times New Roman" w:hAnsi="Times New Roman"/>
          <w:b/>
          <w:szCs w:val="24"/>
        </w:rPr>
        <w:t>paragraph 25</w:t>
      </w:r>
      <w:r w:rsidRPr="00536C05">
        <w:rPr>
          <w:rFonts w:ascii="Times New Roman" w:hAnsi="Times New Roman"/>
          <w:szCs w:val="24"/>
        </w:rPr>
        <w:t>), the Commission will continue using the ‘eTwinning’ network to promote more sustainable practices</w:t>
      </w:r>
      <w:r>
        <w:rPr>
          <w:rFonts w:ascii="Times New Roman" w:hAnsi="Times New Roman"/>
          <w:szCs w:val="24"/>
        </w:rPr>
        <w:t xml:space="preserve"> and activities among teachers.</w:t>
      </w:r>
      <w:proofErr w:type="gramEnd"/>
    </w:p>
    <w:p w:rsidR="00852EB9" w:rsidRPr="00536C05" w:rsidRDefault="00852EB9" w:rsidP="00852EB9">
      <w:pPr>
        <w:widowControl w:val="0"/>
        <w:spacing w:after="120"/>
        <w:jc w:val="both"/>
        <w:rPr>
          <w:rFonts w:ascii="Times New Roman" w:hAnsi="Times New Roman"/>
          <w:szCs w:val="24"/>
        </w:rPr>
      </w:pPr>
      <w:r w:rsidRPr="00536C05">
        <w:rPr>
          <w:rFonts w:ascii="Times New Roman" w:hAnsi="Times New Roman"/>
          <w:szCs w:val="24"/>
        </w:rPr>
        <w:t>As for the call on the Commission to take measures to support the development of school programmes on climate change and sustainability (</w:t>
      </w:r>
      <w:r w:rsidRPr="00536C05">
        <w:rPr>
          <w:rFonts w:ascii="Times New Roman" w:hAnsi="Times New Roman"/>
          <w:b/>
          <w:szCs w:val="24"/>
        </w:rPr>
        <w:t>paragraph</w:t>
      </w:r>
      <w:r>
        <w:rPr>
          <w:rFonts w:ascii="Times New Roman" w:hAnsi="Times New Roman"/>
          <w:b/>
          <w:szCs w:val="24"/>
        </w:rPr>
        <w:t>s</w:t>
      </w:r>
      <w:r w:rsidRPr="00536C05">
        <w:rPr>
          <w:rFonts w:ascii="Times New Roman" w:hAnsi="Times New Roman"/>
          <w:b/>
          <w:szCs w:val="24"/>
        </w:rPr>
        <w:t xml:space="preserve"> 26 and 28</w:t>
      </w:r>
      <w:r w:rsidRPr="00536C05">
        <w:rPr>
          <w:rFonts w:ascii="Times New Roman" w:hAnsi="Times New Roman"/>
          <w:szCs w:val="24"/>
        </w:rPr>
        <w:t>), the future Erasmus programme will support the development of education programmes, awareness raising and enhancement of knowledge in the field of climate change, the environment and sustainability. As announced in its recent Communication on achieving the European Education Area by 2025</w:t>
      </w:r>
      <w:r w:rsidRPr="00536C05">
        <w:rPr>
          <w:rStyle w:val="FootnoteReference"/>
          <w:rFonts w:ascii="Times New Roman" w:hAnsi="Times New Roman"/>
          <w:szCs w:val="24"/>
        </w:rPr>
        <w:footnoteReference w:id="6"/>
      </w:r>
      <w:r w:rsidRPr="00536C05">
        <w:rPr>
          <w:rFonts w:ascii="Times New Roman" w:hAnsi="Times New Roman"/>
          <w:szCs w:val="24"/>
        </w:rPr>
        <w:t>, the Commission will launch an Education for Climate Coalition to mobilise expertise, provide resources for networking and support creative approaches with teachers, pupils and students.</w:t>
      </w:r>
    </w:p>
    <w:p w:rsidR="00852EB9" w:rsidRPr="00536C05" w:rsidRDefault="00852EB9" w:rsidP="00852EB9">
      <w:pPr>
        <w:widowControl w:val="0"/>
        <w:spacing w:after="120"/>
        <w:jc w:val="both"/>
        <w:rPr>
          <w:rFonts w:ascii="Times New Roman" w:hAnsi="Times New Roman"/>
          <w:szCs w:val="24"/>
        </w:rPr>
      </w:pPr>
      <w:r w:rsidRPr="00536C05">
        <w:rPr>
          <w:rFonts w:ascii="Times New Roman" w:hAnsi="Times New Roman"/>
          <w:szCs w:val="24"/>
        </w:rPr>
        <w:lastRenderedPageBreak/>
        <w:t xml:space="preserve">Concerning the call on the Commission to explore which programme actions </w:t>
      </w:r>
      <w:proofErr w:type="gramStart"/>
      <w:r w:rsidRPr="00536C05">
        <w:rPr>
          <w:rFonts w:ascii="Times New Roman" w:hAnsi="Times New Roman"/>
          <w:szCs w:val="24"/>
        </w:rPr>
        <w:t>can be developed</w:t>
      </w:r>
      <w:proofErr w:type="gramEnd"/>
      <w:r w:rsidRPr="00536C05">
        <w:rPr>
          <w:rFonts w:ascii="Times New Roman" w:hAnsi="Times New Roman"/>
          <w:szCs w:val="24"/>
        </w:rPr>
        <w:t xml:space="preserve"> in depopulated rural areas (</w:t>
      </w:r>
      <w:r w:rsidRPr="00536C05">
        <w:rPr>
          <w:rFonts w:ascii="Times New Roman" w:hAnsi="Times New Roman"/>
          <w:b/>
          <w:szCs w:val="24"/>
        </w:rPr>
        <w:t>paragraph 31</w:t>
      </w:r>
      <w:r w:rsidRPr="00536C05">
        <w:rPr>
          <w:rFonts w:ascii="Times New Roman" w:hAnsi="Times New Roman"/>
          <w:szCs w:val="24"/>
        </w:rPr>
        <w:t xml:space="preserve">), the future Erasmus programme will aim to increase the number of mobility opportunities in green forward-looking fields. For example, study periods abroad, traineeships, youth or classrooms exchanges, which foster the development of competences, enhance career prospects and engage participants in subject areas which are strategic for  sustainable growth, including rural development (sustainable farming, management of natural resources, soil protection, </w:t>
      </w:r>
      <w:proofErr w:type="gramStart"/>
      <w:r w:rsidRPr="00536C05">
        <w:rPr>
          <w:rFonts w:ascii="Times New Roman" w:hAnsi="Times New Roman"/>
          <w:szCs w:val="24"/>
        </w:rPr>
        <w:t>bio</w:t>
      </w:r>
      <w:proofErr w:type="gramEnd"/>
      <w:r w:rsidRPr="00536C05">
        <w:rPr>
          <w:rFonts w:ascii="Times New Roman" w:hAnsi="Times New Roman"/>
          <w:szCs w:val="24"/>
        </w:rPr>
        <w:t xml:space="preserve"> agriculture), will be encouraged</w:t>
      </w:r>
      <w:r>
        <w:rPr>
          <w:rFonts w:ascii="Times New Roman" w:hAnsi="Times New Roman"/>
          <w:szCs w:val="24"/>
        </w:rPr>
        <w:t>.</w:t>
      </w:r>
    </w:p>
    <w:p w:rsidR="00852EB9" w:rsidRPr="00536C05" w:rsidRDefault="00852EB9" w:rsidP="00852EB9">
      <w:pPr>
        <w:pStyle w:val="Normal12"/>
        <w:spacing w:after="120"/>
        <w:jc w:val="both"/>
      </w:pPr>
      <w:proofErr w:type="gramStart"/>
      <w:r w:rsidRPr="00536C05">
        <w:t>Regarding the call to step up thematic projects, promoting the environmental, climate and sustainability dimension of the European Solidarity Corps by increasing the visibility of these projects in the Placement Administration and Support platform (PASS)</w:t>
      </w:r>
      <w:r w:rsidRPr="00536C05">
        <w:rPr>
          <w:rStyle w:val="FootnoteReference"/>
        </w:rPr>
        <w:footnoteReference w:id="7"/>
      </w:r>
      <w:r w:rsidRPr="00536C05">
        <w:t xml:space="preserve"> (</w:t>
      </w:r>
      <w:r w:rsidRPr="00536C05">
        <w:rPr>
          <w:b/>
        </w:rPr>
        <w:t>paragraph 35</w:t>
      </w:r>
      <w:r w:rsidRPr="00536C05">
        <w:t>), the Commission has already taken steps to promote projects on this topic, through publications and photo competitions on the European Solidarity Corps portal and European Youth social media channels.</w:t>
      </w:r>
      <w:proofErr w:type="gramEnd"/>
      <w:r w:rsidRPr="00536C05">
        <w:t xml:space="preserve"> The Commission will consider ways to increase visibility of these projects on the PASS platform and continue their promotion.</w:t>
      </w:r>
    </w:p>
    <w:p w:rsidR="00852EB9" w:rsidRPr="00536C05" w:rsidRDefault="00852EB9" w:rsidP="00852EB9">
      <w:pPr>
        <w:pStyle w:val="Normal12"/>
        <w:spacing w:after="120"/>
        <w:jc w:val="both"/>
      </w:pPr>
      <w:r w:rsidRPr="00536C05">
        <w:t>In relation to the call on the European Solidarity Corps National Agencies to support organisations responsible for sending and receiving Solidarity Corps participants (</w:t>
      </w:r>
      <w:r>
        <w:rPr>
          <w:b/>
        </w:rPr>
        <w:t>paragraph </w:t>
      </w:r>
      <w:r w:rsidRPr="00536C05">
        <w:rPr>
          <w:b/>
        </w:rPr>
        <w:t>36</w:t>
      </w:r>
      <w:r w:rsidRPr="00536C05">
        <w:t xml:space="preserve">), the </w:t>
      </w:r>
      <w:r>
        <w:t>n</w:t>
      </w:r>
      <w:r w:rsidRPr="00536C05">
        <w:t xml:space="preserve">ational </w:t>
      </w:r>
      <w:r>
        <w:t>a</w:t>
      </w:r>
      <w:r w:rsidRPr="00536C05">
        <w:t xml:space="preserve">gencies will continue providing guidance, counselling and advice to the beneficiaries throughout the whole project lifecycle. They can organise networking activities that can take the form of trainings, seminars or thematic activities to raise awareness and exchange practices linked to the objectives, target groups and themes of the programme, including ‘green’ topics. As regards ensuring that volunteers are aware of sound environmental practices in their daily lives, on-arrival trainings for volunteers organised by the </w:t>
      </w:r>
      <w:r>
        <w:t>n</w:t>
      </w:r>
      <w:r w:rsidRPr="00536C05">
        <w:t xml:space="preserve">ational </w:t>
      </w:r>
      <w:r>
        <w:t>a</w:t>
      </w:r>
      <w:r w:rsidRPr="00536C05">
        <w:t>gencies could be a good occasion to transmit a set of ‘eco-tips’ and examples of good practices, in addition to host organisations mainstreaming environmentally-conscious behaviour. As regards digital tools to facilitate the dissemination and exchange of good practices among participants, the Commission could envisage to develop the online features of the European Solidarity Corps Portal</w:t>
      </w:r>
      <w:r w:rsidRPr="00536C05">
        <w:rPr>
          <w:rStyle w:val="FootnoteReference"/>
        </w:rPr>
        <w:footnoteReference w:id="8"/>
      </w:r>
      <w:r w:rsidRPr="00536C05">
        <w:t xml:space="preserve"> further with a view to engaging with participants.</w:t>
      </w:r>
    </w:p>
    <w:p w:rsidR="00852EB9" w:rsidRPr="00536C05" w:rsidRDefault="00852EB9" w:rsidP="00852EB9">
      <w:pPr>
        <w:pStyle w:val="Normal12"/>
        <w:spacing w:after="120"/>
        <w:jc w:val="both"/>
      </w:pPr>
      <w:r w:rsidRPr="00536C05">
        <w:t>As for the promotion of the European Solidarity Corps projects in less popular destinations to stimulate the development of the local economy and sustainability (</w:t>
      </w:r>
      <w:r w:rsidRPr="00536C05">
        <w:rPr>
          <w:b/>
        </w:rPr>
        <w:t>paragraph 37</w:t>
      </w:r>
      <w:r w:rsidRPr="00536C05">
        <w:t xml:space="preserve">), the </w:t>
      </w:r>
      <w:r>
        <w:t>n</w:t>
      </w:r>
      <w:r w:rsidRPr="00536C05">
        <w:t xml:space="preserve">ational </w:t>
      </w:r>
      <w:r>
        <w:t>a</w:t>
      </w:r>
      <w:r w:rsidRPr="00536C05">
        <w:t>gencies are required to attract new organisations to the European Solidarity Corps to cover all regions, including remote ones. The Commission could envisage stepping up the promotion of such projects.</w:t>
      </w:r>
    </w:p>
    <w:p w:rsidR="00852EB9" w:rsidRPr="00536C05" w:rsidRDefault="00852EB9" w:rsidP="00852EB9">
      <w:pPr>
        <w:pStyle w:val="Normal12"/>
        <w:spacing w:after="120"/>
        <w:jc w:val="both"/>
      </w:pPr>
      <w:r w:rsidRPr="00536C05">
        <w:t>Concerning the call on the Commission to consult stakeholders from the cultural and creative sectors and to collect information on existing charters in the various fields of artistic activity (</w:t>
      </w:r>
      <w:r w:rsidRPr="00536C05">
        <w:rPr>
          <w:b/>
        </w:rPr>
        <w:t>paragraph 39</w:t>
      </w:r>
      <w:r w:rsidRPr="00536C05">
        <w:t>), the Commission will use relevant working groups for this purpose. These groups are composed of Member States’ experts set up to implement the Council’s Work Plan for Culture</w:t>
      </w:r>
      <w:r w:rsidRPr="00536C05">
        <w:rPr>
          <w:rStyle w:val="FootnoteReference"/>
        </w:rPr>
        <w:footnoteReference w:id="9"/>
      </w:r>
      <w:r w:rsidRPr="00536C05">
        <w:t>, which includes “Sustainability in cultural heritage” and “Culture as a driver for sustainable development” among its six priorities. Three expert groups focus on green and/</w:t>
      </w:r>
      <w:r>
        <w:t xml:space="preserve"> </w:t>
      </w:r>
      <w:r w:rsidRPr="00536C05">
        <w:t>or climate-related aspects in line with their mandates. Moreover, the Commission will soon launch a new Voices of Culture dialogue with representatives from the cultural and creative sectors on the topic of cultu</w:t>
      </w:r>
      <w:r>
        <w:t>re and sustainable development.</w:t>
      </w:r>
    </w:p>
    <w:p w:rsidR="00852EB9" w:rsidRPr="00536C05" w:rsidRDefault="00852EB9" w:rsidP="00852EB9">
      <w:pPr>
        <w:pStyle w:val="Normal12"/>
        <w:spacing w:after="120"/>
        <w:jc w:val="both"/>
        <w:rPr>
          <w:lang w:val="en-IE"/>
        </w:rPr>
      </w:pPr>
      <w:proofErr w:type="gramStart"/>
      <w:r w:rsidRPr="00536C05">
        <w:t xml:space="preserve">Regarding the call to undertake comprehensive research and consult with stakeholders to </w:t>
      </w:r>
      <w:r w:rsidRPr="00536C05">
        <w:lastRenderedPageBreak/>
        <w:t xml:space="preserve">develop a sector-specific strategy and a ‘good environmental practice’ guide covering </w:t>
      </w:r>
      <w:proofErr w:type="spellStart"/>
      <w:r w:rsidRPr="00536C05">
        <w:t>audiovisual</w:t>
      </w:r>
      <w:proofErr w:type="spellEnd"/>
      <w:r w:rsidRPr="00536C05">
        <w:t xml:space="preserve"> and cultural production, dissemination and event organisation (</w:t>
      </w:r>
      <w:r w:rsidRPr="00536C05">
        <w:rPr>
          <w:b/>
        </w:rPr>
        <w:t>paragraph 40</w:t>
      </w:r>
      <w:r w:rsidRPr="00536C05">
        <w:t>), the Commission will encourage European professional networks (including those supported by the programme) and representatives of the different sectors to play an active role in the collection and dissemination of good practices at European level.</w:t>
      </w:r>
      <w:proofErr w:type="gramEnd"/>
      <w:r w:rsidRPr="00536C05">
        <w:t xml:space="preserve"> The cultural and </w:t>
      </w:r>
      <w:proofErr w:type="spellStart"/>
      <w:r w:rsidRPr="00536C05">
        <w:t>audiovisual</w:t>
      </w:r>
      <w:proofErr w:type="spellEnd"/>
      <w:r w:rsidRPr="00536C05">
        <w:t xml:space="preserve"> sectors clearly show its increasing concern for climate change and environmental sustainability and for the </w:t>
      </w:r>
      <w:proofErr w:type="gramStart"/>
      <w:r w:rsidRPr="00536C05">
        <w:t>role</w:t>
      </w:r>
      <w:proofErr w:type="gramEnd"/>
      <w:r w:rsidRPr="00536C05">
        <w:t xml:space="preserve"> they can play in raising awareness on those issues.</w:t>
      </w:r>
    </w:p>
    <w:p w:rsidR="00852EB9" w:rsidRPr="00536C05" w:rsidRDefault="00852EB9" w:rsidP="00852EB9">
      <w:pPr>
        <w:pStyle w:val="Normal12"/>
        <w:spacing w:after="120"/>
        <w:jc w:val="both"/>
      </w:pPr>
      <w:r w:rsidRPr="00536C05">
        <w:t xml:space="preserve">In relation to the call on the Commission to lay down common green public procurement criteria for the cultural sector and to use the MEDIA strand of Creative Europe to promote best practices in the </w:t>
      </w:r>
      <w:proofErr w:type="spellStart"/>
      <w:r w:rsidRPr="00536C05">
        <w:t>audiovisual</w:t>
      </w:r>
      <w:proofErr w:type="spellEnd"/>
      <w:r w:rsidRPr="00536C05">
        <w:t xml:space="preserve"> sector, with respect to sustainability, energy efficiency and the protection of the environment (</w:t>
      </w:r>
      <w:r w:rsidRPr="00536C05">
        <w:rPr>
          <w:b/>
        </w:rPr>
        <w:t>paragraph 41</w:t>
      </w:r>
      <w:r w:rsidRPr="00536C05">
        <w:t>), the Commission will take a gradual approach. This will aim at raising awareness, highlighting best practices, and encouraging beneficiaries to start to implement greening measures, which will result in concrete economic savings and more effectiveness in the implementation of the future projects.</w:t>
      </w:r>
    </w:p>
    <w:p w:rsidR="00852EB9" w:rsidRPr="00536C05" w:rsidRDefault="00852EB9" w:rsidP="00852EB9">
      <w:pPr>
        <w:pStyle w:val="Normal12"/>
        <w:spacing w:after="120"/>
        <w:jc w:val="both"/>
      </w:pPr>
      <w:r w:rsidRPr="00536C05">
        <w:t>As for the call to include sustainability and respect for the environment in the selection and the evaluation criteria for the European Capitals of Culture</w:t>
      </w:r>
      <w:r w:rsidRPr="00536C05">
        <w:rPr>
          <w:rStyle w:val="FootnoteReference"/>
        </w:rPr>
        <w:footnoteReference w:id="10"/>
      </w:r>
      <w:r w:rsidRPr="00536C05">
        <w:t xml:space="preserve"> (</w:t>
      </w:r>
      <w:r w:rsidRPr="00536C05">
        <w:rPr>
          <w:b/>
        </w:rPr>
        <w:t>paragraph 42</w:t>
      </w:r>
      <w:r w:rsidRPr="00536C05">
        <w:t xml:space="preserve">), the criteria for this action are explicitly specified in Article 5 of Decision 445/2014/EU of the European Parliament and the Council. New criteria </w:t>
      </w:r>
      <w:proofErr w:type="gramStart"/>
      <w:r w:rsidRPr="00536C05">
        <w:t>can only be added</w:t>
      </w:r>
      <w:proofErr w:type="gramEnd"/>
      <w:r w:rsidRPr="00536C05">
        <w:t xml:space="preserve"> through an amendment to this</w:t>
      </w:r>
      <w:r>
        <w:t xml:space="preserve"> d</w:t>
      </w:r>
      <w:r w:rsidRPr="00536C05">
        <w:t>ecision. The Commission underlines that, as</w:t>
      </w:r>
      <w:r>
        <w:t xml:space="preserve"> indicated in Article 2 of the d</w:t>
      </w:r>
      <w:r w:rsidRPr="00536C05">
        <w:t xml:space="preserve">ecision, one of the general objectives of the European Capitals of Culture is to foster the contribution of culture to the long-term development of cities. Therefore, upcoming European Capitals of Culture do include environmental considerations in the planning and implementation of their title-years. Indeed, ecology becomes very often a strong focus of such years, such as in Bad </w:t>
      </w:r>
      <w:proofErr w:type="spellStart"/>
      <w:r w:rsidRPr="00536C05">
        <w:t>Ischl</w:t>
      </w:r>
      <w:proofErr w:type="spellEnd"/>
      <w:r w:rsidRPr="00536C05">
        <w:t xml:space="preserve"> (Austria), Tartu (Estonia) or Bodo (Norway in 2024).</w:t>
      </w:r>
    </w:p>
    <w:p w:rsidR="00852EB9" w:rsidRPr="00536C05" w:rsidRDefault="00852EB9" w:rsidP="00852EB9">
      <w:pPr>
        <w:pStyle w:val="Normal12"/>
        <w:spacing w:after="120"/>
        <w:jc w:val="both"/>
      </w:pPr>
      <w:r w:rsidRPr="00536C05">
        <w:t xml:space="preserve">Concerning the call on the Commission to authorise the establishment of a European network of environmental, climate and sustainability consultants to advise project </w:t>
      </w:r>
      <w:r>
        <w:t>developers and Creative Europe d</w:t>
      </w:r>
      <w:r w:rsidRPr="00536C05">
        <w:t>esks (</w:t>
      </w:r>
      <w:r w:rsidRPr="00536C05">
        <w:rPr>
          <w:b/>
        </w:rPr>
        <w:t>paragraph 43</w:t>
      </w:r>
      <w:r w:rsidRPr="00536C05">
        <w:t>), the Co</w:t>
      </w:r>
      <w:r>
        <w:t>mmission will explore with the d</w:t>
      </w:r>
      <w:r w:rsidRPr="00536C05">
        <w:t>esks how such a network of consultants could be put in place in a transparent and efficient way. In this regard, the Commission will take into account the diversity of the sectors covered by the programme.</w:t>
      </w:r>
    </w:p>
    <w:p w:rsidR="00F36993" w:rsidRDefault="00F36993" w:rsidP="00852EB9">
      <w:pPr>
        <w:jc w:val="both"/>
      </w:pPr>
    </w:p>
    <w:sectPr w:rsidR="00F369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EB9" w:rsidRDefault="00852EB9" w:rsidP="00852EB9">
      <w:pPr>
        <w:spacing w:after="0" w:line="240" w:lineRule="auto"/>
      </w:pPr>
      <w:r>
        <w:separator/>
      </w:r>
    </w:p>
  </w:endnote>
  <w:endnote w:type="continuationSeparator" w:id="0">
    <w:p w:rsidR="00852EB9" w:rsidRDefault="00852EB9" w:rsidP="00852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EB9" w:rsidRDefault="00852EB9" w:rsidP="00852EB9">
      <w:pPr>
        <w:spacing w:after="0" w:line="240" w:lineRule="auto"/>
      </w:pPr>
      <w:r>
        <w:separator/>
      </w:r>
    </w:p>
  </w:footnote>
  <w:footnote w:type="continuationSeparator" w:id="0">
    <w:p w:rsidR="00852EB9" w:rsidRDefault="00852EB9" w:rsidP="00852EB9">
      <w:pPr>
        <w:spacing w:after="0" w:line="240" w:lineRule="auto"/>
      </w:pPr>
      <w:r>
        <w:continuationSeparator/>
      </w:r>
    </w:p>
  </w:footnote>
  <w:footnote w:id="1">
    <w:p w:rsidR="00852EB9" w:rsidRPr="003F428E" w:rsidRDefault="00852EB9" w:rsidP="00852EB9">
      <w:pPr>
        <w:pStyle w:val="FootnoteText"/>
        <w:spacing w:after="120"/>
        <w:rPr>
          <w:rFonts w:ascii="Times New Roman" w:hAnsi="Times New Roman"/>
        </w:rPr>
      </w:pPr>
      <w:r w:rsidRPr="00536C05">
        <w:rPr>
          <w:rStyle w:val="FootnoteReference"/>
          <w:rFonts w:ascii="Times New Roman" w:hAnsi="Times New Roman"/>
        </w:rPr>
        <w:footnoteRef/>
      </w:r>
      <w:r w:rsidRPr="00536C05">
        <w:rPr>
          <w:rFonts w:ascii="Times New Roman" w:hAnsi="Times New Roman"/>
        </w:rPr>
        <w:t xml:space="preserve"> </w:t>
      </w:r>
      <w:r>
        <w:rPr>
          <w:rFonts w:ascii="Times New Roman" w:hAnsi="Times New Roman"/>
        </w:rPr>
        <w:tab/>
      </w:r>
      <w:hyperlink r:id="rId1" w:history="1">
        <w:r w:rsidRPr="00536C05">
          <w:rPr>
            <w:rStyle w:val="Hyperlink"/>
            <w:rFonts w:ascii="Times New Roman" w:hAnsi="Times New Roman"/>
          </w:rPr>
          <w:t>https://ec.europa.eu/environment/emas/index_en.htm</w:t>
        </w:r>
      </w:hyperlink>
    </w:p>
  </w:footnote>
  <w:footnote w:id="2">
    <w:p w:rsidR="00852EB9" w:rsidRPr="003F428E" w:rsidRDefault="00852EB9" w:rsidP="00852EB9">
      <w:pPr>
        <w:pStyle w:val="FootnoteText"/>
        <w:spacing w:after="120"/>
        <w:rPr>
          <w:rFonts w:ascii="Times New Roman" w:hAnsi="Times New Roman"/>
        </w:rPr>
      </w:pPr>
      <w:r w:rsidRPr="00536C05">
        <w:rPr>
          <w:rStyle w:val="FootnoteReference"/>
          <w:rFonts w:ascii="Times New Roman" w:hAnsi="Times New Roman"/>
        </w:rPr>
        <w:footnoteRef/>
      </w:r>
      <w:r w:rsidRPr="003F428E">
        <w:rPr>
          <w:rFonts w:ascii="Times New Roman" w:hAnsi="Times New Roman"/>
        </w:rPr>
        <w:t xml:space="preserve"> </w:t>
      </w:r>
      <w:r w:rsidRPr="003F428E">
        <w:rPr>
          <w:rFonts w:ascii="Times New Roman" w:hAnsi="Times New Roman"/>
        </w:rPr>
        <w:tab/>
      </w:r>
      <w:hyperlink r:id="rId2" w:history="1">
        <w:r w:rsidRPr="003F428E">
          <w:rPr>
            <w:rStyle w:val="Hyperlink"/>
            <w:rFonts w:ascii="Times New Roman" w:hAnsi="Times New Roman"/>
          </w:rPr>
          <w:t>https://europa.eu/youth/discovereu_en</w:t>
        </w:r>
      </w:hyperlink>
    </w:p>
  </w:footnote>
  <w:footnote w:id="3">
    <w:p w:rsidR="00852EB9" w:rsidRPr="003F428E" w:rsidRDefault="00852EB9" w:rsidP="00852EB9">
      <w:pPr>
        <w:pStyle w:val="FootnoteText"/>
        <w:spacing w:after="120"/>
        <w:jc w:val="left"/>
        <w:rPr>
          <w:rFonts w:ascii="Times New Roman" w:hAnsi="Times New Roman"/>
        </w:rPr>
      </w:pPr>
      <w:r w:rsidRPr="00536C05">
        <w:rPr>
          <w:rStyle w:val="FootnoteReference"/>
          <w:rFonts w:ascii="Times New Roman" w:hAnsi="Times New Roman"/>
        </w:rPr>
        <w:footnoteRef/>
      </w:r>
      <w:r w:rsidRPr="003F428E">
        <w:rPr>
          <w:rFonts w:ascii="Times New Roman" w:hAnsi="Times New Roman"/>
        </w:rPr>
        <w:t xml:space="preserve"> </w:t>
      </w:r>
      <w:r w:rsidRPr="003F428E">
        <w:rPr>
          <w:rFonts w:ascii="Times New Roman" w:hAnsi="Times New Roman"/>
        </w:rPr>
        <w:tab/>
      </w:r>
      <w:hyperlink r:id="rId3" w:history="1">
        <w:r w:rsidRPr="003F428E">
          <w:rPr>
            <w:rStyle w:val="Hyperlink"/>
            <w:rFonts w:ascii="Times New Roman" w:hAnsi="Times New Roman"/>
          </w:rPr>
          <w:t>https://ec.europa.eu/programmes/erasmus-plus/resources/documents/applicants/higher-education-charter_en</w:t>
        </w:r>
      </w:hyperlink>
    </w:p>
  </w:footnote>
  <w:footnote w:id="4">
    <w:p w:rsidR="00852EB9" w:rsidRPr="003F428E" w:rsidRDefault="00852EB9" w:rsidP="00852EB9">
      <w:pPr>
        <w:pStyle w:val="FootnoteText"/>
        <w:spacing w:after="120"/>
        <w:jc w:val="left"/>
        <w:rPr>
          <w:rFonts w:ascii="Times New Roman" w:hAnsi="Times New Roman"/>
        </w:rPr>
      </w:pPr>
      <w:r w:rsidRPr="00536C05">
        <w:rPr>
          <w:rStyle w:val="FootnoteReference"/>
          <w:rFonts w:ascii="Times New Roman" w:hAnsi="Times New Roman"/>
        </w:rPr>
        <w:footnoteRef/>
      </w:r>
      <w:r w:rsidRPr="003F428E">
        <w:rPr>
          <w:rFonts w:ascii="Times New Roman" w:hAnsi="Times New Roman"/>
        </w:rPr>
        <w:t xml:space="preserve"> </w:t>
      </w:r>
      <w:r w:rsidRPr="003F428E">
        <w:rPr>
          <w:rFonts w:ascii="Times New Roman" w:hAnsi="Times New Roman"/>
        </w:rPr>
        <w:tab/>
      </w:r>
      <w:hyperlink r:id="rId4" w:history="1">
        <w:r w:rsidRPr="003F428E">
          <w:rPr>
            <w:rStyle w:val="Hyperlink"/>
            <w:rFonts w:ascii="Times New Roman" w:hAnsi="Times New Roman"/>
          </w:rPr>
          <w:t>https://ec.europa.eu/education/education-in-the-eu/european-student-card-initiative_en</w:t>
        </w:r>
      </w:hyperlink>
    </w:p>
  </w:footnote>
  <w:footnote w:id="5">
    <w:p w:rsidR="00852EB9" w:rsidRPr="003F428E" w:rsidRDefault="00852EB9" w:rsidP="00852EB9">
      <w:pPr>
        <w:pStyle w:val="FootnoteText"/>
        <w:spacing w:after="120"/>
        <w:jc w:val="left"/>
        <w:rPr>
          <w:rFonts w:ascii="Times New Roman" w:hAnsi="Times New Roman"/>
        </w:rPr>
      </w:pPr>
      <w:r w:rsidRPr="00536C05">
        <w:rPr>
          <w:rStyle w:val="FootnoteReference"/>
          <w:rFonts w:ascii="Times New Roman" w:hAnsi="Times New Roman"/>
        </w:rPr>
        <w:footnoteRef/>
      </w:r>
      <w:r w:rsidRPr="003F428E">
        <w:rPr>
          <w:rFonts w:ascii="Times New Roman" w:hAnsi="Times New Roman"/>
        </w:rPr>
        <w:t xml:space="preserve"> </w:t>
      </w:r>
      <w:r w:rsidRPr="003F428E">
        <w:rPr>
          <w:rFonts w:ascii="Times New Roman" w:hAnsi="Times New Roman"/>
        </w:rPr>
        <w:tab/>
      </w:r>
      <w:hyperlink r:id="rId5" w:history="1">
        <w:r w:rsidRPr="003F428E">
          <w:rPr>
            <w:rStyle w:val="Hyperlink"/>
            <w:rFonts w:ascii="Times New Roman" w:hAnsi="Times New Roman"/>
          </w:rPr>
          <w:t>https://www.etwinning.net/en/pub/index.htm</w:t>
        </w:r>
      </w:hyperlink>
    </w:p>
  </w:footnote>
  <w:footnote w:id="6">
    <w:p w:rsidR="00852EB9" w:rsidRPr="003F428E" w:rsidRDefault="00852EB9" w:rsidP="00852EB9">
      <w:pPr>
        <w:pStyle w:val="FootnoteText"/>
        <w:spacing w:after="120"/>
        <w:jc w:val="left"/>
        <w:rPr>
          <w:rFonts w:ascii="Times New Roman" w:hAnsi="Times New Roman"/>
        </w:rPr>
      </w:pPr>
      <w:r w:rsidRPr="00536C05">
        <w:rPr>
          <w:rStyle w:val="FootnoteReference"/>
          <w:rFonts w:ascii="Times New Roman" w:hAnsi="Times New Roman"/>
        </w:rPr>
        <w:footnoteRef/>
      </w:r>
      <w:r w:rsidRPr="003F428E">
        <w:rPr>
          <w:rFonts w:ascii="Times New Roman" w:hAnsi="Times New Roman"/>
        </w:rPr>
        <w:t xml:space="preserve"> </w:t>
      </w:r>
      <w:r w:rsidRPr="003F428E">
        <w:rPr>
          <w:rFonts w:ascii="Times New Roman" w:hAnsi="Times New Roman"/>
        </w:rPr>
        <w:tab/>
      </w:r>
      <w:hyperlink r:id="rId6" w:history="1">
        <w:r w:rsidRPr="003F428E">
          <w:rPr>
            <w:rStyle w:val="Hyperlink"/>
            <w:rFonts w:ascii="Times New Roman" w:hAnsi="Times New Roman"/>
          </w:rPr>
          <w:t>https://ec.europa.eu/education/sites/education/files/document-library-docs/eea-communication-sept2020_en.pdf</w:t>
        </w:r>
      </w:hyperlink>
    </w:p>
  </w:footnote>
  <w:footnote w:id="7">
    <w:p w:rsidR="00852EB9" w:rsidRPr="003F428E" w:rsidRDefault="00852EB9" w:rsidP="00852EB9">
      <w:pPr>
        <w:pStyle w:val="FootnoteText"/>
        <w:spacing w:after="120"/>
        <w:jc w:val="left"/>
        <w:rPr>
          <w:rFonts w:ascii="Times New Roman" w:hAnsi="Times New Roman"/>
        </w:rPr>
      </w:pPr>
      <w:r w:rsidRPr="00536C05">
        <w:rPr>
          <w:rStyle w:val="FootnoteReference"/>
          <w:rFonts w:ascii="Times New Roman" w:hAnsi="Times New Roman"/>
        </w:rPr>
        <w:footnoteRef/>
      </w:r>
      <w:r w:rsidRPr="003F428E">
        <w:rPr>
          <w:rFonts w:ascii="Times New Roman" w:hAnsi="Times New Roman"/>
        </w:rPr>
        <w:t xml:space="preserve"> </w:t>
      </w:r>
      <w:r w:rsidRPr="003F428E">
        <w:rPr>
          <w:rFonts w:ascii="Times New Roman" w:hAnsi="Times New Roman"/>
        </w:rPr>
        <w:tab/>
      </w:r>
      <w:hyperlink r:id="rId7" w:history="1">
        <w:r w:rsidRPr="003F428E">
          <w:rPr>
            <w:rStyle w:val="Hyperlink"/>
            <w:rFonts w:ascii="Times New Roman" w:hAnsi="Times New Roman"/>
          </w:rPr>
          <w:t>https://europa.eu/youth/solidarity/pass_en</w:t>
        </w:r>
      </w:hyperlink>
    </w:p>
  </w:footnote>
  <w:footnote w:id="8">
    <w:p w:rsidR="00852EB9" w:rsidRPr="003F428E" w:rsidRDefault="00852EB9" w:rsidP="00852EB9">
      <w:pPr>
        <w:pStyle w:val="FootnoteText"/>
        <w:spacing w:after="120"/>
        <w:rPr>
          <w:rFonts w:ascii="Times New Roman" w:hAnsi="Times New Roman"/>
        </w:rPr>
      </w:pPr>
      <w:r w:rsidRPr="00536C05">
        <w:rPr>
          <w:rStyle w:val="FootnoteReference"/>
          <w:rFonts w:ascii="Times New Roman" w:hAnsi="Times New Roman"/>
        </w:rPr>
        <w:footnoteRef/>
      </w:r>
      <w:r w:rsidRPr="003F428E">
        <w:rPr>
          <w:rFonts w:ascii="Times New Roman" w:hAnsi="Times New Roman"/>
        </w:rPr>
        <w:t xml:space="preserve"> </w:t>
      </w:r>
      <w:r w:rsidRPr="003F428E">
        <w:rPr>
          <w:rFonts w:ascii="Times New Roman" w:hAnsi="Times New Roman"/>
        </w:rPr>
        <w:tab/>
      </w:r>
      <w:hyperlink r:id="rId8" w:history="1">
        <w:r w:rsidRPr="003F428E">
          <w:rPr>
            <w:rStyle w:val="Hyperlink"/>
            <w:rFonts w:ascii="Times New Roman" w:hAnsi="Times New Roman"/>
          </w:rPr>
          <w:t>https://europa.eu/youth/solidarity_en</w:t>
        </w:r>
      </w:hyperlink>
    </w:p>
  </w:footnote>
  <w:footnote w:id="9">
    <w:p w:rsidR="00852EB9" w:rsidRPr="003F428E" w:rsidRDefault="00852EB9" w:rsidP="00852EB9">
      <w:pPr>
        <w:pStyle w:val="FootnoteText"/>
        <w:spacing w:after="120"/>
        <w:jc w:val="left"/>
        <w:rPr>
          <w:rFonts w:ascii="Times New Roman" w:hAnsi="Times New Roman"/>
        </w:rPr>
      </w:pPr>
      <w:r w:rsidRPr="00536C05">
        <w:rPr>
          <w:rStyle w:val="FootnoteReference"/>
          <w:rFonts w:ascii="Times New Roman" w:hAnsi="Times New Roman"/>
        </w:rPr>
        <w:footnoteRef/>
      </w:r>
      <w:r w:rsidRPr="003F428E">
        <w:rPr>
          <w:rFonts w:ascii="Times New Roman" w:hAnsi="Times New Roman"/>
        </w:rPr>
        <w:t xml:space="preserve"> </w:t>
      </w:r>
      <w:r w:rsidRPr="003F428E">
        <w:rPr>
          <w:rFonts w:ascii="Times New Roman" w:hAnsi="Times New Roman"/>
        </w:rPr>
        <w:tab/>
      </w:r>
      <w:hyperlink r:id="rId9" w:history="1">
        <w:r w:rsidRPr="003F428E">
          <w:rPr>
            <w:rStyle w:val="Hyperlink"/>
            <w:rFonts w:ascii="Times New Roman" w:hAnsi="Times New Roman"/>
          </w:rPr>
          <w:t>https://ec.europa.eu/culture/policies/strategic-framework-eus-cultural-policy</w:t>
        </w:r>
      </w:hyperlink>
    </w:p>
  </w:footnote>
  <w:footnote w:id="10">
    <w:p w:rsidR="00852EB9" w:rsidRPr="003F428E" w:rsidRDefault="00852EB9" w:rsidP="00852EB9">
      <w:pPr>
        <w:pStyle w:val="FootnoteText"/>
        <w:spacing w:after="120"/>
        <w:jc w:val="left"/>
        <w:rPr>
          <w:rFonts w:ascii="Times New Roman" w:hAnsi="Times New Roman"/>
        </w:rPr>
      </w:pPr>
      <w:r w:rsidRPr="00536C05">
        <w:rPr>
          <w:rStyle w:val="FootnoteReference"/>
          <w:rFonts w:ascii="Times New Roman" w:hAnsi="Times New Roman"/>
        </w:rPr>
        <w:footnoteRef/>
      </w:r>
      <w:r w:rsidRPr="003F428E">
        <w:rPr>
          <w:rFonts w:ascii="Times New Roman" w:hAnsi="Times New Roman"/>
        </w:rPr>
        <w:t xml:space="preserve"> </w:t>
      </w:r>
      <w:r w:rsidRPr="003F428E">
        <w:rPr>
          <w:rFonts w:ascii="Times New Roman" w:hAnsi="Times New Roman"/>
        </w:rPr>
        <w:tab/>
      </w:r>
      <w:hyperlink r:id="rId10" w:history="1">
        <w:r w:rsidRPr="003F428E">
          <w:rPr>
            <w:rStyle w:val="Hyperlink"/>
            <w:rFonts w:ascii="Times New Roman" w:hAnsi="Times New Roman"/>
          </w:rPr>
          <w:t>https://ec.europa.eu/programmes/creative-europe/actions/capitals-culture_en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7C3A3B"/>
    <w:multiLevelType w:val="hybridMultilevel"/>
    <w:tmpl w:val="EB2EFA04"/>
    <w:lvl w:ilvl="0" w:tplc="29923364">
      <w:start w:val="1"/>
      <w:numFmt w:val="decimal"/>
      <w:lvlText w:val="%1."/>
      <w:lvlJc w:val="left"/>
      <w:pPr>
        <w:ind w:left="720" w:hanging="720"/>
      </w:pPr>
      <w:rPr>
        <w:b/>
        <w:i w:val="0"/>
        <w:sz w:val="24"/>
        <w:szCs w:val="24"/>
      </w:r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2738" w:hanging="360"/>
      </w:pPr>
    </w:lvl>
    <w:lvl w:ilvl="4" w:tplc="08090019">
      <w:start w:val="1"/>
      <w:numFmt w:val="lowerLetter"/>
      <w:lvlText w:val="%5."/>
      <w:lvlJc w:val="left"/>
      <w:pPr>
        <w:ind w:left="3458" w:hanging="360"/>
      </w:pPr>
    </w:lvl>
    <w:lvl w:ilvl="5" w:tplc="0809001B">
      <w:start w:val="1"/>
      <w:numFmt w:val="lowerRoman"/>
      <w:lvlText w:val="%6."/>
      <w:lvlJc w:val="right"/>
      <w:pPr>
        <w:ind w:left="4178" w:hanging="180"/>
      </w:pPr>
    </w:lvl>
    <w:lvl w:ilvl="6" w:tplc="0809000F">
      <w:start w:val="1"/>
      <w:numFmt w:val="decimal"/>
      <w:lvlText w:val="%7."/>
      <w:lvlJc w:val="left"/>
      <w:pPr>
        <w:ind w:left="4898" w:hanging="360"/>
      </w:pPr>
    </w:lvl>
    <w:lvl w:ilvl="7" w:tplc="08090019">
      <w:start w:val="1"/>
      <w:numFmt w:val="lowerLetter"/>
      <w:lvlText w:val="%8."/>
      <w:lvlJc w:val="left"/>
      <w:pPr>
        <w:ind w:left="5618" w:hanging="360"/>
      </w:pPr>
    </w:lvl>
    <w:lvl w:ilvl="8" w:tplc="0809001B">
      <w:start w:val="1"/>
      <w:numFmt w:val="lowerRoman"/>
      <w:lvlText w:val="%9."/>
      <w:lvlJc w:val="right"/>
      <w:pPr>
        <w:ind w:left="63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EB9"/>
    <w:rsid w:val="0065281F"/>
    <w:rsid w:val="00852EB9"/>
    <w:rsid w:val="00F36993"/>
    <w:rsid w:val="00FF2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B771A-B953-4621-8587-5D4F9068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nclusion de partie,Dot pt,No Spacing1,List Paragraph Char Char Char,Indicator Text,Numbered Para 1,List Paragraph1,Bullet Points,MAIN CONTENT,List Paragraph12,List Paragraph11,OBC Bullet,F5 List Paragraph,L,2,Lettre d'introduction,EC,3"/>
    <w:basedOn w:val="Normal"/>
    <w:link w:val="ListParagraphChar"/>
    <w:uiPriority w:val="34"/>
    <w:qFormat/>
    <w:rsid w:val="00852EB9"/>
    <w:pPr>
      <w:spacing w:after="200" w:line="276" w:lineRule="auto"/>
      <w:ind w:left="720"/>
      <w:contextualSpacing/>
    </w:pPr>
    <w:rPr>
      <w:rFonts w:ascii="Calibri" w:eastAsia="Calibri" w:hAnsi="Calibri" w:cs="Times New Roman"/>
    </w:r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o"/>
    <w:basedOn w:val="Normal"/>
    <w:link w:val="FootnoteTextChar2"/>
    <w:uiPriority w:val="99"/>
    <w:qFormat/>
    <w:rsid w:val="00852EB9"/>
    <w:pPr>
      <w:spacing w:after="240" w:line="240" w:lineRule="auto"/>
      <w:ind w:left="357" w:hanging="357"/>
      <w:jc w:val="both"/>
    </w:pPr>
    <w:rPr>
      <w:rFonts w:ascii="Courier New" w:eastAsia="Times New Roman" w:hAnsi="Courier New" w:cs="Times New Roman"/>
      <w:sz w:val="20"/>
      <w:szCs w:val="20"/>
      <w:lang w:eastAsia="en-GB"/>
    </w:rPr>
  </w:style>
  <w:style w:type="character" w:customStyle="1" w:styleId="FootnoteTextChar">
    <w:name w:val="Footnote Text Char"/>
    <w:basedOn w:val="DefaultParagraphFont"/>
    <w:uiPriority w:val="99"/>
    <w:semiHidden/>
    <w:rsid w:val="00852EB9"/>
    <w:rPr>
      <w:sz w:val="20"/>
      <w:szCs w:val="20"/>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852EB9"/>
    <w:rPr>
      <w:vertAlign w:val="superscript"/>
    </w:rPr>
  </w:style>
  <w:style w:type="character" w:styleId="Hyperlink">
    <w:name w:val="Hyperlink"/>
    <w:aliases w:val="Char1"/>
    <w:uiPriority w:val="99"/>
    <w:rsid w:val="00852EB9"/>
    <w:rPr>
      <w:color w:val="0000FF"/>
      <w:u w:val="single"/>
    </w:rPr>
  </w:style>
  <w:style w:type="character" w:customStyle="1" w:styleId="FootnoteTextChar2">
    <w:name w:val="Footnote Text Char2"/>
    <w:aliases w:val="Footnote Text Char1 Char Char,Footnote Text Char Char Char Char,Fußnotentext Char Char1 Char Char Char,Fußnotentext Char1 Char1 Char Char Char Char,Fußnotentext Char Char Char Char Char Char Char1 Char,Footnote Text Char1 Char1"/>
    <w:link w:val="FootnoteText"/>
    <w:uiPriority w:val="99"/>
    <w:rsid w:val="00852EB9"/>
    <w:rPr>
      <w:rFonts w:ascii="Courier New" w:eastAsia="Times New Roman" w:hAnsi="Courier New" w:cs="Times New Roman"/>
      <w:sz w:val="20"/>
      <w:szCs w:val="20"/>
      <w:lang w:eastAsia="en-GB"/>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852EB9"/>
    <w:pPr>
      <w:spacing w:line="240" w:lineRule="exact"/>
    </w:pPr>
    <w:rPr>
      <w:vertAlign w:val="superscript"/>
    </w:rPr>
  </w:style>
  <w:style w:type="character" w:customStyle="1" w:styleId="ListParagraphChar">
    <w:name w:val="List Paragraph Char"/>
    <w:aliases w:val="Conclusion de partie Char,Dot pt Char,No Spacing1 Char,List Paragraph Char Char Char Char,Indicator Text Char,Numbered Para 1 Char,List Paragraph1 Char,Bullet Points Char,MAIN CONTENT Char,List Paragraph12 Char,List Paragraph11 Char"/>
    <w:link w:val="ListParagraph"/>
    <w:uiPriority w:val="34"/>
    <w:qFormat/>
    <w:locked/>
    <w:rsid w:val="00852EB9"/>
    <w:rPr>
      <w:rFonts w:ascii="Calibri" w:eastAsia="Calibri" w:hAnsi="Calibri" w:cs="Times New Roman"/>
    </w:rPr>
  </w:style>
  <w:style w:type="paragraph" w:customStyle="1" w:styleId="Normal12">
    <w:name w:val="Normal12"/>
    <w:basedOn w:val="Normal"/>
    <w:link w:val="Normal12Char"/>
    <w:qFormat/>
    <w:rsid w:val="00852EB9"/>
    <w:pPr>
      <w:widowControl w:val="0"/>
      <w:spacing w:after="240" w:line="240" w:lineRule="auto"/>
    </w:pPr>
    <w:rPr>
      <w:rFonts w:ascii="Times New Roman" w:eastAsia="Times New Roman" w:hAnsi="Times New Roman" w:cs="Times New Roman"/>
      <w:sz w:val="24"/>
      <w:szCs w:val="24"/>
      <w:lang w:eastAsia="en-GB"/>
    </w:rPr>
  </w:style>
  <w:style w:type="character" w:customStyle="1" w:styleId="Normal12Char">
    <w:name w:val="Normal12 Char"/>
    <w:link w:val="Normal12"/>
    <w:rsid w:val="00852EB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europa.eu/youth/solidarity_en" TargetMode="External"/><Relationship Id="rId3" Type="http://schemas.openxmlformats.org/officeDocument/2006/relationships/hyperlink" Target="https://ec.europa.eu/programmes/erasmus-plus/resources/documents/applicants/higher-education-charter_en" TargetMode="External"/><Relationship Id="rId7" Type="http://schemas.openxmlformats.org/officeDocument/2006/relationships/hyperlink" Target="https://europa.eu/youth/solidarity/pass_en" TargetMode="External"/><Relationship Id="rId2" Type="http://schemas.openxmlformats.org/officeDocument/2006/relationships/hyperlink" Target="https://europa.eu/youth/discovereu_en" TargetMode="External"/><Relationship Id="rId1" Type="http://schemas.openxmlformats.org/officeDocument/2006/relationships/hyperlink" Target="https://ec.europa.eu/environment/emas/index_en.htm" TargetMode="External"/><Relationship Id="rId6" Type="http://schemas.openxmlformats.org/officeDocument/2006/relationships/hyperlink" Target="https://ec.europa.eu/education/sites/education/files/document-library-docs/eea-communication-sept2020_en.pdf" TargetMode="External"/><Relationship Id="rId5" Type="http://schemas.openxmlformats.org/officeDocument/2006/relationships/hyperlink" Target="https://www.etwinning.net/en/pub/index.htm" TargetMode="External"/><Relationship Id="rId10" Type="http://schemas.openxmlformats.org/officeDocument/2006/relationships/hyperlink" Target="https://ec.europa.eu/programmes/creative-europe/actions/capitals-culture_en" TargetMode="External"/><Relationship Id="rId4" Type="http://schemas.openxmlformats.org/officeDocument/2006/relationships/hyperlink" Target="https://ec.europa.eu/education/education-in-the-eu/european-student-card-initiative_en" TargetMode="External"/><Relationship Id="rId9" Type="http://schemas.openxmlformats.org/officeDocument/2006/relationships/hyperlink" Target="https://ec.europa.eu/culture/policies/strategic-framework-eus-cultural-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2574</Words>
  <Characters>14674</Characters>
  <Application>Microsoft Office Word</Application>
  <DocSecurity>0</DocSecurity>
  <Lines>222</Lines>
  <Paragraphs>58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BIANCHIN Raffaella (SG)</dc:creator>
  <cp:keywords/>
  <dc:description/>
  <cp:lastModifiedBy>BIANCHIN Raffaella (SG)</cp:lastModifiedBy>
  <cp:revision>1</cp:revision>
  <dcterms:created xsi:type="dcterms:W3CDTF">2020-11-24T15:32:00Z</dcterms:created>
  <dcterms:modified xsi:type="dcterms:W3CDTF">2020-11-24T15:33:00Z</dcterms:modified>
</cp:coreProperties>
</file>