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4A9" w:rsidRPr="00FC0CF0" w:rsidRDefault="009B64A9" w:rsidP="009B64A9">
      <w:pPr>
        <w:spacing w:after="240"/>
        <w:jc w:val="center"/>
      </w:pPr>
      <w:r w:rsidRPr="00FC0CF0">
        <w:rPr>
          <w:b/>
        </w:rPr>
        <w:t xml:space="preserve">ORDINARY LEGISLATIVE </w:t>
      </w:r>
      <w:r w:rsidRPr="00FC0CF0">
        <w:rPr>
          <w:b/>
          <w:caps/>
        </w:rPr>
        <w:t>procedure</w:t>
      </w:r>
      <w:r w:rsidRPr="00FC0CF0">
        <w:rPr>
          <w:b/>
        </w:rPr>
        <w:t xml:space="preserve"> – First reading</w:t>
      </w:r>
    </w:p>
    <w:p w:rsidR="009B64A9" w:rsidRPr="001F4150" w:rsidRDefault="009B64A9" w:rsidP="009B64A9">
      <w:pPr>
        <w:spacing w:after="600"/>
        <w:jc w:val="center"/>
        <w:rPr>
          <w:b/>
          <w:bCs/>
        </w:rPr>
      </w:pPr>
      <w:r w:rsidRPr="00FC0CF0">
        <w:rPr>
          <w:b/>
          <w:bCs/>
        </w:rPr>
        <w:t xml:space="preserve">Follow up to the </w:t>
      </w:r>
      <w:r w:rsidRPr="00FC0CF0">
        <w:rPr>
          <w:b/>
        </w:rPr>
        <w:t>European Parliament legislative resolution</w:t>
      </w:r>
      <w:r>
        <w:rPr>
          <w:b/>
        </w:rPr>
        <w:t xml:space="preserve"> on </w:t>
      </w:r>
      <w:r w:rsidRPr="0098014E">
        <w:rPr>
          <w:b/>
        </w:rPr>
        <w:t>the</w:t>
      </w:r>
      <w:r>
        <w:rPr>
          <w:b/>
        </w:rPr>
        <w:t xml:space="preserve"> proposal for a decision of the European Parliament and of the Council </w:t>
      </w:r>
      <w:r w:rsidRPr="001F4150">
        <w:rPr>
          <w:b/>
        </w:rPr>
        <w:t xml:space="preserve">empowering France to negotiate an agreement supplementing its existing bilateral Treaty with the United Kingdom concerning the construction and operation by private concessionaires of a </w:t>
      </w:r>
      <w:r>
        <w:rPr>
          <w:b/>
        </w:rPr>
        <w:br/>
      </w:r>
      <w:r w:rsidRPr="001F4150">
        <w:rPr>
          <w:b/>
        </w:rPr>
        <w:t>Channel Fixed Link</w:t>
      </w:r>
    </w:p>
    <w:p w:rsidR="009B64A9" w:rsidRPr="00715D4E" w:rsidRDefault="009B64A9" w:rsidP="009B64A9">
      <w:pPr>
        <w:spacing w:before="100" w:beforeAutospacing="1" w:after="100" w:afterAutospacing="1"/>
        <w:ind w:left="567" w:hanging="567"/>
      </w:pPr>
      <w:r w:rsidRPr="005675C7">
        <w:rPr>
          <w:b/>
        </w:rPr>
        <w:t>1.</w:t>
      </w:r>
      <w:r w:rsidRPr="005675C7">
        <w:rPr>
          <w:b/>
        </w:rPr>
        <w:tab/>
        <w:t xml:space="preserve">Rapporteur: </w:t>
      </w:r>
      <w:r w:rsidRPr="00715D4E">
        <w:t>NN</w:t>
      </w:r>
    </w:p>
    <w:p w:rsidR="009B64A9" w:rsidRPr="00C1341F" w:rsidRDefault="009B64A9" w:rsidP="009B64A9">
      <w:pPr>
        <w:spacing w:before="100" w:beforeAutospacing="1" w:after="100" w:afterAutospacing="1"/>
        <w:ind w:left="567" w:hanging="567"/>
      </w:pPr>
      <w:r w:rsidRPr="00C1341F">
        <w:rPr>
          <w:b/>
        </w:rPr>
        <w:t>2.</w:t>
      </w:r>
      <w:r w:rsidRPr="00C1341F">
        <w:rPr>
          <w:b/>
        </w:rPr>
        <w:tab/>
      </w:r>
      <w:r w:rsidRPr="009333FC">
        <w:rPr>
          <w:b/>
        </w:rPr>
        <w:t>Reference numbers:</w:t>
      </w:r>
      <w:r w:rsidRPr="009333FC">
        <w:t xml:space="preserve"> 2020</w:t>
      </w:r>
      <w:r w:rsidRPr="00C1341F">
        <w:t>/0160 (COD) / P9_TA-</w:t>
      </w:r>
      <w:proofErr w:type="gramStart"/>
      <w:r w:rsidRPr="00C1341F">
        <w:t>PROV(</w:t>
      </w:r>
      <w:proofErr w:type="gramEnd"/>
      <w:r w:rsidRPr="00C1341F">
        <w:t>2020)0262</w:t>
      </w:r>
    </w:p>
    <w:p w:rsidR="009B64A9" w:rsidRPr="00FC0CF0" w:rsidRDefault="009B64A9" w:rsidP="009B64A9">
      <w:pPr>
        <w:spacing w:before="100" w:beforeAutospacing="1" w:after="100" w:afterAutospacing="1"/>
        <w:ind w:left="567" w:hanging="567"/>
      </w:pPr>
      <w:r w:rsidRPr="00FC0CF0">
        <w:rPr>
          <w:b/>
        </w:rPr>
        <w:t>3.</w:t>
      </w:r>
      <w:r w:rsidRPr="00FC0CF0">
        <w:rPr>
          <w:b/>
        </w:rPr>
        <w:tab/>
        <w:t xml:space="preserve">Date of adoption of the resolution: </w:t>
      </w:r>
      <w:r>
        <w:t>8 October 2020</w:t>
      </w:r>
    </w:p>
    <w:p w:rsidR="009B64A9" w:rsidRPr="00FC0CF0" w:rsidRDefault="009B64A9" w:rsidP="009B64A9">
      <w:pPr>
        <w:spacing w:before="100" w:beforeAutospacing="1" w:after="100" w:afterAutospacing="1"/>
        <w:ind w:left="567" w:hanging="567"/>
      </w:pPr>
      <w:r w:rsidRPr="00FC0CF0">
        <w:rPr>
          <w:b/>
        </w:rPr>
        <w:t>4.</w:t>
      </w:r>
      <w:r w:rsidRPr="00FC0CF0">
        <w:rPr>
          <w:b/>
        </w:rPr>
        <w:tab/>
        <w:t xml:space="preserve">Legal basis: </w:t>
      </w:r>
      <w:r w:rsidRPr="00C8228B">
        <w:t xml:space="preserve">Article </w:t>
      </w:r>
      <w:r>
        <w:t xml:space="preserve">2(1) and Article </w:t>
      </w:r>
      <w:r w:rsidRPr="00C8228B">
        <w:t>91 of the Treaty</w:t>
      </w:r>
      <w:r w:rsidRPr="00662B1B">
        <w:t xml:space="preserve"> on the Functioning of the European Union</w:t>
      </w:r>
    </w:p>
    <w:p w:rsidR="009B64A9" w:rsidRPr="00FC0CF0" w:rsidRDefault="009B64A9" w:rsidP="009B64A9">
      <w:pPr>
        <w:spacing w:before="100" w:beforeAutospacing="1" w:after="100" w:afterAutospacing="1"/>
        <w:ind w:left="567" w:hanging="567"/>
        <w:rPr>
          <w:i/>
        </w:rPr>
      </w:pPr>
      <w:r w:rsidRPr="00FC0CF0">
        <w:rPr>
          <w:b/>
        </w:rPr>
        <w:t>5.</w:t>
      </w:r>
      <w:r w:rsidRPr="00FC0CF0">
        <w:rPr>
          <w:b/>
        </w:rPr>
        <w:tab/>
        <w:t xml:space="preserve">Competent Parliamentary Committee: </w:t>
      </w:r>
      <w:r w:rsidRPr="00FC0CF0">
        <w:t xml:space="preserve">Committee on </w:t>
      </w:r>
      <w:r>
        <w:t>Transport and Tourism (TRAN)</w:t>
      </w:r>
    </w:p>
    <w:p w:rsidR="009B64A9" w:rsidRDefault="009B64A9" w:rsidP="009B64A9">
      <w:pPr>
        <w:spacing w:before="100" w:beforeAutospacing="1" w:after="100" w:afterAutospacing="1"/>
        <w:ind w:left="567" w:hanging="567"/>
        <w:rPr>
          <w:color w:val="000000"/>
        </w:rPr>
      </w:pPr>
      <w:r w:rsidRPr="00FC0CF0">
        <w:rPr>
          <w:b/>
        </w:rPr>
        <w:t>6.</w:t>
      </w:r>
      <w:r w:rsidRPr="00FC0CF0">
        <w:rPr>
          <w:b/>
        </w:rPr>
        <w:tab/>
        <w:t>Commission's position:</w:t>
      </w:r>
      <w:r w:rsidRPr="00FC0CF0">
        <w:rPr>
          <w:color w:val="000000"/>
          <w:sz w:val="22"/>
          <w:szCs w:val="22"/>
        </w:rPr>
        <w:t xml:space="preserve"> </w:t>
      </w:r>
      <w:r w:rsidRPr="00FC0CF0">
        <w:rPr>
          <w:color w:val="000000"/>
        </w:rPr>
        <w:t>Accepts all amendments</w:t>
      </w:r>
      <w:r>
        <w:rPr>
          <w:color w:val="000000"/>
        </w:rPr>
        <w:t>, apart from the omission of Article 2(1) as a legal basis.</w:t>
      </w:r>
    </w:p>
    <w:p w:rsidR="009B64A9" w:rsidRPr="002B0075" w:rsidRDefault="009B64A9" w:rsidP="009B64A9">
      <w:pPr>
        <w:spacing w:after="120"/>
        <w:rPr>
          <w:color w:val="000000"/>
        </w:rPr>
      </w:pPr>
      <w:r>
        <w:rPr>
          <w:color w:val="000000"/>
        </w:rPr>
        <w:t xml:space="preserve">On the deletion of Article 2(1) TFEU as legal </w:t>
      </w:r>
      <w:proofErr w:type="gramStart"/>
      <w:r>
        <w:rPr>
          <w:color w:val="000000"/>
        </w:rPr>
        <w:t>basis</w:t>
      </w:r>
      <w:proofErr w:type="gramEnd"/>
      <w:r>
        <w:rPr>
          <w:color w:val="000000"/>
        </w:rPr>
        <w:t xml:space="preserve"> t</w:t>
      </w:r>
      <w:r>
        <w:rPr>
          <w:iCs/>
        </w:rPr>
        <w:t>he Commission issued the following declaration:</w:t>
      </w:r>
    </w:p>
    <w:p w:rsidR="009B64A9" w:rsidRPr="002B0075" w:rsidRDefault="009B64A9" w:rsidP="009B64A9">
      <w:pPr>
        <w:spacing w:after="120"/>
        <w:rPr>
          <w:iCs/>
        </w:rPr>
      </w:pPr>
      <w:r w:rsidRPr="002B0075">
        <w:rPr>
          <w:iCs/>
        </w:rPr>
        <w:t>“The Commission disagrees with the omission of Article 2(1) TFEU as legal basis of the decision empowering France to negotiate with the UK.</w:t>
      </w:r>
    </w:p>
    <w:p w:rsidR="009B64A9" w:rsidRPr="002B0075" w:rsidRDefault="009B64A9" w:rsidP="009B64A9">
      <w:pPr>
        <w:spacing w:after="120"/>
        <w:rPr>
          <w:iCs/>
        </w:rPr>
      </w:pPr>
      <w:r w:rsidRPr="002B0075">
        <w:rPr>
          <w:iCs/>
        </w:rPr>
        <w:t xml:space="preserve">While Article 91 TFEU empowers the Union to adopt acts of transport policy, the legislator </w:t>
      </w:r>
      <w:proofErr w:type="gramStart"/>
      <w:r w:rsidRPr="002B0075">
        <w:rPr>
          <w:iCs/>
        </w:rPr>
        <w:t>is warranted</w:t>
      </w:r>
      <w:proofErr w:type="gramEnd"/>
      <w:r w:rsidRPr="002B0075">
        <w:rPr>
          <w:iCs/>
        </w:rPr>
        <w:t xml:space="preserve"> powers to authorise Member States to act in the Union’s stead in an area of exclusive Union competenc</w:t>
      </w:r>
      <w:r>
        <w:rPr>
          <w:iCs/>
        </w:rPr>
        <w:t>e only under Article 2(1) TFEU.</w:t>
      </w:r>
    </w:p>
    <w:p w:rsidR="009B64A9" w:rsidRPr="00B967AF" w:rsidRDefault="009B64A9" w:rsidP="009B64A9">
      <w:pPr>
        <w:spacing w:before="100" w:beforeAutospacing="1" w:after="100" w:afterAutospacing="1"/>
        <w:ind w:left="720" w:hanging="720"/>
        <w:rPr>
          <w:rFonts w:cs="Calibri"/>
        </w:rPr>
      </w:pPr>
      <w:r w:rsidRPr="002B0075">
        <w:rPr>
          <w:iCs/>
        </w:rPr>
        <w:t>The decision can therefore be adopted only on the basis of both provisions.”</w:t>
      </w:r>
    </w:p>
    <w:p w:rsidR="008765BE" w:rsidRDefault="008765BE">
      <w:bookmarkStart w:id="0" w:name="_GoBack"/>
      <w:bookmarkEnd w:id="0"/>
    </w:p>
    <w:sectPr w:rsidR="008765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4A9"/>
    <w:rsid w:val="005762E3"/>
    <w:rsid w:val="008765BE"/>
    <w:rsid w:val="009B6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017602-FF80-4161-8F1B-3D2CC6FD6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62E3"/>
    <w:pPr>
      <w:jc w:val="both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62E3"/>
    <w:pPr>
      <w:keepNext/>
      <w:spacing w:before="240" w:after="60"/>
      <w:outlineLvl w:val="0"/>
    </w:pPr>
    <w:rPr>
      <w:rFonts w:ascii="Arial" w:eastAsiaTheme="majorEastAsia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62E3"/>
    <w:pPr>
      <w:keepNext/>
      <w:spacing w:before="240" w:after="60"/>
      <w:outlineLvl w:val="1"/>
    </w:pPr>
    <w:rPr>
      <w:rFonts w:ascii="Arial" w:eastAsiaTheme="majorEastAsia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62E3"/>
    <w:pPr>
      <w:keepNext/>
      <w:spacing w:before="240" w:after="60"/>
      <w:outlineLvl w:val="2"/>
    </w:pPr>
    <w:rPr>
      <w:rFonts w:ascii="Arial" w:eastAsiaTheme="majorEastAsia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62E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62E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62E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62E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62E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62E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62E3"/>
    <w:rPr>
      <w:rFonts w:ascii="Arial" w:eastAsiaTheme="majorEastAsia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62E3"/>
    <w:rPr>
      <w:rFonts w:ascii="Arial" w:eastAsiaTheme="majorEastAsia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62E3"/>
    <w:rPr>
      <w:rFonts w:ascii="Arial" w:eastAsiaTheme="majorEastAsia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62E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62E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62E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62E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62E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62E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5762E3"/>
    <w:pPr>
      <w:spacing w:before="240" w:after="60"/>
      <w:jc w:val="center"/>
      <w:outlineLvl w:val="0"/>
    </w:pPr>
    <w:rPr>
      <w:rFonts w:ascii="Arial" w:eastAsiaTheme="majorEastAsia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762E3"/>
    <w:rPr>
      <w:rFonts w:ascii="Arial" w:eastAsiaTheme="majorEastAsia" w:hAnsi="Arial" w:cs="Arial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62E3"/>
    <w:pPr>
      <w:spacing w:after="60"/>
      <w:jc w:val="center"/>
      <w:outlineLvl w:val="1"/>
    </w:pPr>
    <w:rPr>
      <w:rFonts w:ascii="Arial" w:eastAsiaTheme="majorEastAsia" w:hAnsi="Arial" w:cs="Arial"/>
    </w:rPr>
  </w:style>
  <w:style w:type="character" w:customStyle="1" w:styleId="SubtitleChar">
    <w:name w:val="Subtitle Char"/>
    <w:basedOn w:val="DefaultParagraphFont"/>
    <w:link w:val="Subtitle"/>
    <w:uiPriority w:val="11"/>
    <w:rsid w:val="005762E3"/>
    <w:rPr>
      <w:rFonts w:ascii="Arial" w:eastAsiaTheme="majorEastAsia" w:hAnsi="Arial" w:cs="Arial"/>
      <w:sz w:val="24"/>
      <w:szCs w:val="24"/>
    </w:rPr>
  </w:style>
  <w:style w:type="character" w:styleId="Strong">
    <w:name w:val="Strong"/>
    <w:basedOn w:val="DefaultParagraphFont"/>
    <w:uiPriority w:val="22"/>
    <w:qFormat/>
    <w:rsid w:val="005762E3"/>
    <w:rPr>
      <w:b/>
      <w:bCs/>
    </w:rPr>
  </w:style>
  <w:style w:type="character" w:styleId="Emphasis">
    <w:name w:val="Emphasis"/>
    <w:basedOn w:val="DefaultParagraphFont"/>
    <w:uiPriority w:val="20"/>
    <w:qFormat/>
    <w:rsid w:val="005762E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5762E3"/>
    <w:rPr>
      <w:szCs w:val="32"/>
    </w:rPr>
  </w:style>
  <w:style w:type="paragraph" w:styleId="ListParagraph">
    <w:name w:val="List Paragraph"/>
    <w:basedOn w:val="Normal"/>
    <w:uiPriority w:val="34"/>
    <w:qFormat/>
    <w:rsid w:val="005762E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762E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5762E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62E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62E3"/>
    <w:rPr>
      <w:b/>
      <w:i/>
      <w:sz w:val="24"/>
    </w:rPr>
  </w:style>
  <w:style w:type="character" w:styleId="SubtleEmphasis">
    <w:name w:val="Subtle Emphasis"/>
    <w:uiPriority w:val="19"/>
    <w:qFormat/>
    <w:rsid w:val="005762E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5762E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5762E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5762E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5762E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62E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Parliament</Company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BRABANDER Liesbet</dc:creator>
  <cp:keywords/>
  <dc:description/>
  <cp:lastModifiedBy>DE BRABANDER Liesbet</cp:lastModifiedBy>
  <cp:revision>1</cp:revision>
  <dcterms:created xsi:type="dcterms:W3CDTF">2020-11-06T09:25:00Z</dcterms:created>
  <dcterms:modified xsi:type="dcterms:W3CDTF">2020-11-06T09:27:00Z</dcterms:modified>
</cp:coreProperties>
</file>