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/>
        <w:ind w:left="1190" w:right="119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Follow up to the European Parliament non-legislative resolution on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establishing an EU strategy for sustainable tourism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268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1.      Rapporteur: </w:t>
      </w:r>
      <w:r>
        <w:rPr>
          <w:rFonts w:cs="Times New Roman" w:hAnsi="Times New Roman" w:eastAsia="Times New Roman" w:ascii="Times New Roman"/>
          <w:sz w:val="24"/>
          <w:szCs w:val="24"/>
        </w:rPr>
        <w:t>MONTEIRO DE AGUIAR Cláudia (EPP / PT)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6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2.      Reference numbers: </w:t>
      </w:r>
      <w:r>
        <w:rPr>
          <w:rFonts w:cs="Times New Roman" w:hAnsi="Times New Roman" w:eastAsia="Times New Roman" w:ascii="Times New Roman"/>
          <w:sz w:val="24"/>
          <w:szCs w:val="24"/>
        </w:rPr>
        <w:t>2020/2038 (INI) / A9-0033/2021 / P9_TA-PROV(2021)0109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54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3.      Date of adoption of the resolution: </w:t>
      </w:r>
      <w:r>
        <w:rPr>
          <w:rFonts w:cs="Times New Roman" w:hAnsi="Times New Roman" w:eastAsia="Times New Roman" w:ascii="Times New Roman"/>
          <w:sz w:val="24"/>
          <w:szCs w:val="24"/>
        </w:rPr>
        <w:t>25 March 2021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4.      Competent   Parliamentary   Committee:   </w:t>
      </w:r>
      <w:r>
        <w:rPr>
          <w:rFonts w:cs="Times New Roman" w:hAnsi="Times New Roman" w:eastAsia="Times New Roman" w:ascii="Times New Roman"/>
          <w:sz w:val="24"/>
          <w:szCs w:val="24"/>
        </w:rPr>
        <w:t>Committee   on   Transport   and   Tourism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3"/>
      </w:pPr>
      <w:r>
        <w:rPr>
          <w:rFonts w:cs="Times New Roman" w:hAnsi="Times New Roman" w:eastAsia="Times New Roman" w:ascii="Times New Roman"/>
          <w:sz w:val="24"/>
          <w:szCs w:val="24"/>
        </w:rPr>
        <w:t>(TRAN)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1698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5.      Brief analysis/ assessment of the resolution and requests made in it: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z w:val="24"/>
          <w:szCs w:val="24"/>
        </w:rPr>
        <w:t>The  resolution  proposes  an  establishment  of  an  EU  strategy  for  sustainable  tourism,  in</w:t>
      </w:r>
      <w:r>
        <w:rPr>
          <w:rFonts w:cs="Times New Roman" w:hAnsi="Times New Roman" w:eastAsia="Times New Roman" w:ascii="Times New Roman"/>
          <w:sz w:val="24"/>
          <w:szCs w:val="24"/>
        </w:rPr>
        <w:t> particular  considering  significant   impacts   of   the   COVID-19   pandemic   on   the   tourism</w:t>
      </w:r>
      <w:r>
        <w:rPr>
          <w:rFonts w:cs="Times New Roman" w:hAnsi="Times New Roman" w:eastAsia="Times New Roman" w:ascii="Times New Roman"/>
          <w:sz w:val="24"/>
          <w:szCs w:val="24"/>
        </w:rPr>
        <w:t> ecosystem, the urgency to recover a more resilient tourism ecosystem and in view of the long-</w:t>
      </w:r>
      <w:r>
        <w:rPr>
          <w:rFonts w:cs="Times New Roman" w:hAnsi="Times New Roman" w:eastAsia="Times New Roman" w:ascii="Times New Roman"/>
          <w:sz w:val="24"/>
          <w:szCs w:val="24"/>
        </w:rPr>
        <w:t> term  goals  of  digital  and  green  transition  and  the  new  reality.  The  resolution  calls  on  the</w:t>
      </w:r>
      <w:r>
        <w:rPr>
          <w:rFonts w:cs="Times New Roman" w:hAnsi="Times New Roman" w:eastAsia="Times New Roman" w:ascii="Times New Roman"/>
          <w:sz w:val="24"/>
          <w:szCs w:val="24"/>
        </w:rPr>
        <w:t> Commission to act on a great number of issues, linking several of them to other EU policies.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Four  main  directions  are  proposed  towards  establishing  an  EU  strategy  for  sustainable</w:t>
      </w:r>
      <w:r>
        <w:rPr>
          <w:rFonts w:cs="Times New Roman" w:hAnsi="Times New Roman" w:eastAsia="Times New Roman" w:ascii="Times New Roman"/>
          <w:sz w:val="24"/>
          <w:szCs w:val="24"/>
        </w:rPr>
        <w:t> tourism: (1) rebuilding the industry with pandemic response plans; (2) refocusing governance</w:t>
      </w:r>
      <w:r>
        <w:rPr>
          <w:rFonts w:cs="Times New Roman" w:hAnsi="Times New Roman" w:eastAsia="Times New Roman" w:ascii="Times New Roman"/>
          <w:sz w:val="24"/>
          <w:szCs w:val="24"/>
        </w:rPr>
        <w:t> policy   within   the   framework   of   the   Union;   (3)   strengthening   industry   initiatives   for</w:t>
      </w:r>
      <w:r>
        <w:rPr>
          <w:rFonts w:cs="Times New Roman" w:hAnsi="Times New Roman" w:eastAsia="Times New Roman" w:ascii="Times New Roman"/>
          <w:sz w:val="24"/>
          <w:szCs w:val="24"/>
        </w:rPr>
        <w:t> sustainable,  responsible  and  smart  tourism;  (4)  planning  the  future  of  the  industry  and  the</w:t>
      </w:r>
      <w:r>
        <w:rPr>
          <w:rFonts w:cs="Times New Roman" w:hAnsi="Times New Roman" w:eastAsia="Times New Roman" w:ascii="Times New Roman"/>
          <w:sz w:val="24"/>
          <w:szCs w:val="24"/>
        </w:rPr>
        <w:t> changes  that  will  take  place  on  the  demand  side  and  that  may  require  adaptation  of  the</w:t>
      </w:r>
      <w:r>
        <w:rPr>
          <w:rFonts w:cs="Times New Roman" w:hAnsi="Times New Roman" w:eastAsia="Times New Roman" w:ascii="Times New Roman"/>
          <w:sz w:val="24"/>
          <w:szCs w:val="24"/>
        </w:rPr>
        <w:t> offering.  Among  the  notable  long-term  goals  proposed,  are  the  establishment  of  an  EU</w:t>
      </w:r>
      <w:r>
        <w:rPr>
          <w:rFonts w:cs="Times New Roman" w:hAnsi="Times New Roman" w:eastAsia="Times New Roman" w:ascii="Times New Roman"/>
          <w:sz w:val="24"/>
          <w:szCs w:val="24"/>
        </w:rPr>
        <w:t> Tourism Agency and a European Tourism Union aiming at coherent EU actions for tourism.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80" w:val="left"/>
        </w:tabs>
        <w:jc w:val="left"/>
        <w:ind w:left="683" w:right="81" w:hanging="56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6.</w:t>
        <w:tab/>
      </w:r>
      <w:r>
        <w:rPr>
          <w:rFonts w:cs="Times New Roman" w:hAnsi="Times New Roman" w:eastAsia="Times New Roman" w:ascii="Times New Roman"/>
          <w:b/>
          <w:sz w:val="24"/>
          <w:szCs w:val="24"/>
        </w:rPr>
        <w:t>Response to the requests and overview of the action taken, or intended to be taken,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by the Commission: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4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N.B.  Presentation  follows  the  order  of  the  paragraphs  of  the  resolution.  When  relevant,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paragraphs are grouped together.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017"/>
      </w:pPr>
      <w:r>
        <w:rPr>
          <w:rFonts w:cs="Times New Roman" w:hAnsi="Times New Roman" w:eastAsia="Times New Roman" w:ascii="Times New Roman"/>
          <w:sz w:val="24"/>
          <w:szCs w:val="24"/>
        </w:rPr>
        <w:t>The resolution calls on the Commission to: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1112"/>
      </w:pPr>
      <w:r>
        <w:rPr>
          <w:rFonts w:cs="Times New Roman" w:hAnsi="Times New Roman" w:eastAsia="Times New Roman" w:ascii="Times New Roman"/>
          <w:sz w:val="24"/>
          <w:szCs w:val="24"/>
        </w:rPr>
        <w:t>Under sub-heading </w:t>
      </w:r>
      <w:r>
        <w:rPr>
          <w:rFonts w:cs="Times New Roman" w:hAnsi="Times New Roman" w:eastAsia="Times New Roman" w:ascii="Times New Roman"/>
          <w:b/>
          <w:i/>
          <w:sz w:val="24"/>
          <w:szCs w:val="24"/>
        </w:rPr>
        <w:t>Rebuild: COVID-19 impact response plans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(paragraphs 1-14)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(1)  fully  acknowledge  the  importance  of  the  tourism  industry,  to  fully  integrate  it  into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European and national development plans, to enhance the quality of its offer, to make it more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sustainable and accessible for all, and to launch long-overdue public and private investment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 the digitalisation and overall modernisation of the sector;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4"/>
      </w:pPr>
      <w:r>
        <w:pict>
          <v:group style="position:absolute;margin-left:70.824pt;margin-top:129.92pt;width:144.02pt;height:0pt;mso-position-horizontal-relative:page;mso-position-vertical-relative:paragraph;z-index:-461" coordorigin="1416,2598" coordsize="2880,0">
            <v:shape style="position:absolute;left:1416;top:2598;width:2880;height:0" coordorigin="1416,2598" coordsize="2880,0" path="m1416,2598l4297,259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The  Commission  recognizes  the  importance  of  tourism  for  the  EU  economy,  employment,</w:t>
      </w:r>
      <w:r>
        <w:rPr>
          <w:rFonts w:cs="Times New Roman" w:hAnsi="Times New Roman" w:eastAsia="Times New Roman" w:ascii="Times New Roman"/>
          <w:sz w:val="24"/>
          <w:szCs w:val="24"/>
        </w:rPr>
        <w:t> regional  and  social  cohesion  by  identifying  the  tourism  ecosystem  in  the  EU  Industrial</w:t>
      </w:r>
      <w:r>
        <w:rPr>
          <w:rFonts w:cs="Times New Roman" w:hAnsi="Times New Roman" w:eastAsia="Times New Roman" w:ascii="Times New Roman"/>
          <w:sz w:val="24"/>
          <w:szCs w:val="24"/>
        </w:rPr>
        <w:t> Strategy as one of the 14 ecosystems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which also identifies a transition pathway for tourism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as an essential collaborative tool for the transformation; by mobilising emergency support to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tourism during the pandemic crisis (business liquidity, preserving employment, facilitating a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6"/>
        <w:sectPr>
          <w:pgNumType w:start="1"/>
          <w:pgMar w:footer="985" w:header="0" w:top="1320" w:bottom="280" w:left="1300" w:right="1300"/>
          <w:footerReference w:type="default" r:id="rId4"/>
          <w:pgSz w:w="11920" w:h="16840"/>
        </w:sectPr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1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ate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ities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2019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ita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e/e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ial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ateg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en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/>
        <w:ind w:left="116" w:right="73"/>
      </w:pPr>
      <w:r>
        <w:rPr>
          <w:rFonts w:cs="Times New Roman" w:hAnsi="Times New Roman" w:eastAsia="Times New Roman" w:ascii="Times New Roman"/>
          <w:sz w:val="24"/>
          <w:szCs w:val="24"/>
        </w:rPr>
        <w:t>coordinated approach across the EU on travel restrictions, health and safety measures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) and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through  unprecedented  support  for  the  inclusive  and  sustainable  recovery,  resilience  and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transformation of the ecosystem along green and digital pathway (NextGenerationEU and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Multiannual Financial Framework 2021-2027).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(3) calls for the European Centre for Disease Prevention and Control (ECDC) to monitor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continue  to  publish,  in  a  timely  manner,  the  colour  coded  map  of  Union  countries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regions, including islands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–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where sufficient information is available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–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with a view to offering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travellers and businesses a coordinated and efficient response;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The  ECDC  will  continue  to  publish  and  regularly  update  the  colour-coded  map  of  EU</w:t>
      </w:r>
      <w:r>
        <w:rPr>
          <w:rFonts w:cs="Times New Roman" w:hAnsi="Times New Roman" w:eastAsia="Times New Roman" w:ascii="Times New Roman"/>
          <w:sz w:val="24"/>
          <w:szCs w:val="24"/>
        </w:rPr>
        <w:t> Member States, based on national data.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(5) develop as a matter of priority a common vaccination certificate and a system of mutual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recognition  of  vaccination  procedures  for  medical  purposes,  which  should  be  rolled  out  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parallel with the distribution of vaccines, while preserving individuals’ rights to privacy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data protection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z w:val="24"/>
          <w:szCs w:val="24"/>
        </w:rPr>
        <w:t>On  14  June  2021,  the  Parliament  and  the  Council  adopted  Regulation  (EU) 2021/953</w:t>
      </w:r>
      <w:r>
        <w:rPr>
          <w:rFonts w:cs="Times New Roman" w:hAnsi="Times New Roman" w:eastAsia="Times New Roman" w:ascii="Times New Roman"/>
          <w:sz w:val="24"/>
          <w:szCs w:val="24"/>
        </w:rPr>
        <w:t> establishing  the  EU  Digital  COVID  Certificate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  This  regulation  aims  to  facilitate  free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movement  within  the  EU  during  the  COVID-19  pandemic  by  establishing  a  common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framework  for  the  issuance,  verification  and  acceptance  of  interoperable  certificates  on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COVID-19 vaccination, testing and recovery. This allows EU citizens exercising their right to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free  movement  to  demonstrate  that  they  fulfil  public  health  requirements  imposed  by 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Member  State  of  destination.  The  regulation  also  aims  to  ensure  that  restrictions  of  free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movement currently in place to limit the spread of COVID-19 can be lifted in a coordinated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manner. Apart from vaccination certificates, the “EU Digital COVID Certificate” also covers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documents  certifying  a  negative  test  result  for  SARS-CoV-2  infection  and  documents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certifying  that  the  person  concerned  has  recovered  from  a  previous  infection.  This  allows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persons  who  are  not  vaccinated  to  benefit  from  such  an  interoperable  framework  as  well,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facilitating their free movement.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(6)  present  a  mobile  application  (ref.  Re-open  EU)  in  order  to  better  disseminate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information, and to continue providing real-time information on the status of borders and on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transport  and  tourism  services  available  in  EU  countries,  including  information  on  public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health and safety measures and other relevant information;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The  Commission  has  already  developed  a  mobile  application  for  its  Re-Open  EU-portal</w:t>
      </w:r>
      <w:r>
        <w:rPr>
          <w:rFonts w:cs="Times New Roman" w:hAnsi="Times New Roman" w:eastAsia="Times New Roman" w:ascii="Times New Roman"/>
          <w:sz w:val="24"/>
          <w:szCs w:val="24"/>
        </w:rPr>
        <w:t> which is providing real-time information on the status of borders and on transport and tourism</w:t>
      </w:r>
      <w:r>
        <w:rPr>
          <w:rFonts w:cs="Times New Roman" w:hAnsi="Times New Roman" w:eastAsia="Times New Roman" w:ascii="Times New Roman"/>
          <w:sz w:val="24"/>
          <w:szCs w:val="24"/>
        </w:rPr>
        <w:t> services  available  in  EU  countries,  including  information  on  public  health  and  safety</w:t>
      </w:r>
      <w:r>
        <w:rPr>
          <w:rFonts w:cs="Times New Roman" w:hAnsi="Times New Roman" w:eastAsia="Times New Roman" w:ascii="Times New Roman"/>
          <w:sz w:val="24"/>
          <w:szCs w:val="24"/>
        </w:rPr>
        <w:t> measures  and other relevant information. The Re-Open  EU mobile app  is available in both</w:t>
      </w:r>
      <w:r>
        <w:rPr>
          <w:rFonts w:cs="Times New Roman" w:hAnsi="Times New Roman" w:eastAsia="Times New Roman" w:ascii="Times New Roman"/>
          <w:sz w:val="24"/>
          <w:szCs w:val="24"/>
        </w:rPr>
        <w:t> Google Play and Apple App Store since December 2020. The Commission intends to operate</w:t>
      </w:r>
      <w:r>
        <w:rPr>
          <w:rFonts w:cs="Times New Roman" w:hAnsi="Times New Roman" w:eastAsia="Times New Roman" w:ascii="Times New Roman"/>
          <w:sz w:val="24"/>
          <w:szCs w:val="24"/>
        </w:rPr>
        <w:t> both the portal and the app as long as the pandemic is ongoing.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pict>
          <v:group style="position:absolute;margin-left:70.824pt;margin-top:82.6631pt;width:144.02pt;height:0pt;mso-position-horizontal-relative:page;mso-position-vertical-relative:paragraph;z-index:-460" coordorigin="1416,1653" coordsize="2880,0">
            <v:shape style="position:absolute;left:1416;top:1653;width:2880;height:0" coordorigin="1416,1653" coordsize="2880,0" path="m1416,1653l4297,1653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24"/>
          <w:szCs w:val="24"/>
        </w:rPr>
        <w:t>(7) launch a dedicated EU communication campaign on travel and tourism through an ‘EU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Tourism Brand’ aimed at promoting EU travel and rebuilding citizens’ confidence in travel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and tourism during COVID-19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before="33" w:lineRule="auto" w:line="243"/>
        <w:ind w:left="474" w:right="89" w:hanging="358"/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2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ab/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Coronavirus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Response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Investment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Initiative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(CRII),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Support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mitigate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Unemployment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Risks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Emergency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(SURE),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Temporary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framework,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supporting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sustainable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inclusive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recovery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NextGenerationEU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(including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REACT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Multiannual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Financial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Framework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(MFF)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2021-2027.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6"/>
        <w:sectPr>
          <w:pgMar w:header="0" w:footer="985" w:top="1300" w:bottom="280" w:left="1300" w:right="1300"/>
          <w:pgSz w:w="11920" w:h="16840"/>
        </w:sectPr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3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6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://d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ata.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/eli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/9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j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In  order  to  support  the  restart  of  the  EU  tourism  ecosystem,  the  EU  co-funded  various</w:t>
      </w:r>
      <w:r>
        <w:rPr>
          <w:rFonts w:cs="Times New Roman" w:hAnsi="Times New Roman" w:eastAsia="Times New Roman" w:ascii="Times New Roman"/>
          <w:sz w:val="24"/>
          <w:szCs w:val="24"/>
        </w:rPr>
        <w:t> campaigns  promoting  Europe  as  a  safe  destination.  These  campaigns  are  developed  and</w:t>
      </w:r>
      <w:r>
        <w:rPr>
          <w:rFonts w:cs="Times New Roman" w:hAnsi="Times New Roman" w:eastAsia="Times New Roman" w:ascii="Times New Roman"/>
          <w:sz w:val="24"/>
          <w:szCs w:val="24"/>
        </w:rPr>
        <w:t> implemented by the European Travel Commission (ETC) thanks to an EU ad hoc grant. The</w:t>
      </w:r>
      <w:r>
        <w:rPr>
          <w:rFonts w:cs="Times New Roman" w:hAnsi="Times New Roman" w:eastAsia="Times New Roman" w:ascii="Times New Roman"/>
          <w:sz w:val="24"/>
          <w:szCs w:val="24"/>
        </w:rPr>
        <w:t> first campaign focused on intra-EU tourism ahead of the summer 2020, with the support of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Euronews. A new general interest campaign called ‘Open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up to Europe’ is scheduled for end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May 2021, with the support of 32 destinations (at national, region and city level) and travel</w:t>
      </w:r>
      <w:r>
        <w:rPr>
          <w:rFonts w:cs="Times New Roman" w:hAnsi="Times New Roman" w:eastAsia="Times New Roman" w:ascii="Times New Roman"/>
          <w:sz w:val="24"/>
          <w:szCs w:val="24"/>
        </w:rPr>
        <w:t> brands. Other campaigns promoting Destination Europe are conducted on long haul markets</w:t>
      </w:r>
      <w:r>
        <w:rPr>
          <w:rFonts w:cs="Times New Roman" w:hAnsi="Times New Roman" w:eastAsia="Times New Roman" w:ascii="Times New Roman"/>
          <w:sz w:val="24"/>
          <w:szCs w:val="24"/>
        </w:rPr>
        <w:t> in order to keep it on the minds of North Americans and Chinese travellers in particular. The</w:t>
      </w:r>
      <w:r>
        <w:rPr>
          <w:rFonts w:cs="Times New Roman" w:hAnsi="Times New Roman" w:eastAsia="Times New Roman" w:ascii="Times New Roman"/>
          <w:sz w:val="24"/>
          <w:szCs w:val="24"/>
        </w:rPr>
        <w:t> European Year of Rail 2021 is also an opportunity to focus on this sustainable, specific travel</w:t>
      </w:r>
      <w:r>
        <w:rPr>
          <w:rFonts w:cs="Times New Roman" w:hAnsi="Times New Roman" w:eastAsia="Times New Roman" w:ascii="Times New Roman"/>
          <w:sz w:val="24"/>
          <w:szCs w:val="24"/>
        </w:rPr>
        <w:t> mode to promote sustainable EU destinations.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(8)  introduce  a  common  colour  coding  system  and  common  criteria  for  travel  to  third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countries through mutual recognition of comparable protective measures against COVID-19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across all modes of travel, but above all in the aviation and maritime sectors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z w:val="24"/>
          <w:szCs w:val="24"/>
        </w:rPr>
        <w:t>The  Council  adopted  on  30  June  2020,  on  a  proposal  by  the  Commission,  the  Council</w:t>
      </w:r>
      <w:r>
        <w:rPr>
          <w:rFonts w:cs="Times New Roman" w:hAnsi="Times New Roman" w:eastAsia="Times New Roman" w:ascii="Times New Roman"/>
          <w:sz w:val="24"/>
          <w:szCs w:val="24"/>
        </w:rPr>
        <w:t> Recommendation (EU) 2020/912 on the temporary restriction on non-essential travel into the</w:t>
      </w:r>
      <w:r>
        <w:rPr>
          <w:rFonts w:cs="Times New Roman" w:hAnsi="Times New Roman" w:eastAsia="Times New Roman" w:ascii="Times New Roman"/>
          <w:sz w:val="24"/>
          <w:szCs w:val="24"/>
        </w:rPr>
        <w:t> EU and the possible lifting of such restriction. It was amended on 20 May 2021 by Council</w:t>
      </w:r>
      <w:r>
        <w:rPr>
          <w:rFonts w:cs="Times New Roman" w:hAnsi="Times New Roman" w:eastAsia="Times New Roman" w:ascii="Times New Roman"/>
          <w:sz w:val="24"/>
          <w:szCs w:val="24"/>
        </w:rPr>
        <w:t> Recommendation  (EU)  2021/816.  The  latest  revision  introduced  three  major  changes:  (i)</w:t>
      </w:r>
      <w:r>
        <w:rPr>
          <w:rFonts w:cs="Times New Roman" w:hAnsi="Times New Roman" w:eastAsia="Times New Roman" w:ascii="Times New Roman"/>
          <w:sz w:val="24"/>
          <w:szCs w:val="24"/>
        </w:rPr>
        <w:t> where Member States accept proof of vaccination in order to waive travel restrictions to limit</w:t>
      </w:r>
      <w:r>
        <w:rPr>
          <w:rFonts w:cs="Times New Roman" w:hAnsi="Times New Roman" w:eastAsia="Times New Roman" w:ascii="Times New Roman"/>
          <w:sz w:val="24"/>
          <w:szCs w:val="24"/>
        </w:rPr>
        <w:t> the spread of COVID-19, Member States should in principle lift the temporary restriction on</w:t>
      </w:r>
      <w:r>
        <w:rPr>
          <w:rFonts w:cs="Times New Roman" w:hAnsi="Times New Roman" w:eastAsia="Times New Roman" w:ascii="Times New Roman"/>
          <w:sz w:val="24"/>
          <w:szCs w:val="24"/>
        </w:rPr>
        <w:t> non-essential  travel  to  the  EU  with  regard  to  travellers  from  third  countries  who  are  fully</w:t>
      </w:r>
      <w:r>
        <w:rPr>
          <w:rFonts w:cs="Times New Roman" w:hAnsi="Times New Roman" w:eastAsia="Times New Roman" w:ascii="Times New Roman"/>
          <w:sz w:val="24"/>
          <w:szCs w:val="24"/>
        </w:rPr>
        <w:t> vaccinated (at least 14 days before arrival) with a vaccine  approved by the EU or WHO to</w:t>
      </w:r>
      <w:r>
        <w:rPr>
          <w:rFonts w:cs="Times New Roman" w:hAnsi="Times New Roman" w:eastAsia="Times New Roman" w:ascii="Times New Roman"/>
          <w:sz w:val="24"/>
          <w:szCs w:val="24"/>
        </w:rPr>
        <w:t> enter the EU for non-essential travel, taking into account, on a case-by-case basis, reciprocity</w:t>
      </w:r>
      <w:r>
        <w:rPr>
          <w:rFonts w:cs="Times New Roman" w:hAnsi="Times New Roman" w:eastAsia="Times New Roman" w:ascii="Times New Roman"/>
          <w:sz w:val="24"/>
          <w:szCs w:val="24"/>
        </w:rPr>
        <w:t> granted to the EU+ area; (ii) the 14-day notification rate threshold for third countries to be</w:t>
      </w:r>
      <w:r>
        <w:rPr>
          <w:rFonts w:cs="Times New Roman" w:hAnsi="Times New Roman" w:eastAsia="Times New Roman" w:ascii="Times New Roman"/>
          <w:sz w:val="24"/>
          <w:szCs w:val="24"/>
        </w:rPr>
        <w:t> included in Annex I was raised to 75 cases per 100.000 population; and (iii) the emergency</w:t>
      </w:r>
      <w:r>
        <w:rPr>
          <w:rFonts w:cs="Times New Roman" w:hAnsi="Times New Roman" w:eastAsia="Times New Roman" w:ascii="Times New Roman"/>
          <w:sz w:val="24"/>
          <w:szCs w:val="24"/>
        </w:rPr>
        <w:t> brake was established for Member States to be able to take action quickly in the light of new</w:t>
      </w:r>
      <w:r>
        <w:rPr>
          <w:rFonts w:cs="Times New Roman" w:hAnsi="Times New Roman" w:eastAsia="Times New Roman" w:ascii="Times New Roman"/>
          <w:sz w:val="24"/>
          <w:szCs w:val="24"/>
        </w:rPr>
        <w:t> variants. In addition, the ECDC is to provide a regular mapping of variants in third countries.</w:t>
      </w:r>
      <w:r>
        <w:rPr>
          <w:rFonts w:cs="Times New Roman" w:hAnsi="Times New Roman" w:eastAsia="Times New Roman" w:ascii="Times New Roman"/>
          <w:sz w:val="24"/>
          <w:szCs w:val="24"/>
        </w:rPr>
        <w:t> While  not  working  with  a  colour-system,  the  recommendation  sets  out  clear  and  objective</w:t>
      </w:r>
      <w:r>
        <w:rPr>
          <w:rFonts w:cs="Times New Roman" w:hAnsi="Times New Roman" w:eastAsia="Times New Roman" w:ascii="Times New Roman"/>
          <w:sz w:val="24"/>
          <w:szCs w:val="24"/>
        </w:rPr>
        <w:t> criteria  and  thresholds  to  decide  for  which  third  countries  the  current  restriction  on  non-</w:t>
      </w:r>
      <w:r>
        <w:rPr>
          <w:rFonts w:cs="Times New Roman" w:hAnsi="Times New Roman" w:eastAsia="Times New Roman" w:ascii="Times New Roman"/>
          <w:sz w:val="24"/>
          <w:szCs w:val="24"/>
        </w:rPr>
        <w:t> essential travel into the EU should be lifted. These third countries are included in Annex I of</w:t>
      </w:r>
      <w:r>
        <w:rPr>
          <w:rFonts w:cs="Times New Roman" w:hAnsi="Times New Roman" w:eastAsia="Times New Roman" w:ascii="Times New Roman"/>
          <w:sz w:val="24"/>
          <w:szCs w:val="24"/>
        </w:rPr>
        <w:t> the Council Recommendation. This list is reviewed by the Council every two weeks, and if</w:t>
      </w:r>
      <w:r>
        <w:rPr>
          <w:rFonts w:cs="Times New Roman" w:hAnsi="Times New Roman" w:eastAsia="Times New Roman" w:ascii="Times New Roman"/>
          <w:sz w:val="24"/>
          <w:szCs w:val="24"/>
        </w:rPr>
        <w:t> need be amended, to take into account the epidemiological developments in these countries.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(8)  establish  an  early  alert  system  that  warns  tourists  through  new  technologies  in  a  user-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friendly way about any potential health threats in a third country destination;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z w:val="24"/>
          <w:szCs w:val="24"/>
        </w:rPr>
        <w:t>This  information  is  monitored  and  provided  to  citizens  through  Member  State  Government</w:t>
      </w:r>
      <w:r>
        <w:rPr>
          <w:rFonts w:cs="Times New Roman" w:hAnsi="Times New Roman" w:eastAsia="Times New Roman" w:ascii="Times New Roman"/>
          <w:sz w:val="24"/>
          <w:szCs w:val="24"/>
        </w:rPr>
        <w:t> portals, normally maintained by the relevant Ministries of Foreign Affairs. There are currently</w:t>
      </w:r>
      <w:r>
        <w:rPr>
          <w:rFonts w:cs="Times New Roman" w:hAnsi="Times New Roman" w:eastAsia="Times New Roman" w:ascii="Times New Roman"/>
          <w:sz w:val="24"/>
          <w:szCs w:val="24"/>
        </w:rPr>
        <w:t> no plans to duplicate this work at EU level.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(9)  introduce  an  EU  hygiene  certification  seal,  which  should  be  developed  jointly  by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ECDC  and  the  Member  States  and  should  certify  touristic  activities,  ensuring  compliance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with minimum hygiene standards for the prevention and control of the COVID-19 virus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other possible infections;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The Commission has invited the European Committee for Standardisation (CEN) to prepare a</w:t>
      </w:r>
      <w:r>
        <w:rPr>
          <w:rFonts w:cs="Times New Roman" w:hAnsi="Times New Roman" w:eastAsia="Times New Roman" w:ascii="Times New Roman"/>
          <w:sz w:val="24"/>
          <w:szCs w:val="24"/>
        </w:rPr>
        <w:t> standardisation document as a basis for health and safety protocols for the hospitality sector. It</w:t>
      </w:r>
      <w:r>
        <w:rPr>
          <w:rFonts w:cs="Times New Roman" w:hAnsi="Times New Roman" w:eastAsia="Times New Roman" w:ascii="Times New Roman"/>
          <w:sz w:val="24"/>
          <w:szCs w:val="24"/>
        </w:rPr>
        <w:t> is  based  on  a  protocol  prepared  at  the  International  Standardisation  Union  (ISO)  and  is</w:t>
      </w:r>
      <w:r>
        <w:rPr>
          <w:rFonts w:cs="Times New Roman" w:hAnsi="Times New Roman" w:eastAsia="Times New Roman" w:ascii="Times New Roman"/>
          <w:sz w:val="24"/>
          <w:szCs w:val="24"/>
        </w:rPr>
        <w:t> complemented  with  a  visual  identity,  as  well  as  other  additions  in  a  CEN  Workshop</w:t>
      </w:r>
      <w:r>
        <w:rPr>
          <w:rFonts w:cs="Times New Roman" w:hAnsi="Times New Roman" w:eastAsia="Times New Roman" w:ascii="Times New Roman"/>
          <w:sz w:val="24"/>
          <w:szCs w:val="24"/>
        </w:rPr>
        <w:t> Agreement (CWA). It was published in mid May 2021. The Commission is already in close</w:t>
      </w:r>
      <w:r>
        <w:rPr>
          <w:rFonts w:cs="Times New Roman" w:hAnsi="Times New Roman" w:eastAsia="Times New Roman" w:ascii="Times New Roman"/>
          <w:sz w:val="24"/>
          <w:szCs w:val="24"/>
        </w:rPr>
        <w:t> cooperation with Member States in order to support implementation with the help of national</w:t>
      </w:r>
      <w:r>
        <w:rPr>
          <w:rFonts w:cs="Times New Roman" w:hAnsi="Times New Roman" w:eastAsia="Times New Roman" w:ascii="Times New Roman"/>
          <w:sz w:val="24"/>
          <w:szCs w:val="24"/>
        </w:rPr>
        <w:t> administrations.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3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(10)  take  specific  action  in  relation  to  European  regions  in  which  tourism  accounts  for  a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more substantial share of their GDP as well as to islands and outermost regions</w:t>
      </w:r>
      <w:r>
        <w:rPr>
          <w:rFonts w:cs="Times New Roman" w:hAnsi="Times New Roman" w:eastAsia="Times New Roman" w:ascii="Times New Roman"/>
          <w:sz w:val="24"/>
          <w:szCs w:val="24"/>
        </w:rPr>
        <w:t>;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stresses, 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this  context,  that  financial  support  from  EU  Funds  distributed  in  the  Member  States  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connection with the COVID-19 pandemic is not always reaching those tourism operators who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are  in  urgent  need  of  direct  funding  in  order  to  continue  and  maintain  their  economic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activities;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Actions and investments in the area of tourism are eligible for EU support under the Cohesion</w:t>
      </w:r>
      <w:r>
        <w:rPr>
          <w:rFonts w:cs="Times New Roman" w:hAnsi="Times New Roman" w:eastAsia="Times New Roman" w:ascii="Times New Roman"/>
          <w:sz w:val="24"/>
          <w:szCs w:val="24"/>
        </w:rPr>
        <w:t> policy Funds (e.g. the European Regional Development Fund (ERDF)) and can be financed</w:t>
      </w:r>
      <w:r>
        <w:rPr>
          <w:rFonts w:cs="Times New Roman" w:hAnsi="Times New Roman" w:eastAsia="Times New Roman" w:ascii="Times New Roman"/>
          <w:sz w:val="24"/>
          <w:szCs w:val="24"/>
        </w:rPr>
        <w:t> under the national recovery and resilience plans implementing the Recovery and Resilience</w:t>
      </w:r>
      <w:r>
        <w:rPr>
          <w:rFonts w:cs="Times New Roman" w:hAnsi="Times New Roman" w:eastAsia="Times New Roman" w:ascii="Times New Roman"/>
          <w:sz w:val="24"/>
          <w:szCs w:val="24"/>
        </w:rPr>
        <w:t> Facility. The legal basis for these Funds set the rules for the support of economic operators</w:t>
      </w:r>
      <w:r>
        <w:rPr>
          <w:rFonts w:cs="Times New Roman" w:hAnsi="Times New Roman" w:eastAsia="Times New Roman" w:ascii="Times New Roman"/>
          <w:sz w:val="24"/>
          <w:szCs w:val="24"/>
        </w:rPr>
        <w:t> executed by the Member States.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(11) encourage Member States to temporarily set reduced VAT rates on travel and tourism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services, accompanied by a special stimulus package for all micro enterprises and SMEs for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the 2020-2024 period, in order to minimise the number of bankruptcies and preserve jobs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wor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kers’  rights  in  the  European  tourism  industry,  while  utilising  investments  to  foster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transition towards a more digital and sustainable tourism ecosystem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z w:val="24"/>
          <w:szCs w:val="24"/>
        </w:rPr>
        <w:t>REACT-EU  extends  the  crisis-response  and  crisis-repair  measures  delivered  through  the</w:t>
      </w:r>
      <w:r>
        <w:rPr>
          <w:rFonts w:cs="Times New Roman" w:hAnsi="Times New Roman" w:eastAsia="Times New Roman" w:ascii="Times New Roman"/>
          <w:sz w:val="24"/>
          <w:szCs w:val="24"/>
        </w:rPr>
        <w:t> coronavirus  response  investment  initiative  (CRII)  and  the  coronavirus  response  investment</w:t>
      </w:r>
      <w:r>
        <w:rPr>
          <w:rFonts w:cs="Times New Roman" w:hAnsi="Times New Roman" w:eastAsia="Times New Roman" w:ascii="Times New Roman"/>
          <w:sz w:val="24"/>
          <w:szCs w:val="24"/>
        </w:rPr>
        <w:t> initiative  plus  (CRII+),   and  constitutes  a  bridge  to  the  long-term  recovery  plan.  The</w:t>
      </w:r>
      <w:r>
        <w:rPr>
          <w:rFonts w:cs="Times New Roman" w:hAnsi="Times New Roman" w:eastAsia="Times New Roman" w:ascii="Times New Roman"/>
          <w:sz w:val="24"/>
          <w:szCs w:val="24"/>
        </w:rPr>
        <w:t> programme supports investment projects that foster crisis-repair capacities and contribute to a</w:t>
      </w:r>
      <w:r>
        <w:rPr>
          <w:rFonts w:cs="Times New Roman" w:hAnsi="Times New Roman" w:eastAsia="Times New Roman" w:ascii="Times New Roman"/>
          <w:sz w:val="24"/>
          <w:szCs w:val="24"/>
        </w:rPr>
        <w:t> green, digital and resilient recovery of the economy, including support for maintaining jobs,</w:t>
      </w:r>
      <w:r>
        <w:rPr>
          <w:rFonts w:cs="Times New Roman" w:hAnsi="Times New Roman" w:eastAsia="Times New Roman" w:ascii="Times New Roman"/>
          <w:sz w:val="24"/>
          <w:szCs w:val="24"/>
        </w:rPr>
        <w:t> short-time work schemes and support for the self-employed. It can also support job creation</w:t>
      </w:r>
      <w:r>
        <w:rPr>
          <w:rFonts w:cs="Times New Roman" w:hAnsi="Times New Roman" w:eastAsia="Times New Roman" w:ascii="Times New Roman"/>
          <w:sz w:val="24"/>
          <w:szCs w:val="24"/>
        </w:rPr>
        <w:t> and youth employment measures, healthcare systems and the provision of working capital and</w:t>
      </w:r>
      <w:r>
        <w:rPr>
          <w:rFonts w:cs="Times New Roman" w:hAnsi="Times New Roman" w:eastAsia="Times New Roman" w:ascii="Times New Roman"/>
          <w:sz w:val="24"/>
          <w:szCs w:val="24"/>
        </w:rPr>
        <w:t> investment support for small and medium-sized enterprises.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4"/>
      </w:pPr>
      <w:r>
        <w:rPr>
          <w:rFonts w:cs="Times New Roman" w:hAnsi="Times New Roman" w:eastAsia="Times New Roman" w:ascii="Times New Roman"/>
          <w:sz w:val="24"/>
          <w:szCs w:val="24"/>
        </w:rPr>
        <w:t>Support for tourism SMEs (small and medium sized enterprises) transition to green and digital</w:t>
      </w:r>
      <w:r>
        <w:rPr>
          <w:rFonts w:cs="Times New Roman" w:hAnsi="Times New Roman" w:eastAsia="Times New Roman" w:ascii="Times New Roman"/>
          <w:sz w:val="24"/>
          <w:szCs w:val="24"/>
        </w:rPr>
        <w:t> path is available under several EU programmes. In order to facilitate the access to EU funding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for tourism, the online “Guide on EU funding for tourism” is operational since May 2021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Moreover,  under  EU  VAT  rules,  the  Member  States  have  the  possibility  to  apply  reduced</w:t>
      </w:r>
      <w:r>
        <w:rPr>
          <w:rFonts w:cs="Times New Roman" w:hAnsi="Times New Roman" w:eastAsia="Times New Roman" w:ascii="Times New Roman"/>
          <w:sz w:val="24"/>
          <w:szCs w:val="24"/>
        </w:rPr>
        <w:t> rates (no less than 5%) to specific goods or services, including certain hospitality and other</w:t>
      </w:r>
      <w:r>
        <w:rPr>
          <w:rFonts w:cs="Times New Roman" w:hAnsi="Times New Roman" w:eastAsia="Times New Roman" w:ascii="Times New Roman"/>
          <w:sz w:val="24"/>
          <w:szCs w:val="24"/>
        </w:rPr>
        <w:t> tourism-related  services.  Hence,  the  Member  States  are  already  able  to  apply  what  they</w:t>
      </w:r>
      <w:r>
        <w:rPr>
          <w:rFonts w:cs="Times New Roman" w:hAnsi="Times New Roman" w:eastAsia="Times New Roman" w:ascii="Times New Roman"/>
          <w:sz w:val="24"/>
          <w:szCs w:val="24"/>
        </w:rPr>
        <w:t> consider  as  the  most  appropriate  VAT  (Value  Added  Tax)  rates  in  support  of  the  tourism</w:t>
      </w:r>
      <w:r>
        <w:rPr>
          <w:rFonts w:cs="Times New Roman" w:hAnsi="Times New Roman" w:eastAsia="Times New Roman" w:ascii="Times New Roman"/>
          <w:sz w:val="24"/>
          <w:szCs w:val="24"/>
        </w:rPr>
        <w:t> sector. Indeed, some Member States have decided to reduce the VAT rate for such services</w:t>
      </w:r>
      <w:r>
        <w:rPr>
          <w:rFonts w:cs="Times New Roman" w:hAnsi="Times New Roman" w:eastAsia="Times New Roman" w:ascii="Times New Roman"/>
          <w:sz w:val="24"/>
          <w:szCs w:val="24"/>
        </w:rPr>
        <w:t> for a limited period of time, to help companies restoring their financial position after a year</w:t>
      </w:r>
      <w:r>
        <w:rPr>
          <w:rFonts w:cs="Times New Roman" w:hAnsi="Times New Roman" w:eastAsia="Times New Roman" w:ascii="Times New Roman"/>
          <w:sz w:val="24"/>
          <w:szCs w:val="24"/>
        </w:rPr>
        <w:t> with very low revenues.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(13) implement the adopted preparatory action ‘a European crisis management mechanism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for tourism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’, jointly with Parliament, with a view to being ready to cope with future crises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help   tourist   destinations   establish   crisis   prevention   plans,   contingency   measures 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preparedness plans and actions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pict>
          <v:group style="position:absolute;margin-left:70.824pt;margin-top:103.683pt;width:144.02pt;height:0pt;mso-position-horizontal-relative:page;mso-position-vertical-relative:paragraph;z-index:-459" coordorigin="1416,2074" coordsize="2880,0">
            <v:shape style="position:absolute;left:1416;top:2074;width:2880;height:0" coordorigin="1416,2074" coordsize="2880,0" path="m1416,2074l4297,2074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Already  in  the  initial  implementability  assessment  communicated  to  the  Parliament  last</w:t>
      </w:r>
      <w:r>
        <w:rPr>
          <w:rFonts w:cs="Times New Roman" w:hAnsi="Times New Roman" w:eastAsia="Times New Roman" w:ascii="Times New Roman"/>
          <w:sz w:val="24"/>
          <w:szCs w:val="24"/>
        </w:rPr>
        <w:t> spring, the Commission did not find it possible to establish a crisis management mechanism</w:t>
      </w:r>
      <w:r>
        <w:rPr>
          <w:rFonts w:cs="Times New Roman" w:hAnsi="Times New Roman" w:eastAsia="Times New Roman" w:ascii="Times New Roman"/>
          <w:sz w:val="24"/>
          <w:szCs w:val="24"/>
        </w:rPr>
        <w:t> with a means of a preparatory action. There are crisis management structures, horizontal ones,</w:t>
      </w:r>
      <w:r>
        <w:rPr>
          <w:rFonts w:cs="Times New Roman" w:hAnsi="Times New Roman" w:eastAsia="Times New Roman" w:ascii="Times New Roman"/>
          <w:sz w:val="24"/>
          <w:szCs w:val="24"/>
        </w:rPr>
        <w:t> already in place, such as the integrated political crisis response (IPCR) at EU level. Therefore,</w:t>
      </w:r>
      <w:r>
        <w:rPr>
          <w:rFonts w:cs="Times New Roman" w:hAnsi="Times New Roman" w:eastAsia="Times New Roman" w:ascii="Times New Roman"/>
          <w:sz w:val="24"/>
          <w:szCs w:val="24"/>
        </w:rPr>
        <w:t> the Commission has proposed to allocate the budget of this preparatory action to the Single</w:t>
      </w:r>
      <w:r>
        <w:rPr>
          <w:rFonts w:cs="Times New Roman" w:hAnsi="Times New Roman" w:eastAsia="Times New Roman" w:ascii="Times New Roman"/>
          <w:sz w:val="24"/>
          <w:szCs w:val="24"/>
        </w:rPr>
        <w:t> Market  Programme,  where  the  funds  will  be  used  to  support  the  resilience  of  EU  tourism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6"/>
        <w:sectPr>
          <w:pgMar w:header="0" w:footer="985" w:top="1320" w:bottom="280" w:left="1300" w:right="1300"/>
          <w:pgSz w:w="11920" w:h="16840"/>
        </w:sectPr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4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7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cto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/to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82"/>
      </w:pPr>
      <w:r>
        <w:rPr>
          <w:rFonts w:cs="Times New Roman" w:hAnsi="Times New Roman" w:eastAsia="Times New Roman" w:ascii="Times New Roman"/>
          <w:sz w:val="24"/>
          <w:szCs w:val="24"/>
        </w:rPr>
        <w:t>ecosystem. The Commission intends to map tourism governance in response to the COVID-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z w:val="24"/>
          <w:szCs w:val="24"/>
        </w:rPr>
        <w:t>19 pandemic, to set up a platform for technical assistance to destinations to strengthen their</w:t>
      </w:r>
      <w:r>
        <w:rPr>
          <w:rFonts w:cs="Times New Roman" w:hAnsi="Times New Roman" w:eastAsia="Times New Roman" w:ascii="Times New Roman"/>
          <w:sz w:val="24"/>
          <w:szCs w:val="24"/>
        </w:rPr>
        <w:t> governance  for  crisis  preparedness  and  management.  With  part  of  the  budget  we  will</w:t>
      </w:r>
      <w:r>
        <w:rPr>
          <w:rFonts w:cs="Times New Roman" w:hAnsi="Times New Roman" w:eastAsia="Times New Roman" w:ascii="Times New Roman"/>
          <w:sz w:val="24"/>
          <w:szCs w:val="24"/>
        </w:rPr>
        <w:t> reinforce the grant support to tourism SMEs, building their capacities to carry out the green</w:t>
      </w:r>
      <w:r>
        <w:rPr>
          <w:rFonts w:cs="Times New Roman" w:hAnsi="Times New Roman" w:eastAsia="Times New Roman" w:ascii="Times New Roman"/>
          <w:sz w:val="24"/>
          <w:szCs w:val="24"/>
        </w:rPr>
        <w:t> and digital transition.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(14)  regularly  inform  and  cooperate  with  Parliament  about  the  preparatory  work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progress made in the development of pilot projects and preparatory actions and to keep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parliamentary committee responsible and the MEPs who initiated the projects involved in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process;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sz w:val="24"/>
          <w:szCs w:val="24"/>
        </w:rPr>
        <w:t>The  Commission  reports  on  the  progress  made  in  the  development  of  pilot  projects  and</w:t>
      </w:r>
      <w:r>
        <w:rPr>
          <w:rFonts w:cs="Times New Roman" w:hAnsi="Times New Roman" w:eastAsia="Times New Roman" w:ascii="Times New Roman"/>
          <w:sz w:val="24"/>
          <w:szCs w:val="24"/>
        </w:rPr>
        <w:t> preparatory actions both in writing and in the context of the regular exchange of views upon</w:t>
      </w:r>
      <w:r>
        <w:rPr>
          <w:rFonts w:cs="Times New Roman" w:hAnsi="Times New Roman" w:eastAsia="Times New Roman" w:ascii="Times New Roman"/>
          <w:sz w:val="24"/>
          <w:szCs w:val="24"/>
        </w:rPr>
        <w:t> invitation of the Parliament, in particular the TRAN Committee.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Under    sub-heading    </w:t>
      </w:r>
      <w:r>
        <w:rPr>
          <w:rFonts w:cs="Times New Roman" w:hAnsi="Times New Roman" w:eastAsia="Times New Roman" w:ascii="Times New Roman"/>
          <w:b/>
          <w:i/>
          <w:sz w:val="24"/>
          <w:szCs w:val="24"/>
        </w:rPr>
        <w:t>Refocus:    governance    policy    within    the    Union    framework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6" w:right="7188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(paragraphs 15-23)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(15)  establish  a  new  governance  model  between  the  EU  Institutions,  strengthening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organisational,   financial   and   human   resources   structure   by   setting   up   a   dedicated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Directorate  dealing  specifically  with  tourism,  backed  by  adequate  funding,  with  a  view 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taking an integrated and efficient approach to tourism, supporting the relaunch of tourism 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European regions and helping businesses to implement the measures needed to achieve key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objectives in the areas of sustainability and innovation, and increasing their competitiveness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and attractiveness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The  Commission  service  responsible  for  Internal  Market,  Industry,  Entrepreneurship  and</w:t>
      </w:r>
      <w:r>
        <w:rPr>
          <w:rFonts w:cs="Times New Roman" w:hAnsi="Times New Roman" w:eastAsia="Times New Roman" w:ascii="Times New Roman"/>
          <w:sz w:val="24"/>
          <w:szCs w:val="24"/>
        </w:rPr>
        <w:t> SMEs (DG GROW) has a directorate dedicated to tourism and the proximity ecosystem. The</w:t>
      </w:r>
      <w:r>
        <w:rPr>
          <w:rFonts w:cs="Times New Roman" w:hAnsi="Times New Roman" w:eastAsia="Times New Roman" w:ascii="Times New Roman"/>
          <w:sz w:val="24"/>
          <w:szCs w:val="24"/>
        </w:rPr>
        <w:t> Commission  implements  EU  policies  in  synergy  and  coherence  across  its  services  and</w:t>
      </w:r>
      <w:r>
        <w:rPr>
          <w:rFonts w:cs="Times New Roman" w:hAnsi="Times New Roman" w:eastAsia="Times New Roman" w:ascii="Times New Roman"/>
          <w:sz w:val="24"/>
          <w:szCs w:val="24"/>
        </w:rPr>
        <w:t> departments. It supports the idea of close cooperation among the EU Institutions in particular</w:t>
      </w:r>
      <w:r>
        <w:rPr>
          <w:rFonts w:cs="Times New Roman" w:hAnsi="Times New Roman" w:eastAsia="Times New Roman" w:ascii="Times New Roman"/>
          <w:sz w:val="24"/>
          <w:szCs w:val="24"/>
        </w:rPr>
        <w:t> on the competitiveness and twin green and digital transition of the tourism ecosystem.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(17) a discussion to be initiated at the Conference on the Future of Europe on helping tourism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 become a shared  competence of the EU, rather than a  complementary competence as is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currently the case; calls on the Commission, therefore, to start making full use of the Treaties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 develop a comprehensive European tourism policy towards the creation of the European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Tourism Union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The Commission expects the Conference on the Future of Europe to be an important forum</w:t>
      </w:r>
      <w:r>
        <w:rPr>
          <w:rFonts w:cs="Times New Roman" w:hAnsi="Times New Roman" w:eastAsia="Times New Roman" w:ascii="Times New Roman"/>
          <w:sz w:val="24"/>
          <w:szCs w:val="24"/>
        </w:rPr>
        <w:t> for  debate  on  the  future  of  the  European  economy,  including  tourism  and  other  industrial</w:t>
      </w:r>
      <w:r>
        <w:rPr>
          <w:rFonts w:cs="Times New Roman" w:hAnsi="Times New Roman" w:eastAsia="Times New Roman" w:ascii="Times New Roman"/>
          <w:sz w:val="24"/>
          <w:szCs w:val="24"/>
        </w:rPr>
        <w:t> ecosystems.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(19) create an EU mechanism to monitor the provision of support to micro enterprises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SMEs,  focusing  on  liquidity  and  delivering  EU  added  value  and  transparency  in  order 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increase  the  ability  of  those  enterprises  to  access  and  use  EU  funds  to  facilitate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modernisation   and   implementation   of   innovative   and   sustainable   projects,   ensuring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accountability and administrative simplification;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550"/>
      </w:pPr>
      <w:r>
        <w:rPr>
          <w:rFonts w:cs="Times New Roman" w:hAnsi="Times New Roman" w:eastAsia="Times New Roman" w:ascii="Times New Roman"/>
          <w:sz w:val="24"/>
          <w:szCs w:val="24"/>
        </w:rPr>
        <w:t>(See paragraph </w:t>
      </w:r>
      <w:r>
        <w:rPr>
          <w:rFonts w:cs="Times New Roman" w:hAnsi="Times New Roman" w:eastAsia="Times New Roman" w:ascii="Times New Roman"/>
          <w:sz w:val="24"/>
          <w:szCs w:val="24"/>
        </w:rPr>
        <w:t>11 on “Guide on EU funding for tourism”)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5"/>
        <w:ind w:left="116" w:right="75"/>
      </w:pPr>
      <w:r>
        <w:pict>
          <v:group style="position:absolute;margin-left:70.824pt;margin-top:69.8815pt;width:144.02pt;height:0pt;mso-position-horizontal-relative:page;mso-position-vertical-relative:paragraph;z-index:-458" coordorigin="1416,1398" coordsize="2880,0">
            <v:shape style="position:absolute;left:1416;top:1398;width:2880;height:0" coordorigin="1416,1398" coordsize="2880,0" path="m1416,1398l4297,139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With the updated EU Industrial Strategy, the Commission has published a first Annual Single</w:t>
      </w:r>
      <w:r>
        <w:rPr>
          <w:rFonts w:cs="Times New Roman" w:hAnsi="Times New Roman" w:eastAsia="Times New Roman" w:ascii="Times New Roman"/>
          <w:sz w:val="24"/>
          <w:szCs w:val="24"/>
        </w:rPr>
        <w:t> Market Report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which analyses the resilience of the Single Market. It looks at the impact of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the pandemic and the public policy measures to counteract it, on the functioning of the Single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Market and on European companies, including SMEs. The report also takes a detailed look at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6"/>
        <w:sectPr>
          <w:pgMar w:header="0" w:footer="985" w:top="1320" w:bottom="280" w:left="1300" w:right="1300"/>
          <w:pgSz w:w="11920" w:h="16840"/>
        </w:sectPr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5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8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ites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les/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al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the impact of the crisis across 14 industrial ecosystems. It shows that the impact of the crisis</w:t>
      </w:r>
      <w:r>
        <w:rPr>
          <w:rFonts w:cs="Times New Roman" w:hAnsi="Times New Roman" w:eastAsia="Times New Roman" w:ascii="Times New Roman"/>
          <w:sz w:val="24"/>
          <w:szCs w:val="24"/>
        </w:rPr>
        <w:t> has been uneven among ecosystems - with tourism, mobility, textiles and cultural &amp; creative</w:t>
      </w:r>
      <w:r>
        <w:rPr>
          <w:rFonts w:cs="Times New Roman" w:hAnsi="Times New Roman" w:eastAsia="Times New Roman" w:ascii="Times New Roman"/>
          <w:sz w:val="24"/>
          <w:szCs w:val="24"/>
        </w:rPr>
        <w:t> ecosystems hardest hit.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(20) present an action plan in 2021 and to develop, in a timely manner, an EU strategy for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sustainable and strategic tourism aligned with the Digital Agenda, the  Green Deal and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UN Sustainable Development Goals, replacing the strategy from 2010, in order to maintain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Europe’s standing as a leading destination; the EP recalls that in drawing up this strategy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there must be a consultation of professionals in the tourism sector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z w:val="24"/>
          <w:szCs w:val="24"/>
        </w:rPr>
        <w:t>In the update of the New Industrial Strategy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6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the Commission announced the co-creation, in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close cooperation with industry, public authorities, social partners and other stakeholders, of a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transition  pathway  for  tourism  ecosystem.  The  Commission  services  have  prepared  a  Staff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Working Document to outline possible scenarios for a transition pathway for a more resilient,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sustainable and  innovative  tourism  ecosystem.  The document  was  published  and  a  targeted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consultation with stakeholders was launched on 21 June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 The Commission is also working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with Member States to set out a European Tourism Agenda.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(22) update the EU funding support guide and to include therein a link to a national contact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point  that  facilitates  access  to  information  for  micro  enterprises  and  SMEs,  by  means  of  a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one-stop shop or online tool with the assistance and guidance of the Member States, whenever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needed; raise awareness of this guide among companies and SMEs in the tourism sector;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29"/>
      </w:pPr>
      <w:r>
        <w:rPr>
          <w:rFonts w:cs="Times New Roman" w:hAnsi="Times New Roman" w:eastAsia="Times New Roman" w:ascii="Times New Roman"/>
          <w:sz w:val="24"/>
          <w:szCs w:val="24"/>
        </w:rPr>
        <w:t>(See paragraph 11)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In order to facilitate the access to EU funding for tourism, the online “Guide on EU funding</w:t>
      </w:r>
      <w:r>
        <w:rPr>
          <w:rFonts w:cs="Times New Roman" w:hAnsi="Times New Roman" w:eastAsia="Times New Roman" w:ascii="Times New Roman"/>
          <w:sz w:val="24"/>
          <w:szCs w:val="24"/>
        </w:rPr>
        <w:t> for tourism” has been launched </w:t>
      </w:r>
      <w:r>
        <w:rPr>
          <w:rFonts w:cs="Times New Roman" w:hAnsi="Times New Roman" w:eastAsia="Times New Roman" w:ascii="Times New Roman"/>
          <w:sz w:val="24"/>
          <w:szCs w:val="24"/>
        </w:rPr>
        <w:t>in May. This online guide highlights the wide range of EU</w:t>
      </w:r>
      <w:r>
        <w:rPr>
          <w:rFonts w:cs="Times New Roman" w:hAnsi="Times New Roman" w:eastAsia="Times New Roman" w:ascii="Times New Roman"/>
          <w:sz w:val="24"/>
          <w:szCs w:val="24"/>
        </w:rPr>
        <w:t> funding  included  in  the  new  budget,  Multiannual  Financial  Framework  2021-2027  and</w:t>
      </w:r>
      <w:r>
        <w:rPr>
          <w:rFonts w:cs="Times New Roman" w:hAnsi="Times New Roman" w:eastAsia="Times New Roman" w:ascii="Times New Roman"/>
          <w:sz w:val="24"/>
          <w:szCs w:val="24"/>
        </w:rPr>
        <w:t> NextGenerationEU, moving towards a more sustainable, inclusive and digital EU. The guide</w:t>
      </w:r>
      <w:r>
        <w:rPr>
          <w:rFonts w:cs="Times New Roman" w:hAnsi="Times New Roman" w:eastAsia="Times New Roman" w:ascii="Times New Roman"/>
          <w:sz w:val="24"/>
          <w:szCs w:val="24"/>
        </w:rPr>
        <w:t> will  help  tourism  enterprises  to  find  the  appropriate  funding  according  to  their  needs.  It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contains hyperlinks to the relevant EU funds’ websites and to call for proposals, as well as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concrete project examples funded by previous EU programming period, for inspiration.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(23)  set  up  a  European  Agency  for  Tourism  in  the  next  MFF  and  to  devise  a  short-term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solution  by  creating  a  tourism  department  in  one  of  the  existing  executive  agencies,  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particular  the  Executive  Agency  for  SMEs  (EASME)  or  the  upcoming  Health  and  Digital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Executive Agency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The   Multiannual   Financial   Framework   (MFF)   for   2021-2027   has   been   adopted   last</w:t>
      </w:r>
      <w:r>
        <w:rPr>
          <w:rFonts w:cs="Times New Roman" w:hAnsi="Times New Roman" w:eastAsia="Times New Roman" w:ascii="Times New Roman"/>
          <w:sz w:val="24"/>
          <w:szCs w:val="24"/>
        </w:rPr>
        <w:t> December.  It  is  therefore  too  early  to  discuss  what  should  be  included  in  the  next  MFF.</w:t>
      </w:r>
      <w:r>
        <w:rPr>
          <w:rFonts w:cs="Times New Roman" w:hAnsi="Times New Roman" w:eastAsia="Times New Roman" w:ascii="Times New Roman"/>
          <w:sz w:val="24"/>
          <w:szCs w:val="24"/>
        </w:rPr>
        <w:t> However the Commission is fully committed to support the Tourism ecosystem in the short,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medium and long term.  Already last  year  in the  Communication “Tourism and transport 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2020  and  beyond”,  the  Commission  announced  its  intention  to  work  together  with  EU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institutions, the industry, regions and cities and stakeholders towards a sustainable, innovative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and  resilient  European  tourism  ecosystem  (‘European  Agenda  for  Tourism  2050’).  In  the</w:t>
      </w:r>
      <w:r>
        <w:rPr>
          <w:rFonts w:cs="Times New Roman" w:hAnsi="Times New Roman" w:eastAsia="Times New Roman" w:ascii="Times New Roman"/>
          <w:sz w:val="24"/>
          <w:szCs w:val="24"/>
        </w:rPr>
        <w:t> recently adopted Communication “Updating the 2020 New Industrial Strategy” indicating that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it  will  co-create,  in  partnership  with  industry,  public  authorities,  social  partners  and  other</w:t>
      </w:r>
      <w:r>
        <w:rPr>
          <w:rFonts w:cs="Times New Roman" w:hAnsi="Times New Roman" w:eastAsia="Times New Roman" w:ascii="Times New Roman"/>
          <w:sz w:val="24"/>
          <w:szCs w:val="24"/>
        </w:rPr>
        <w:t> stakeholders, a transition pathways for the tourism ecosystem.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Currently,  EISMEA  (European  Innovation  Council  and  SME  Executive  Agency)  (former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7"/>
      </w:pPr>
      <w:r>
        <w:pict>
          <v:group style="position:absolute;margin-left:70.824pt;margin-top:32.3831pt;width:144.02pt;height:0pt;mso-position-horizontal-relative:page;mso-position-vertical-relative:paragraph;z-index:-457" coordorigin="1416,648" coordsize="2880,0">
            <v:shape style="position:absolute;left:1416;top:648;width:2880;height:0" coordorigin="1416,648" coordsize="2880,0" path="m1416,648l4297,64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EASME - Executive Agency for Small and Medium-sized Enterprises) implements a number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9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ites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les/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icatio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ial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ate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ate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Document: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csro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/4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7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Survey: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11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</w:hyperlink>
      <w:hyperlink r:id="rId12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</w:hyperlink>
      <w:hyperlink r:id="rId13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ec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eu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a.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eu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/e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v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/r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er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/T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is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an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tio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ath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of projects supporting tourism SMEs under former COSME programme (the EU programme</w:t>
      </w:r>
      <w:r>
        <w:rPr>
          <w:rFonts w:cs="Times New Roman" w:hAnsi="Times New Roman" w:eastAsia="Times New Roman" w:ascii="Times New Roman"/>
          <w:sz w:val="24"/>
          <w:szCs w:val="24"/>
        </w:rPr>
        <w:t> for  the  Competitiveness  of  Enterprises  and  Small  and  Medium-sized  Enterprises)  and  will</w:t>
      </w:r>
      <w:r>
        <w:rPr>
          <w:rFonts w:cs="Times New Roman" w:hAnsi="Times New Roman" w:eastAsia="Times New Roman" w:ascii="Times New Roman"/>
          <w:sz w:val="24"/>
          <w:szCs w:val="24"/>
        </w:rPr>
        <w:t> continue under the Single Market programmes, in particular focusing in their green and digital</w:t>
      </w:r>
      <w:r>
        <w:rPr>
          <w:rFonts w:cs="Times New Roman" w:hAnsi="Times New Roman" w:eastAsia="Times New Roman" w:ascii="Times New Roman"/>
          <w:sz w:val="24"/>
          <w:szCs w:val="24"/>
        </w:rPr>
        <w:t> transition as well as long-term resilience.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Furthermore, the Commission recalls that a large part of the EU budgetary support to tourism</w:t>
      </w:r>
      <w:r>
        <w:rPr>
          <w:rFonts w:cs="Times New Roman" w:hAnsi="Times New Roman" w:eastAsia="Times New Roman" w:ascii="Times New Roman"/>
          <w:sz w:val="24"/>
          <w:szCs w:val="24"/>
        </w:rPr>
        <w:t> is taking place through the national plans financed from the Structural and Investment Funds</w:t>
      </w:r>
      <w:r>
        <w:rPr>
          <w:rFonts w:cs="Times New Roman" w:hAnsi="Times New Roman" w:eastAsia="Times New Roman" w:ascii="Times New Roman"/>
          <w:sz w:val="24"/>
          <w:szCs w:val="24"/>
        </w:rPr>
        <w:t> (2014-2020)  and  the  Cohesion  policy  Funds  (2021-2027).  Those  Funds  are  under  shared</w:t>
      </w:r>
      <w:r>
        <w:rPr>
          <w:rFonts w:cs="Times New Roman" w:hAnsi="Times New Roman" w:eastAsia="Times New Roman" w:ascii="Times New Roman"/>
          <w:sz w:val="24"/>
          <w:szCs w:val="24"/>
        </w:rPr>
        <w:t> management  and  therefore  not  managed  by  the  executive  agency.  Among  the  spending</w:t>
      </w:r>
      <w:r>
        <w:rPr>
          <w:rFonts w:cs="Times New Roman" w:hAnsi="Times New Roman" w:eastAsia="Times New Roman" w:ascii="Times New Roman"/>
          <w:sz w:val="24"/>
          <w:szCs w:val="24"/>
        </w:rPr>
        <w:t> programmes in direct management, we have no spending programme focused on tourism and</w:t>
      </w:r>
      <w:r>
        <w:rPr>
          <w:rFonts w:cs="Times New Roman" w:hAnsi="Times New Roman" w:eastAsia="Times New Roman" w:ascii="Times New Roman"/>
          <w:sz w:val="24"/>
          <w:szCs w:val="24"/>
        </w:rPr>
        <w:t> therefore there is no sufficient budget to manage to justify the creation of an executive agency</w:t>
      </w:r>
      <w:r>
        <w:rPr>
          <w:rFonts w:cs="Times New Roman" w:hAnsi="Times New Roman" w:eastAsia="Times New Roman" w:ascii="Times New Roman"/>
          <w:sz w:val="24"/>
          <w:szCs w:val="24"/>
        </w:rPr>
        <w:t> devoted to tourism.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rPr>
          <w:rFonts w:cs="Times New Roman" w:hAnsi="Times New Roman" w:eastAsia="Times New Roman" w:ascii="Times New Roman"/>
          <w:sz w:val="24"/>
          <w:szCs w:val="24"/>
        </w:rPr>
        <w:t>Under  sub-heading  </w:t>
      </w:r>
      <w:r>
        <w:rPr>
          <w:rFonts w:cs="Times New Roman" w:hAnsi="Times New Roman" w:eastAsia="Times New Roman" w:ascii="Times New Roman"/>
          <w:b/>
          <w:i/>
          <w:sz w:val="24"/>
          <w:szCs w:val="24"/>
        </w:rPr>
        <w:t>Strengthen:  transition  to  sustainable,  responsible  and  smart  tourism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6" w:right="7188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(paragraphs 24-54)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(25) swiftly develop a roadmap for sustainable tourism that includes innovative measures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reduce the climate and environmental footprint of the sector by developing more sustainable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forms  of  tourism,  diversifying  the  offer,  boosting  new  initiatives  for  cooperation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developing new digital services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See  paragraph  20:  the  Commission  is  working  closely  with  the  Member  States  to  advance</w:t>
      </w:r>
      <w:r>
        <w:rPr>
          <w:rFonts w:cs="Times New Roman" w:hAnsi="Times New Roman" w:eastAsia="Times New Roman" w:ascii="Times New Roman"/>
          <w:sz w:val="24"/>
          <w:szCs w:val="24"/>
        </w:rPr>
        <w:t> towards  the  European  Tourism  Agenda.  In  this  spirit,  the  Council Conclusions  on  Tourism</w:t>
      </w:r>
      <w:r>
        <w:rPr>
          <w:rFonts w:cs="Times New Roman" w:hAnsi="Times New Roman" w:eastAsia="Times New Roman" w:ascii="Times New Roman"/>
          <w:sz w:val="24"/>
          <w:szCs w:val="24"/>
        </w:rPr>
        <w:t> were adopted by the Council on 27 May. As announced in the EU Industrial Strategy update,</w:t>
      </w:r>
      <w:r>
        <w:rPr>
          <w:rFonts w:cs="Times New Roman" w:hAnsi="Times New Roman" w:eastAsia="Times New Roman" w:ascii="Times New Roman"/>
          <w:sz w:val="24"/>
          <w:szCs w:val="24"/>
        </w:rPr>
        <w:t> the process to co-create a transition pathway for the tourism ecosystem was launched on 21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June and will be finalised in collaboration with industry, public authorities, social partners and</w:t>
      </w:r>
      <w:r>
        <w:rPr>
          <w:rFonts w:cs="Times New Roman" w:hAnsi="Times New Roman" w:eastAsia="Times New Roman" w:ascii="Times New Roman"/>
          <w:sz w:val="24"/>
          <w:szCs w:val="24"/>
        </w:rPr>
        <w:t> other stakeholders.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(28) bring the European Tourism Indicators System (ETIS) into operation, to equip it with a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permanent  governance  structure  and  to  introduce  it  in  tourism  destinations,  with  static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indicators  and  real-time  data  for  their  management  and  evaluation,  in  partnership  with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regions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z w:val="24"/>
          <w:szCs w:val="24"/>
        </w:rPr>
        <w:t>The  Commission  has  launched  work  with  the  Joint  Research  Centre  on  the  Tourism</w:t>
      </w:r>
      <w:r>
        <w:rPr>
          <w:rFonts w:cs="Times New Roman" w:hAnsi="Times New Roman" w:eastAsia="Times New Roman" w:ascii="Times New Roman"/>
          <w:sz w:val="24"/>
          <w:szCs w:val="24"/>
        </w:rPr>
        <w:t> development  dashboard,  as  an  integrative  tool  with  four  main  pillars,  of  which  one  is</w:t>
      </w:r>
      <w:r>
        <w:rPr>
          <w:rFonts w:cs="Times New Roman" w:hAnsi="Times New Roman" w:eastAsia="Times New Roman" w:ascii="Times New Roman"/>
          <w:sz w:val="24"/>
          <w:szCs w:val="24"/>
        </w:rPr>
        <w:t> dedicated  to  sustainability.  This  sustainability  pillar  will  be  populated  with  comparable</w:t>
      </w:r>
      <w:r>
        <w:rPr>
          <w:rFonts w:cs="Times New Roman" w:hAnsi="Times New Roman" w:eastAsia="Times New Roman" w:ascii="Times New Roman"/>
          <w:sz w:val="24"/>
          <w:szCs w:val="24"/>
        </w:rPr>
        <w:t> benchmarks,  both  static  and  dynamic.  These  benchmarks  at  sustainability  key performance</w:t>
      </w:r>
      <w:r>
        <w:rPr>
          <w:rFonts w:cs="Times New Roman" w:hAnsi="Times New Roman" w:eastAsia="Times New Roman" w:ascii="Times New Roman"/>
          <w:sz w:val="24"/>
          <w:szCs w:val="24"/>
        </w:rPr>
        <w:t> indicators  (KPIs)  formed  based  on  the  lessons  learnt  from  ETIS  together  with  the  new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possibilities  from  big  data.  The  objective  is  to  provide  dynamic  data  solution  for  today’s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needs to support the development of tourism towards green, digital and socio-economically</w:t>
      </w:r>
      <w:r>
        <w:rPr>
          <w:rFonts w:cs="Times New Roman" w:hAnsi="Times New Roman" w:eastAsia="Times New Roman" w:ascii="Times New Roman"/>
          <w:sz w:val="24"/>
          <w:szCs w:val="24"/>
        </w:rPr>
        <w:t> resilient goals.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(29) examine the barriers to obtaining the Ecolabel and to expand its scope to other tourism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services, as a complement to the EU Eco-Management and Audit Scheme (EMAS) for tourism,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and to establish mechanisms to support those certification schemes and to promote tourism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operators that have obtained those schemes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rPr>
          <w:rFonts w:cs="Times New Roman" w:hAnsi="Times New Roman" w:eastAsia="Times New Roman" w:ascii="Times New Roman"/>
          <w:sz w:val="24"/>
          <w:szCs w:val="24"/>
        </w:rPr>
        <w:t>The  Commission  is  preparing  a  communication  campaign  on  EU  Ecolabel  for  Tourist</w:t>
      </w:r>
      <w:r>
        <w:rPr>
          <w:rFonts w:cs="Times New Roman" w:hAnsi="Times New Roman" w:eastAsia="Times New Roman" w:ascii="Times New Roman"/>
          <w:sz w:val="24"/>
          <w:szCs w:val="24"/>
        </w:rPr>
        <w:t> Accommodation and is already working with several tourism associations, tourism operators</w:t>
      </w:r>
      <w:r>
        <w:rPr>
          <w:rFonts w:cs="Times New Roman" w:hAnsi="Times New Roman" w:eastAsia="Times New Roman" w:ascii="Times New Roman"/>
          <w:sz w:val="24"/>
          <w:szCs w:val="24"/>
        </w:rPr>
        <w:t> and  on-line  platforms  to  increase  uptake,  awareness  and  visibility  of  the  EU  Ecolabel  for</w:t>
      </w:r>
      <w:r>
        <w:rPr>
          <w:rFonts w:cs="Times New Roman" w:hAnsi="Times New Roman" w:eastAsia="Times New Roman" w:ascii="Times New Roman"/>
          <w:sz w:val="24"/>
          <w:szCs w:val="24"/>
        </w:rPr>
        <w:t> tourist accommodations, as the barriers to increase uptake have been identified as the lack of</w:t>
      </w:r>
      <w:r>
        <w:rPr>
          <w:rFonts w:cs="Times New Roman" w:hAnsi="Times New Roman" w:eastAsia="Times New Roman" w:ascii="Times New Roman"/>
          <w:sz w:val="24"/>
          <w:szCs w:val="24"/>
        </w:rPr>
        <w:t> return on the investment to get the label.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"/>
      </w:pPr>
      <w:r>
        <w:rPr>
          <w:rFonts w:cs="Times New Roman" w:hAnsi="Times New Roman" w:eastAsia="Times New Roman" w:ascii="Times New Roman"/>
          <w:sz w:val="24"/>
          <w:szCs w:val="24"/>
        </w:rPr>
        <w:t>An  EU  Workshop  on  EU  Ecolabel  for  Tourism  Accommodations  was  organised  on  21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36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January. A dedicated working group is being established within the EU Ecolabelling Board.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The   Commission   is   working   with   its   services   to    promote   EU   Ecolabel   Tourist</w:t>
      </w:r>
      <w:r>
        <w:rPr>
          <w:rFonts w:cs="Times New Roman" w:hAnsi="Times New Roman" w:eastAsia="Times New Roman" w:ascii="Times New Roman"/>
          <w:sz w:val="24"/>
          <w:szCs w:val="24"/>
        </w:rPr>
        <w:t> Accommodations to staff travelling on mission and to participants of meetings in Brussels, at</w:t>
      </w:r>
      <w:r>
        <w:rPr>
          <w:rFonts w:cs="Times New Roman" w:hAnsi="Times New Roman" w:eastAsia="Times New Roman" w:ascii="Times New Roman"/>
          <w:sz w:val="24"/>
          <w:szCs w:val="24"/>
        </w:rPr>
        <w:t> the same time working with relevant associations in Belgium to improve the offer.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The possibility to expand the scope of the current criteria will be assessed during the revision</w:t>
      </w:r>
      <w:r>
        <w:rPr>
          <w:rFonts w:cs="Times New Roman" w:hAnsi="Times New Roman" w:eastAsia="Times New Roman" w:ascii="Times New Roman"/>
          <w:sz w:val="24"/>
          <w:szCs w:val="24"/>
        </w:rPr>
        <w:t> of the criteria that is expected to start end 2022/ beginning of 2023.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(31)  setting  up  the  Tourism  Sustainability  Group  and  calls  on  the  Tourism  Sustainability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Group  to  resume  its  work  and  to  revise  the  2012  European  Charter  for  Sustainable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Responsible  Tourism  as  a  means  to  encourage  participation  and  the  adoption  of  good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practices at national, regional and local levels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29"/>
      </w:pPr>
      <w:r>
        <w:rPr>
          <w:rFonts w:cs="Times New Roman" w:hAnsi="Times New Roman" w:eastAsia="Times New Roman" w:ascii="Times New Roman"/>
          <w:sz w:val="24"/>
          <w:szCs w:val="24"/>
        </w:rPr>
        <w:t>(See paragraph 20)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(33)  asks  Eurostat  to  establish  a  frame  of  reference  for  the  collection  of  data  relating 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sustainability,  overtourism,  undertourism  and  criteria  on  working  conditions  and  calls  for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Regulation (EU) No 692/2011  to be updated;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z w:val="24"/>
          <w:szCs w:val="24"/>
        </w:rPr>
        <w:t>At the end of 2020, Eurostat started </w:t>
      </w:r>
      <w:r>
        <w:rPr>
          <w:rFonts w:cs="Times New Roman" w:hAnsi="Times New Roman" w:eastAsia="Times New Roman" w:ascii="Times New Roman"/>
          <w:sz w:val="24"/>
          <w:szCs w:val="24"/>
        </w:rPr>
        <w:t>– in close cooperation with the Member States’ statis</w:t>
      </w:r>
      <w:r>
        <w:rPr>
          <w:rFonts w:cs="Times New Roman" w:hAnsi="Times New Roman" w:eastAsia="Times New Roman" w:ascii="Times New Roman"/>
          <w:sz w:val="24"/>
          <w:szCs w:val="24"/>
        </w:rPr>
        <w:t>tical</w:t>
      </w:r>
      <w:r>
        <w:rPr>
          <w:rFonts w:cs="Times New Roman" w:hAnsi="Times New Roman" w:eastAsia="Times New Roman" w:ascii="Times New Roman"/>
          <w:sz w:val="24"/>
          <w:szCs w:val="24"/>
        </w:rPr>
        <w:t> authorities </w:t>
      </w:r>
      <w:r>
        <w:rPr>
          <w:rFonts w:cs="Times New Roman" w:hAnsi="Times New Roman" w:eastAsia="Times New Roman" w:ascii="Times New Roman"/>
          <w:sz w:val="24"/>
          <w:szCs w:val="24"/>
        </w:rPr>
        <w:t>– </w:t>
      </w:r>
      <w:r>
        <w:rPr>
          <w:rFonts w:cs="Times New Roman" w:hAnsi="Times New Roman" w:eastAsia="Times New Roman" w:ascii="Times New Roman"/>
          <w:sz w:val="24"/>
          <w:szCs w:val="24"/>
        </w:rPr>
        <w:t>a process to assess the relevance of the current legal framework for European</w:t>
      </w:r>
      <w:r>
        <w:rPr>
          <w:rFonts w:cs="Times New Roman" w:hAnsi="Times New Roman" w:eastAsia="Times New Roman" w:ascii="Times New Roman"/>
          <w:sz w:val="24"/>
          <w:szCs w:val="24"/>
        </w:rPr>
        <w:t> statistics  on  tourism,  with  a  view  to  updating  and  modernising  it.  This  process  may  also</w:t>
      </w:r>
      <w:r>
        <w:rPr>
          <w:rFonts w:cs="Times New Roman" w:hAnsi="Times New Roman" w:eastAsia="Times New Roman" w:ascii="Times New Roman"/>
          <w:sz w:val="24"/>
          <w:szCs w:val="24"/>
        </w:rPr>
        <w:t> address   aspects   related   to   measuring   the   sustainability   of   tourism.   Eurostat   actively</w:t>
      </w:r>
      <w:r>
        <w:rPr>
          <w:rFonts w:cs="Times New Roman" w:hAnsi="Times New Roman" w:eastAsia="Times New Roman" w:ascii="Times New Roman"/>
          <w:sz w:val="24"/>
          <w:szCs w:val="24"/>
        </w:rPr>
        <w:t> participates in the UN World Tourism Organisation working group of experts to establish a</w:t>
      </w:r>
      <w:r>
        <w:rPr>
          <w:rFonts w:cs="Times New Roman" w:hAnsi="Times New Roman" w:eastAsia="Times New Roman" w:ascii="Times New Roman"/>
          <w:sz w:val="24"/>
          <w:szCs w:val="24"/>
        </w:rPr>
        <w:t> statistical framework for measuring the sustainability of tourism (SF-MST). This is work-in-</w:t>
      </w:r>
      <w:r>
        <w:rPr>
          <w:rFonts w:cs="Times New Roman" w:hAnsi="Times New Roman" w:eastAsia="Times New Roman" w:ascii="Times New Roman"/>
          <w:sz w:val="24"/>
          <w:szCs w:val="24"/>
        </w:rPr>
        <w:t> progress.  Furthermore,  Eurostat  ensures  consistency  of  MST  with  the  statistical  standard</w:t>
      </w:r>
      <w:r>
        <w:rPr>
          <w:rFonts w:cs="Times New Roman" w:hAnsi="Times New Roman" w:eastAsia="Times New Roman" w:ascii="Times New Roman"/>
          <w:sz w:val="24"/>
          <w:szCs w:val="24"/>
        </w:rPr>
        <w:t> System of Environmental-Economic Accounting (SEEA), which the  EU  and the rest of  the</w:t>
      </w:r>
      <w:r>
        <w:rPr>
          <w:rFonts w:cs="Times New Roman" w:hAnsi="Times New Roman" w:eastAsia="Times New Roman" w:ascii="Times New Roman"/>
          <w:sz w:val="24"/>
          <w:szCs w:val="24"/>
        </w:rPr>
        <w:t> world use to produce statistical accounts for water, air and energy.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(34) incorporate tourism in the governance framework for common data spaces and to better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regulate the activity of online booking platforms and online travel intermediaries, enabling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tourism businesses to fully commit to innovation and digitalisation, as the latter are crucial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for modernising the entire sector and for developing new services and a broader, high-quality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offer; promote data pooling for tourism and regional incubators and accelerators for tourism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enterprises, harnessing research and innovation to help the many SMEs in the sector collect,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process  and  utilise  the  data  they  produce  and  enable  them  to  fully  benefit  from  the  data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economy and implement sustainable solutions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Digitalisation and data-driven technologies are reshaping the way we produce, consume and</w:t>
      </w:r>
      <w:r>
        <w:rPr>
          <w:rFonts w:cs="Times New Roman" w:hAnsi="Times New Roman" w:eastAsia="Times New Roman" w:ascii="Times New Roman"/>
          <w:sz w:val="24"/>
          <w:szCs w:val="24"/>
        </w:rPr>
        <w:t> live,  and  the  benefits  also  concern  the  tourism  sector,  as  the  latest  technologies  offer  more</w:t>
      </w:r>
      <w:r>
        <w:rPr>
          <w:rFonts w:cs="Times New Roman" w:hAnsi="Times New Roman" w:eastAsia="Times New Roman" w:ascii="Times New Roman"/>
          <w:sz w:val="24"/>
          <w:szCs w:val="24"/>
        </w:rPr>
        <w:t> efficient and inclusive models. Adopted in February 2020, the Data Strategy plans the rollout</w:t>
      </w:r>
      <w:r>
        <w:rPr>
          <w:rFonts w:cs="Times New Roman" w:hAnsi="Times New Roman" w:eastAsia="Times New Roman" w:ascii="Times New Roman"/>
          <w:sz w:val="24"/>
          <w:szCs w:val="24"/>
        </w:rPr>
        <w:t> of  the  common  European  data  spaces  in  strategic  sectors  and  areas  of  public  interest,</w:t>
      </w:r>
      <w:r>
        <w:rPr>
          <w:rFonts w:cs="Times New Roman" w:hAnsi="Times New Roman" w:eastAsia="Times New Roman" w:ascii="Times New Roman"/>
          <w:sz w:val="24"/>
          <w:szCs w:val="24"/>
        </w:rPr>
        <w:t> combining data governance and investments in data infrastructures. These investments would</w:t>
      </w:r>
      <w:r>
        <w:rPr>
          <w:rFonts w:cs="Times New Roman" w:hAnsi="Times New Roman" w:eastAsia="Times New Roman" w:ascii="Times New Roman"/>
          <w:sz w:val="24"/>
          <w:szCs w:val="24"/>
        </w:rPr>
        <w:t> cover  the  necessary  data  infrastructures,  data-sharing  tools,  architectures  and  governance</w:t>
      </w:r>
      <w:r>
        <w:rPr>
          <w:rFonts w:cs="Times New Roman" w:hAnsi="Times New Roman" w:eastAsia="Times New Roman" w:ascii="Times New Roman"/>
          <w:sz w:val="24"/>
          <w:szCs w:val="24"/>
        </w:rPr>
        <w:t> mechanisms   for   thriving   data   sharing.   Once   adopted   by   the   co-legislators,   the   Data</w:t>
      </w:r>
      <w:r>
        <w:rPr>
          <w:rFonts w:cs="Times New Roman" w:hAnsi="Times New Roman" w:eastAsia="Times New Roman" w:ascii="Times New Roman"/>
          <w:sz w:val="24"/>
          <w:szCs w:val="24"/>
        </w:rPr>
        <w:t> Governance  Act  will  offer  to  tourism  and  all  other  related  sectors  a  framework  that  will</w:t>
      </w:r>
      <w:r>
        <w:rPr>
          <w:rFonts w:cs="Times New Roman" w:hAnsi="Times New Roman" w:eastAsia="Times New Roman" w:ascii="Times New Roman"/>
          <w:sz w:val="24"/>
          <w:szCs w:val="24"/>
        </w:rPr>
        <w:t> unlock the value of data voluntarily made available by data holders for reuse. The availability</w:t>
      </w:r>
      <w:r>
        <w:rPr>
          <w:rFonts w:cs="Times New Roman" w:hAnsi="Times New Roman" w:eastAsia="Times New Roman" w:ascii="Times New Roman"/>
          <w:sz w:val="24"/>
          <w:szCs w:val="24"/>
        </w:rPr>
        <w:t> of data for use will be fostered by increasing trust in data intermediaries and by strengthening</w:t>
      </w:r>
      <w:r>
        <w:rPr>
          <w:rFonts w:cs="Times New Roman" w:hAnsi="Times New Roman" w:eastAsia="Times New Roman" w:ascii="Times New Roman"/>
          <w:sz w:val="24"/>
          <w:szCs w:val="24"/>
        </w:rPr>
        <w:t> data sharing mechanisms in the EU.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Finally,  to  the  extent  that  the  online  booking  platforms  and  online  travel  intermediaries</w:t>
      </w:r>
      <w:r>
        <w:rPr>
          <w:rFonts w:cs="Times New Roman" w:hAnsi="Times New Roman" w:eastAsia="Times New Roman" w:ascii="Times New Roman"/>
          <w:sz w:val="24"/>
          <w:szCs w:val="24"/>
        </w:rPr>
        <w:t> constitute  intermediary  services  or  gatekeepers  within  the  meaning  of  the  proposals  for  a</w:t>
      </w:r>
      <w:r>
        <w:rPr>
          <w:rFonts w:cs="Times New Roman" w:hAnsi="Times New Roman" w:eastAsia="Times New Roman" w:ascii="Times New Roman"/>
          <w:sz w:val="24"/>
          <w:szCs w:val="24"/>
        </w:rPr>
        <w:t> Digital Services Act or a Digital Markets Act respectively, once adopted by the co-legislators</w:t>
      </w:r>
      <w:r>
        <w:rPr>
          <w:rFonts w:cs="Times New Roman" w:hAnsi="Times New Roman" w:eastAsia="Times New Roman" w:ascii="Times New Roman"/>
          <w:sz w:val="24"/>
          <w:szCs w:val="24"/>
        </w:rPr>
        <w:t> these instruments  will contribute  to  ensuring a  level  playing field,  fostering innovation  and</w:t>
      </w:r>
      <w:r>
        <w:rPr>
          <w:rFonts w:cs="Times New Roman" w:hAnsi="Times New Roman" w:eastAsia="Times New Roman" w:ascii="Times New Roman"/>
          <w:sz w:val="24"/>
          <w:szCs w:val="24"/>
        </w:rPr>
        <w:t> competitiveness   of   the   sector   while   imposing   proportionate   obligations   for   the   better</w:t>
      </w:r>
      <w:r>
        <w:rPr>
          <w:rFonts w:cs="Times New Roman" w:hAnsi="Times New Roman" w:eastAsia="Times New Roman" w:ascii="Times New Roman"/>
          <w:sz w:val="24"/>
          <w:szCs w:val="24"/>
        </w:rPr>
        <w:t> protection of users.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(37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)  respect  the  right  of  local  authorities  to  regulate  against  the  harmful  impacts  of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overtourism;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The Commission is fully aware of concerns over the effects of “overtourism” and issues with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affordability of housing on local communities, in particular in touristic cities, and the need for</w:t>
      </w:r>
      <w:r>
        <w:rPr>
          <w:rFonts w:cs="Times New Roman" w:hAnsi="Times New Roman" w:eastAsia="Times New Roman" w:ascii="Times New Roman"/>
          <w:sz w:val="24"/>
          <w:szCs w:val="24"/>
        </w:rPr>
        <w:t> local authorities to address those concerns. As announced in the SME Strategy (COM(2020)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103   final),   the   Commission   will   explore   a   possible   initiative   focusing   on   short-term</w:t>
      </w:r>
      <w:r>
        <w:rPr>
          <w:rFonts w:cs="Times New Roman" w:hAnsi="Times New Roman" w:eastAsia="Times New Roman" w:ascii="Times New Roman"/>
          <w:sz w:val="24"/>
          <w:szCs w:val="24"/>
        </w:rPr>
        <w:t> accommodation  rental  services  (the  largest  collaborative  economy  sector)  to  promote  the</w:t>
      </w:r>
      <w:r>
        <w:rPr>
          <w:rFonts w:cs="Times New Roman" w:hAnsi="Times New Roman" w:eastAsia="Times New Roman" w:ascii="Times New Roman"/>
          <w:sz w:val="24"/>
          <w:szCs w:val="24"/>
        </w:rPr>
        <w:t> balanced and responsible development of the collaborative economy, in full respect of public</w:t>
      </w:r>
      <w:r>
        <w:rPr>
          <w:rFonts w:cs="Times New Roman" w:hAnsi="Times New Roman" w:eastAsia="Times New Roman" w:ascii="Times New Roman"/>
          <w:sz w:val="24"/>
          <w:szCs w:val="24"/>
        </w:rPr>
        <w:t> interest   objectives,   such   as   ensuring  the   availability  of   housing  and   protecting  urban</w:t>
      </w:r>
      <w:r>
        <w:rPr>
          <w:rFonts w:cs="Times New Roman" w:hAnsi="Times New Roman" w:eastAsia="Times New Roman" w:ascii="Times New Roman"/>
          <w:sz w:val="24"/>
          <w:szCs w:val="24"/>
        </w:rPr>
        <w:t> environments. The nature and form of any initiative will depend on the outcome of ongoing</w:t>
      </w:r>
      <w:r>
        <w:rPr>
          <w:rFonts w:cs="Times New Roman" w:hAnsi="Times New Roman" w:eastAsia="Times New Roman" w:ascii="Times New Roman"/>
          <w:sz w:val="24"/>
          <w:szCs w:val="24"/>
        </w:rPr>
        <w:t> preparatory work, which will determine whether and how these issues should be addressed at</w:t>
      </w:r>
      <w:r>
        <w:rPr>
          <w:rFonts w:cs="Times New Roman" w:hAnsi="Times New Roman" w:eastAsia="Times New Roman" w:ascii="Times New Roman"/>
          <w:sz w:val="24"/>
          <w:szCs w:val="24"/>
        </w:rPr>
        <w:t> European level.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191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(40) improve the European railway network (link to Eurpean Year of Rail</w:t>
      </w:r>
      <w:r>
        <w:rPr>
          <w:rFonts w:cs="Times New Roman" w:hAnsi="Times New Roman" w:eastAsia="Times New Roman" w:ascii="Times New Roman"/>
          <w:sz w:val="24"/>
          <w:szCs w:val="24"/>
        </w:rPr>
        <w:t>);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The  Commission  fully  shares  the  view  that  the  European  Year  of  Rail  is  an  excellent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opportunity  to  create  public  awareness  of  rail’s  potential  role  in  the  development  of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sustainable  tourism  in  Europe.  This  is  a  specific  objective  of  the  Year,  included  under</w:t>
      </w:r>
      <w:r>
        <w:rPr>
          <w:rFonts w:cs="Times New Roman" w:hAnsi="Times New Roman" w:eastAsia="Times New Roman" w:ascii="Times New Roman"/>
          <w:sz w:val="24"/>
          <w:szCs w:val="24"/>
        </w:rPr>
        <w:t> Article 2 (i) of Decision (EU) 2020/2228 on a European Year of Rail (2021). Sustainable rail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tourism is covered in the Year’s programme of events and activities. Key examples include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the  Best  European  Rail  Tourism  Campaign  2021  (co-organised  by  the  European  Travel</w:t>
      </w:r>
      <w:r>
        <w:rPr>
          <w:rFonts w:cs="Times New Roman" w:hAnsi="Times New Roman" w:eastAsia="Times New Roman" w:ascii="Times New Roman"/>
          <w:sz w:val="24"/>
          <w:szCs w:val="24"/>
        </w:rPr>
        <w:t> Commission an</w:t>
      </w:r>
      <w:r>
        <w:rPr>
          <w:rFonts w:cs="Times New Roman" w:hAnsi="Times New Roman" w:eastAsia="Times New Roman" w:ascii="Times New Roman"/>
          <w:sz w:val="24"/>
          <w:szCs w:val="24"/>
        </w:rPr>
        <w:t>d EURAIL), UIC’s “My Secret Rail Spots” photo competition and the Special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European Greenways Award (organised by the European Greenways Association).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Together  with  the  activities  of  the  Year,  the  Commission  is  already  working  on  several</w:t>
      </w:r>
      <w:r>
        <w:rPr>
          <w:rFonts w:cs="Times New Roman" w:hAnsi="Times New Roman" w:eastAsia="Times New Roman" w:ascii="Times New Roman"/>
          <w:sz w:val="24"/>
          <w:szCs w:val="24"/>
        </w:rPr>
        <w:t> initiatives (legislative and non-legislative) to boost European rail transport, as identified in the</w:t>
      </w:r>
      <w:r>
        <w:rPr>
          <w:rFonts w:cs="Times New Roman" w:hAnsi="Times New Roman" w:eastAsia="Times New Roman" w:ascii="Times New Roman"/>
          <w:sz w:val="24"/>
          <w:szCs w:val="24"/>
        </w:rPr>
        <w:t> Action Plan of the Sustainable and Smart Mobility Strategy. The Year is a unique occasion to</w:t>
      </w:r>
      <w:r>
        <w:rPr>
          <w:rFonts w:cs="Times New Roman" w:hAnsi="Times New Roman" w:eastAsia="Times New Roman" w:ascii="Times New Roman"/>
          <w:sz w:val="24"/>
          <w:szCs w:val="24"/>
        </w:rPr>
        <w:t> gather  the  input  of  stakeholders  and  citizens  in  this  exercise  and  build  political  and  social</w:t>
      </w:r>
      <w:r>
        <w:rPr>
          <w:rFonts w:cs="Times New Roman" w:hAnsi="Times New Roman" w:eastAsia="Times New Roman" w:ascii="Times New Roman"/>
          <w:sz w:val="24"/>
          <w:szCs w:val="24"/>
        </w:rPr>
        <w:t> momentum behind these initiatives.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Finally, the Commission thanks the European Parliament for its support to the DiscoverEU</w:t>
      </w:r>
      <w:r>
        <w:rPr>
          <w:rFonts w:cs="Times New Roman" w:hAnsi="Times New Roman" w:eastAsia="Times New Roman" w:ascii="Times New Roman"/>
          <w:sz w:val="24"/>
          <w:szCs w:val="24"/>
        </w:rPr>
        <w:t> initiative, which will officially join the Erasmus+ programme as of this year. The 2021 edition</w:t>
      </w:r>
      <w:r>
        <w:rPr>
          <w:rFonts w:cs="Times New Roman" w:hAnsi="Times New Roman" w:eastAsia="Times New Roman" w:ascii="Times New Roman"/>
          <w:sz w:val="24"/>
          <w:szCs w:val="24"/>
        </w:rPr>
        <w:t> will be linked to the European Year of Rail and will aim at inspiring a change in the attitude</w:t>
      </w:r>
      <w:r>
        <w:rPr>
          <w:rFonts w:cs="Times New Roman" w:hAnsi="Times New Roman" w:eastAsia="Times New Roman" w:ascii="Times New Roman"/>
          <w:sz w:val="24"/>
          <w:szCs w:val="24"/>
        </w:rPr>
        <w:t> of 18 years old about rail travelling. The Commission is planning several actions in relation to</w:t>
      </w:r>
      <w:r>
        <w:rPr>
          <w:rFonts w:cs="Times New Roman" w:hAnsi="Times New Roman" w:eastAsia="Times New Roman" w:ascii="Times New Roman"/>
          <w:sz w:val="24"/>
          <w:szCs w:val="24"/>
        </w:rPr>
        <w:t> the European Year of Rail, such as virtual activities organised by e-influencers to stress the</w:t>
      </w:r>
      <w:r>
        <w:rPr>
          <w:rFonts w:cs="Times New Roman" w:hAnsi="Times New Roman" w:eastAsia="Times New Roman" w:ascii="Times New Roman"/>
          <w:sz w:val="24"/>
          <w:szCs w:val="24"/>
        </w:rPr>
        <w:t> benefits of rail travel for  young people, or meet-ups in locations relevant for the Year. The</w:t>
      </w:r>
      <w:r>
        <w:rPr>
          <w:rFonts w:cs="Times New Roman" w:hAnsi="Times New Roman" w:eastAsia="Times New Roman" w:ascii="Times New Roman"/>
          <w:sz w:val="24"/>
          <w:szCs w:val="24"/>
        </w:rPr>
        <w:t> photo/ video competition on the European Youth Portal will also focus on the European Year</w:t>
      </w:r>
      <w:r>
        <w:rPr>
          <w:rFonts w:cs="Times New Roman" w:hAnsi="Times New Roman" w:eastAsia="Times New Roman" w:ascii="Times New Roman"/>
          <w:sz w:val="24"/>
          <w:szCs w:val="24"/>
        </w:rPr>
        <w:t> of Rail as a theme and DiscoverEU will also partner with the Europalia arts festival.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(44)  explore  possible  synergies  with  EuroVelo  and  its  17  corridors,  notably  by  increasing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financial support, in order to promote cycling tourism in Europe; encourage the reconversion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of disused railway lines, including by supporting bike-train projects, and to actively support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bike-train intermodality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The Commission welcomes the intention of many Member States to include in their national</w:t>
      </w:r>
      <w:r>
        <w:rPr>
          <w:rFonts w:cs="Times New Roman" w:hAnsi="Times New Roman" w:eastAsia="Times New Roman" w:ascii="Times New Roman"/>
          <w:sz w:val="24"/>
          <w:szCs w:val="24"/>
        </w:rPr>
        <w:t> Recovery  and  Resilience  Plans  investments  and  reforms  in  favour  of  the  development  of</w:t>
      </w:r>
      <w:r>
        <w:rPr>
          <w:rFonts w:cs="Times New Roman" w:hAnsi="Times New Roman" w:eastAsia="Times New Roman" w:ascii="Times New Roman"/>
          <w:sz w:val="24"/>
          <w:szCs w:val="24"/>
        </w:rPr>
        <w:t> cycling infrastructure, including long-distance ones, and the promotion of active mobility and</w:t>
      </w:r>
      <w:r>
        <w:rPr>
          <w:rFonts w:cs="Times New Roman" w:hAnsi="Times New Roman" w:eastAsia="Times New Roman" w:ascii="Times New Roman"/>
          <w:sz w:val="24"/>
          <w:szCs w:val="24"/>
        </w:rPr>
        <w:t> sustainable  modes  of  transport  in  general.  The  Recovery  and  Resilience  Facility  supports</w:t>
      </w:r>
      <w:r>
        <w:rPr>
          <w:rFonts w:cs="Times New Roman" w:hAnsi="Times New Roman" w:eastAsia="Times New Roman" w:ascii="Times New Roman"/>
          <w:sz w:val="24"/>
          <w:szCs w:val="24"/>
        </w:rPr>
        <w:t> green  and  digital  transition  and  can  finance  measures  to  support  sustainable  transport</w:t>
      </w:r>
      <w:r>
        <w:rPr>
          <w:rFonts w:cs="Times New Roman" w:hAnsi="Times New Roman" w:eastAsia="Times New Roman" w:ascii="Times New Roman"/>
          <w:sz w:val="24"/>
          <w:szCs w:val="24"/>
        </w:rPr>
        <w:t> solutions, also actions supporting modernization and sustainability of the tourism sector.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(45) propose a new European inclusive tourism scheme following the model of the Calypso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initiative,  enabling  vulnerable  social  groups  to  use  national  tourist  vouchers  in  associated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establishments in other Member States which also offer a social tourism programme to their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citizens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z w:val="24"/>
          <w:szCs w:val="24"/>
        </w:rPr>
        <w:t>The  Strategy  for  the  Rights  of  Persons  with  Disabilities  2021-2030  indicates  that  the</w:t>
      </w:r>
      <w:r>
        <w:rPr>
          <w:rFonts w:cs="Times New Roman" w:hAnsi="Times New Roman" w:eastAsia="Times New Roman" w:ascii="Times New Roman"/>
          <w:sz w:val="24"/>
          <w:szCs w:val="24"/>
        </w:rPr>
        <w:t> Commission will launch a European resource centre AccessibleEU to increase coherence in</w:t>
      </w:r>
      <w:r>
        <w:rPr>
          <w:rFonts w:cs="Times New Roman" w:hAnsi="Times New Roman" w:eastAsia="Times New Roman" w:ascii="Times New Roman"/>
          <w:sz w:val="24"/>
          <w:szCs w:val="24"/>
        </w:rPr>
        <w:t> accessibility  policies  and  facilitate  access  to  relevant  knowledge.  Among  the  work  of  the</w:t>
      </w:r>
      <w:r>
        <w:rPr>
          <w:rFonts w:cs="Times New Roman" w:hAnsi="Times New Roman" w:eastAsia="Times New Roman" w:ascii="Times New Roman"/>
          <w:sz w:val="24"/>
          <w:szCs w:val="24"/>
        </w:rPr>
        <w:t> resource centre is to develop tools and standards aiming to facilitate implementation of EU</w:t>
      </w:r>
      <w:r>
        <w:rPr>
          <w:rFonts w:cs="Times New Roman" w:hAnsi="Times New Roman" w:eastAsia="Times New Roman" w:ascii="Times New Roman"/>
          <w:sz w:val="24"/>
          <w:szCs w:val="24"/>
        </w:rPr>
        <w:t> law.  Furthermore,  EU-level  action  will  also  include  further  work  on  standardisation  and</w:t>
      </w:r>
      <w:r>
        <w:rPr>
          <w:rFonts w:cs="Times New Roman" w:hAnsi="Times New Roman" w:eastAsia="Times New Roman" w:ascii="Times New Roman"/>
          <w:sz w:val="24"/>
          <w:szCs w:val="24"/>
        </w:rPr>
        <w:t> technical specifications. In addition, the Access City Award has stimulated a coherent, cross-</w:t>
      </w:r>
      <w:r>
        <w:rPr>
          <w:rFonts w:cs="Times New Roman" w:hAnsi="Times New Roman" w:eastAsia="Times New Roman" w:ascii="Times New Roman"/>
          <w:sz w:val="24"/>
          <w:szCs w:val="24"/>
        </w:rPr>
        <w:t> sectoral approach going beyond the minimum standards set by law.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(46)  present  the  results  of  the  Smart  Tourism  Destinations  pilot  project  and  outline  how  it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intends  to  implement  the  scheme,  linking  innovation  with  the  protection  of  UNESCO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nature sites and traditional local specialities and centres of culture;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The Smart Tourism Destination Pilot project has kicked off in April 2021, and will finalise its</w:t>
      </w:r>
      <w:r>
        <w:rPr>
          <w:rFonts w:cs="Times New Roman" w:hAnsi="Times New Roman" w:eastAsia="Times New Roman" w:ascii="Times New Roman"/>
          <w:sz w:val="24"/>
          <w:szCs w:val="24"/>
        </w:rPr>
        <w:t> deliverables in 2023. The project will be instrumental in providing policy makers at all levels</w:t>
      </w:r>
      <w:r>
        <w:rPr>
          <w:rFonts w:cs="Times New Roman" w:hAnsi="Times New Roman" w:eastAsia="Times New Roman" w:ascii="Times New Roman"/>
          <w:sz w:val="24"/>
          <w:szCs w:val="24"/>
        </w:rPr>
        <w:t> with the understanding of the needs, trends, opportunities and challenges tourist destinations</w:t>
      </w:r>
      <w:r>
        <w:rPr>
          <w:rFonts w:cs="Times New Roman" w:hAnsi="Times New Roman" w:eastAsia="Times New Roman" w:ascii="Times New Roman"/>
          <w:sz w:val="24"/>
          <w:szCs w:val="24"/>
        </w:rPr>
        <w:t> need  to  manage  and  strategize  data.  This  will  be  achieved  with  a  study,  ready by the  first</w:t>
      </w:r>
      <w:r>
        <w:rPr>
          <w:rFonts w:cs="Times New Roman" w:hAnsi="Times New Roman" w:eastAsia="Times New Roman" w:ascii="Times New Roman"/>
          <w:sz w:val="24"/>
          <w:szCs w:val="24"/>
        </w:rPr>
        <w:t> quarter of 2022, as well as through concrete tools for cities to target their specific needs: an</w:t>
      </w:r>
      <w:r>
        <w:rPr>
          <w:rFonts w:cs="Times New Roman" w:hAnsi="Times New Roman" w:eastAsia="Times New Roman" w:ascii="Times New Roman"/>
          <w:sz w:val="24"/>
          <w:szCs w:val="24"/>
        </w:rPr>
        <w:t> EU  Guide  for  data  on  tourism  destinations,  a  Toolkit,  and  a  set  of  Recommendations  for</w:t>
      </w:r>
      <w:r>
        <w:rPr>
          <w:rFonts w:cs="Times New Roman" w:hAnsi="Times New Roman" w:eastAsia="Times New Roman" w:ascii="Times New Roman"/>
          <w:sz w:val="24"/>
          <w:szCs w:val="24"/>
        </w:rPr>
        <w:t> policy action. These findings will be publicly available as soon as ready. In addition, the pilot</w:t>
      </w:r>
      <w:r>
        <w:rPr>
          <w:rFonts w:cs="Times New Roman" w:hAnsi="Times New Roman" w:eastAsia="Times New Roman" w:ascii="Times New Roman"/>
          <w:sz w:val="24"/>
          <w:szCs w:val="24"/>
        </w:rPr>
        <w:t> project  will  set  up  a  community of  practice  among interested  destinations,  to  foster  mutual</w:t>
      </w:r>
      <w:r>
        <w:rPr>
          <w:rFonts w:cs="Times New Roman" w:hAnsi="Times New Roman" w:eastAsia="Times New Roman" w:ascii="Times New Roman"/>
          <w:sz w:val="24"/>
          <w:szCs w:val="24"/>
        </w:rPr>
        <w:t> understanding, networking, and exchange of ideas and good practices.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(47)  make  the  European  Capital  of  Smart  Tourism  a  permanent  project  with  broader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fairer criteria, thereby benefiting the local economy and local supply chains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The  third  edition  of  the  European  Capital  of  Smart  Tourism,  looking  for  the  2022  most</w:t>
      </w:r>
      <w:r>
        <w:rPr>
          <w:rFonts w:cs="Times New Roman" w:hAnsi="Times New Roman" w:eastAsia="Times New Roman" w:ascii="Times New Roman"/>
          <w:sz w:val="24"/>
          <w:szCs w:val="24"/>
        </w:rPr>
        <w:t> outstanding performer under all four of the categories considered (accessibility, sustainability,</w:t>
      </w:r>
      <w:r>
        <w:rPr>
          <w:rFonts w:cs="Times New Roman" w:hAnsi="Times New Roman" w:eastAsia="Times New Roman" w:ascii="Times New Roman"/>
          <w:sz w:val="24"/>
          <w:szCs w:val="24"/>
        </w:rPr>
        <w:t> digitalisation, cultural heritage and creativity), has been launched on April 22, and it was open</w:t>
      </w:r>
      <w:r>
        <w:rPr>
          <w:rFonts w:cs="Times New Roman" w:hAnsi="Times New Roman" w:eastAsia="Times New Roman" w:ascii="Times New Roman"/>
          <w:sz w:val="24"/>
          <w:szCs w:val="24"/>
        </w:rPr>
        <w:t> to cities with a population of more than 100000 inhabitants in Member States and in the third</w:t>
      </w:r>
      <w:r>
        <w:rPr>
          <w:rFonts w:cs="Times New Roman" w:hAnsi="Times New Roman" w:eastAsia="Times New Roman" w:ascii="Times New Roman"/>
          <w:sz w:val="24"/>
          <w:szCs w:val="24"/>
        </w:rPr>
        <w:t> countries participating in the COSME programme.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(49)  present  the  results  on  the  14  actions  which  make  up  the  Strategy  for  Coastal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Maritime  Tourism,  which  can  be  used  to  channel  financing  to  infrastructure  (ports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marinas),  logistical  and  operational  support,  waste  prevention  and  the  use  of  renewable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energy; take measures to support the cruise industry, which continues to be severely damaged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by the COVID-19 pandemic, and to facilitate its operational restart, while respecting social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and environmental standards; develop initiatives for nautical and coastal tourism with regard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 the recognition of skipper qualifications, VAT rules on boats, marinas and anchorages,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tackle seasonality and promote cross-border routes, such as a network of routes for nautical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tourism, and to make public the state of play of the pilot project: charter of good practices for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sustainable cruise tourism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The Commission is currently implementing a Preparatory Action to prepare a Charter of good</w:t>
      </w:r>
      <w:r>
        <w:rPr>
          <w:rFonts w:cs="Times New Roman" w:hAnsi="Times New Roman" w:eastAsia="Times New Roman" w:ascii="Times New Roman"/>
          <w:sz w:val="24"/>
          <w:szCs w:val="24"/>
        </w:rPr>
        <w:t> practices for sustainable cruise tourism, which will help the sector to recover and restart in a</w:t>
      </w:r>
      <w:r>
        <w:rPr>
          <w:rFonts w:cs="Times New Roman" w:hAnsi="Times New Roman" w:eastAsia="Times New Roman" w:ascii="Times New Roman"/>
          <w:sz w:val="24"/>
          <w:szCs w:val="24"/>
        </w:rPr>
        <w:t> sustainable  way.  The  draft  charter  will  be  discussed  and  possibly  endorsed  in  a  dialogue</w:t>
      </w:r>
      <w:r>
        <w:rPr>
          <w:rFonts w:cs="Times New Roman" w:hAnsi="Times New Roman" w:eastAsia="Times New Roman" w:ascii="Times New Roman"/>
          <w:sz w:val="24"/>
          <w:szCs w:val="24"/>
        </w:rPr>
        <w:t> between regional and local authorities, ports, the industry, stakeholders and civil society on</w:t>
      </w:r>
      <w:r>
        <w:rPr>
          <w:rFonts w:cs="Times New Roman" w:hAnsi="Times New Roman" w:eastAsia="Times New Roman" w:ascii="Times New Roman"/>
          <w:sz w:val="24"/>
          <w:szCs w:val="24"/>
        </w:rPr>
        <w:t> the occasion of the second Pan-European Cruise dialogue in March 2022.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The  Commission  recognises  that  cruise  industry  has  always  been  on  the  forefront  of</w:t>
      </w:r>
      <w:r>
        <w:rPr>
          <w:rFonts w:cs="Times New Roman" w:hAnsi="Times New Roman" w:eastAsia="Times New Roman" w:ascii="Times New Roman"/>
          <w:sz w:val="24"/>
          <w:szCs w:val="24"/>
        </w:rPr>
        <w:t> introducing new more environmentally friendly technologies into shipping. In this context, 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EU's   Smart   and   Sustainable   Mobility   Strategy   foresees   the   creation   of   an   enabling</w:t>
      </w:r>
      <w:r>
        <w:rPr>
          <w:rFonts w:cs="Times New Roman" w:hAnsi="Times New Roman" w:eastAsia="Times New Roman" w:ascii="Times New Roman"/>
          <w:sz w:val="24"/>
          <w:szCs w:val="24"/>
        </w:rPr>
        <w:t> environment  to  improve  the  energy  efficiency  and  reduce  emissions  of  all  vessels,  in</w:t>
      </w:r>
      <w:r>
        <w:rPr>
          <w:rFonts w:cs="Times New Roman" w:hAnsi="Times New Roman" w:eastAsia="Times New Roman" w:ascii="Times New Roman"/>
          <w:sz w:val="24"/>
          <w:szCs w:val="24"/>
        </w:rPr>
        <w:t> particular  through  the  partnerships  that  could  be  put  in  place  under  Horizon  Europe  (such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z w:val="24"/>
          <w:szCs w:val="24"/>
        </w:rPr>
        <w:t>‘Zero  Emission  Waterborne  Transport’  and  ‘Clean  Hydrogen’).  The  FuelEU  Maritime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initiative will also boost the production and uptake of sustainable maritime fuels and help the</w:t>
      </w:r>
      <w:r>
        <w:rPr>
          <w:rFonts w:cs="Times New Roman" w:hAnsi="Times New Roman" w:eastAsia="Times New Roman" w:ascii="Times New Roman"/>
          <w:sz w:val="24"/>
          <w:szCs w:val="24"/>
        </w:rPr>
        <w:t> industry to address the challenge of de-carbonisation.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3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(51)  include  local  actors  that  work  in  rural  and  coastal  areas  in  income  diversification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initiatives through the creation of tourism products, services or experiences, in the design of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new initiatives and the search for synergies between existing ones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7"/>
        <w:ind w:left="116" w:right="71"/>
      </w:pPr>
      <w:r>
        <w:rPr>
          <w:rFonts w:cs="Times New Roman" w:hAnsi="Times New Roman" w:eastAsia="Times New Roman" w:ascii="Times New Roman"/>
          <w:sz w:val="24"/>
          <w:szCs w:val="24"/>
        </w:rPr>
        <w:t>Commission  agrees  with  the  call  to  include  local  actors  that  work  in  rural  areas  in  income</w:t>
      </w:r>
      <w:r>
        <w:rPr>
          <w:rFonts w:cs="Times New Roman" w:hAnsi="Times New Roman" w:eastAsia="Times New Roman" w:ascii="Times New Roman"/>
          <w:sz w:val="24"/>
          <w:szCs w:val="24"/>
        </w:rPr>
        <w:t> diversification, but also including profit and non-profit actors including the social economy</w:t>
      </w:r>
      <w:r>
        <w:rPr>
          <w:rFonts w:cs="Times New Roman" w:hAnsi="Times New Roman" w:eastAsia="Times New Roman" w:ascii="Times New Roman"/>
          <w:sz w:val="24"/>
          <w:szCs w:val="24"/>
        </w:rPr>
        <w:t> sector.  Rural  development  Local  Action  Groups  (LAGs)  deliver  rural  diversification.  Local</w:t>
      </w:r>
      <w:r>
        <w:rPr>
          <w:rFonts w:cs="Times New Roman" w:hAnsi="Times New Roman" w:eastAsia="Times New Roman" w:ascii="Times New Roman"/>
          <w:sz w:val="24"/>
          <w:szCs w:val="24"/>
        </w:rPr>
        <w:t> actors working in coastal areas are included in diversification through Community-led local</w:t>
      </w:r>
      <w:r>
        <w:rPr>
          <w:rFonts w:cs="Times New Roman" w:hAnsi="Times New Roman" w:eastAsia="Times New Roman" w:ascii="Times New Roman"/>
          <w:sz w:val="24"/>
          <w:szCs w:val="24"/>
        </w:rPr>
        <w:t> development,   implemented   by  the   fisheries   local   action   groups   (FLAGs)   that   aim   at</w:t>
      </w:r>
      <w:r>
        <w:rPr>
          <w:rFonts w:cs="Times New Roman" w:hAnsi="Times New Roman" w:eastAsia="Times New Roman" w:ascii="Times New Roman"/>
          <w:sz w:val="24"/>
          <w:szCs w:val="24"/>
        </w:rPr>
        <w:t> diversification of activities including tourism and gastronomy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rPr>
          <w:rFonts w:cs="Times New Roman" w:hAnsi="Times New Roman" w:eastAsia="Times New Roman" w:ascii="Times New Roman"/>
          <w:sz w:val="24"/>
          <w:szCs w:val="24"/>
        </w:rPr>
        <w:t>Under sub-heading </w:t>
      </w:r>
      <w:r>
        <w:rPr>
          <w:rFonts w:cs="Times New Roman" w:hAnsi="Times New Roman" w:eastAsia="Times New Roman" w:ascii="Times New Roman"/>
          <w:b/>
          <w:i/>
          <w:sz w:val="24"/>
          <w:szCs w:val="24"/>
        </w:rPr>
        <w:t>Rethink: planning the future of the tourism industry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(paragraphs 55-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6" w:right="8834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77)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(56)  present  an  analysis  in  the  first  semester  of  2021  on  the  requests  received  from  each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Member  State  for  State  aid  schemes  for  the  tourism  industry  and  on  EU  financing  used 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tackle the effects of COVID-19, including the applicability of the SURE programme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z w:val="24"/>
          <w:szCs w:val="24"/>
        </w:rPr>
        <w:t>By  23  April  2021,  the  Commission  has  adopted  145  decisions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9 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approving  176  measures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aimed at supporting specifically the tourism, hospitality, transport and related sectors. These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measures were adopted as a response to the COVID-19 outbreak. In particular, 75 decisions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adopted aim at supporting tourism, hospitality and related sectors while 70 decisions aim at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supporting the transport sector (transport in general, airlines, airports, ports). On this basis,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amount  of  around  EUR  70.8  billion  of  State  aid  approved  aim  at  supporting  tourism  and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transport so far (best estimate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). This figure is equivalent to the 2.34% of the total State aid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approved  in  response  to  the  COVID-19  outbreak.  Approximately  EUR  30  billion  of 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budget specifically allocated to the tourism and transport sectors have been approved as  </w:t>
      </w:r>
      <w:r>
        <w:rPr>
          <w:rFonts w:cs="Times New Roman" w:hAnsi="Times New Roman" w:eastAsia="Times New Roman" w:ascii="Times New Roman"/>
          <w:i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position w:val="0"/>
          <w:sz w:val="24"/>
          <w:szCs w:val="24"/>
        </w:rPr>
        <w:t> hoc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measures.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pict>
          <v:group style="position:absolute;margin-left:70.824pt;margin-top:116.293pt;width:144.02pt;height:0pt;mso-position-horizontal-relative:page;mso-position-vertical-relative:paragraph;z-index:-456" coordorigin="1416,2326" coordsize="2880,0">
            <v:shape style="position:absolute;left:1416;top:2326;width:2880;height:0" coordorigin="1416,2326" coordsize="2880,0" path="m1416,2326l4297,2326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Aside  from  schemes  specifically  targeting  the  tourism  industry,  by  23  April  2021,  the</w:t>
      </w:r>
      <w:r>
        <w:rPr>
          <w:rFonts w:cs="Times New Roman" w:hAnsi="Times New Roman" w:eastAsia="Times New Roman" w:ascii="Times New Roman"/>
          <w:sz w:val="24"/>
          <w:szCs w:val="24"/>
        </w:rPr>
        <w:t> Commission  has  also  adopted  192  decisions  approving  253  national  measures  open  to  all</w:t>
      </w:r>
      <w:r>
        <w:rPr>
          <w:rFonts w:cs="Times New Roman" w:hAnsi="Times New Roman" w:eastAsia="Times New Roman" w:ascii="Times New Roman"/>
          <w:sz w:val="24"/>
          <w:szCs w:val="24"/>
        </w:rPr>
        <w:t> sectors,  from  which  tourism  operators  can  also  benefit.  On  this  basis,  the  amount  of</w:t>
      </w:r>
      <w:r>
        <w:rPr>
          <w:rFonts w:cs="Times New Roman" w:hAnsi="Times New Roman" w:eastAsia="Times New Roman" w:ascii="Times New Roman"/>
          <w:sz w:val="24"/>
          <w:szCs w:val="24"/>
        </w:rPr>
        <w:t> approximately  EUR  2.85  trillion  of  total  state  aid  has  been  approved  so  far  for  measures</w:t>
      </w:r>
      <w:r>
        <w:rPr>
          <w:rFonts w:cs="Times New Roman" w:hAnsi="Times New Roman" w:eastAsia="Times New Roman" w:ascii="Times New Roman"/>
          <w:sz w:val="24"/>
          <w:szCs w:val="24"/>
        </w:rPr>
        <w:t> without  specific  sectorial  scope.  The  total  budget  allocated  in  response  to  the  Covid-19</w:t>
      </w:r>
      <w:r>
        <w:rPr>
          <w:rFonts w:cs="Times New Roman" w:hAnsi="Times New Roman" w:eastAsia="Times New Roman" w:ascii="Times New Roman"/>
          <w:sz w:val="24"/>
          <w:szCs w:val="24"/>
        </w:rPr>
        <w:t> outbreak  allocated  through  general  measures  is  94.05%.  Member  States  that  have  put  such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before="33" w:lineRule="auto" w:line="242"/>
        <w:ind w:left="474" w:right="79" w:hanging="358"/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8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ab/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Multiple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examples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actio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along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EU’s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coasts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found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thematic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search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Good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Practices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website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FARNET: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14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eb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ate.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et2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en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w w:val="99"/>
          <w:position w:val="0"/>
          <w:sz w:val="20"/>
          <w:szCs w:val="20"/>
        </w:rPr>
        <w:t>Here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00000"/>
          <w:w w:val="99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00000"/>
          <w:w w:val="99"/>
          <w:position w:val="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00000"/>
          <w:w w:val="99"/>
          <w:position w:val="0"/>
          <w:sz w:val="20"/>
          <w:szCs w:val="20"/>
        </w:rPr>
        <w:t>example: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15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eb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ate.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et2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ce/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  <w:t> </w:t>
      </w:r>
      <w:hyperlink r:id="rId16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alin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alico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ab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alt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es_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6"/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9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decisions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published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website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Directorate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Competition: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74"/>
      </w:pP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17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/ec.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/co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etit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/elo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e/is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ef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/i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ex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cf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?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ea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ctio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=d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esu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lt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&amp;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lic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ea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id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=3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before="3" w:lineRule="exact" w:line="220"/>
        <w:ind w:left="474" w:right="91" w:hanging="35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10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ab/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some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measures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adopted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Temporary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Framework,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necessary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indicate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budget,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is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why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figures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included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best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estimates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budgets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approved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decisions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 w:right="8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figures,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e.g.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mentioned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communications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national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authorities,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official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information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communicated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national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authorities.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Moreover,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some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measures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address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multiple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sectors.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thus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possible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disentangle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exact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amount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involved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sectors.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4"/>
      </w:pPr>
      <w:r>
        <w:rPr>
          <w:rFonts w:cs="Times New Roman" w:hAnsi="Times New Roman" w:eastAsia="Times New Roman" w:ascii="Times New Roman"/>
          <w:sz w:val="24"/>
          <w:szCs w:val="24"/>
        </w:rPr>
        <w:t>umbrella schemes into effect are: Germany, Denmark, Spain, France, Hungary, Ireland, Italy</w:t>
      </w:r>
      <w:r>
        <w:rPr>
          <w:rFonts w:cs="Times New Roman" w:hAnsi="Times New Roman" w:eastAsia="Times New Roman" w:ascii="Times New Roman"/>
          <w:sz w:val="24"/>
          <w:szCs w:val="24"/>
        </w:rPr>
        <w:t> and Slovenia.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0"/>
      </w:pPr>
      <w:r>
        <w:rPr>
          <w:rFonts w:cs="Times New Roman" w:hAnsi="Times New Roman" w:eastAsia="Times New Roman" w:ascii="Times New Roman"/>
          <w:sz w:val="24"/>
          <w:szCs w:val="24"/>
        </w:rPr>
        <w:t>The  Member  States  have  transparency  obligations  by  which,  within  12  months  from  the</w:t>
      </w:r>
      <w:r>
        <w:rPr>
          <w:rFonts w:cs="Times New Roman" w:hAnsi="Times New Roman" w:eastAsia="Times New Roman" w:ascii="Times New Roman"/>
          <w:sz w:val="24"/>
          <w:szCs w:val="24"/>
        </w:rPr>
        <w:t> moment of granting, their national authorities publish on the comprehensive national State aid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website  or  Commission’s  IT  tool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11  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relevant  information  on  each  individual  aid  above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EUR100 000 granted under each measure.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(56)  consolidate  and  extend  SURE  until  the  end  of  2022  in  view  of  the  socioeconomic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difficulties the Member States are facing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z w:val="24"/>
          <w:szCs w:val="24"/>
        </w:rPr>
        <w:t>SURE is a crucial element of the EU’s comprehensive strategy to protect citizens and mi</w:t>
      </w:r>
      <w:r>
        <w:rPr>
          <w:rFonts w:cs="Times New Roman" w:hAnsi="Times New Roman" w:eastAsia="Times New Roman" w:ascii="Times New Roman"/>
          <w:sz w:val="24"/>
          <w:szCs w:val="24"/>
        </w:rPr>
        <w:t>tigate</w:t>
      </w:r>
      <w:r>
        <w:rPr>
          <w:rFonts w:cs="Times New Roman" w:hAnsi="Times New Roman" w:eastAsia="Times New Roman" w:ascii="Times New Roman"/>
          <w:sz w:val="24"/>
          <w:szCs w:val="24"/>
        </w:rPr>
        <w:t> the  severely  negative  socio-economic  consequences  of  the  COVID-19  pandemic.  Under</w:t>
      </w:r>
      <w:r>
        <w:rPr>
          <w:rFonts w:cs="Times New Roman" w:hAnsi="Times New Roman" w:eastAsia="Times New Roman" w:ascii="Times New Roman"/>
          <w:sz w:val="24"/>
          <w:szCs w:val="24"/>
        </w:rPr>
        <w:t> Council  Regulation  (EU)  2020/672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the  Commission  needs  to  forward  to  the  European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Parliament,  the  Council,  the  Economic  and  Financial  Committee  and  the  Employment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Committee a report on the use of financial assistance, including outstanding amounts and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applicable  repayment  schedule  under  the  SURE  Instrument,  and  on  the  continuation  of 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exceptional  occurrences  that  justify the  application  of  this  regulation.  The  first  such  report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was  published  on  22  March  2021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  The  report  showed  that  SURE  has  contributed  to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mitigating the impact of the pandemic on unemployment, which has risen by significantly less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than  during the  global  financial  crisis.  The  future  review  reports  on  SURE  implementation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will follow every six months for as long as SURE remains available and will provide further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opportunities to take stock of the experience with SURE. SURE is available until the end of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December 2022. During this period, financial assistance can be made available by means of a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Council  implementing  decision  adopted  on  the  basis  of  a  proposal  from  the  Commission.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Under  SURE,  there  is  still  over  EUR  5  billion  available  to  help  Member  States  to  support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workers regardless of the sector of the economic activity, thus also in the tourism sector.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(57) address the situation of workers in the tourism sector affected by the COVID-19 crisis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and to consider the possibility of establishing a European framework, within the action plan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for  the 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European  Pillar of  Social  Rights,  across  the  industry’s  entire  value  chain,  in  close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cooperation  with  social  partners  and  businesses,  through  a  constructive  dialogue  on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working  conditions  in  the  sector,  which  is  characterised  by  seasonality  and  part-time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atypical forms of employment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z w:val="24"/>
          <w:szCs w:val="24"/>
        </w:rPr>
        <w:t>The  situation  of  seasonal  workers  was  addressed  in  the  Commission  Communication  on</w:t>
      </w:r>
      <w:r>
        <w:rPr>
          <w:rFonts w:cs="Times New Roman" w:hAnsi="Times New Roman" w:eastAsia="Times New Roman" w:ascii="Times New Roman"/>
          <w:sz w:val="24"/>
          <w:szCs w:val="24"/>
        </w:rPr>
        <w:t> seasonal workers in the EU in the context of the COVID-19 outbreak, published on 16 July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2020. This document provides guidance to national authorities, labour inspectorates and social</w:t>
      </w:r>
      <w:r>
        <w:rPr>
          <w:rFonts w:cs="Times New Roman" w:hAnsi="Times New Roman" w:eastAsia="Times New Roman" w:ascii="Times New Roman"/>
          <w:sz w:val="24"/>
          <w:szCs w:val="24"/>
        </w:rPr>
        <w:t> partners  to  guarantee  the  rights,  health  and  safety  of  seasonal  workers,  and  to  ensure  that</w:t>
      </w:r>
      <w:r>
        <w:rPr>
          <w:rFonts w:cs="Times New Roman" w:hAnsi="Times New Roman" w:eastAsia="Times New Roman" w:ascii="Times New Roman"/>
          <w:sz w:val="24"/>
          <w:szCs w:val="24"/>
        </w:rPr>
        <w:t> seasonal workers are aware of their rights.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pict>
          <v:group style="position:absolute;margin-left:70.824pt;margin-top:59.6231pt;width:144.02pt;height:0pt;mso-position-horizontal-relative:page;mso-position-vertical-relative:paragraph;z-index:-455" coordorigin="1416,1192" coordsize="2880,0">
            <v:shape style="position:absolute;left:1416;top:1192;width:2880;height:0" coordorigin="1416,1192" coordsize="2880,0" path="m1416,1192l4297,1192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Social dialogue at EU as well as at national level is important to improve working conditions</w:t>
      </w:r>
      <w:r>
        <w:rPr>
          <w:rFonts w:cs="Times New Roman" w:hAnsi="Times New Roman" w:eastAsia="Times New Roman" w:ascii="Times New Roman"/>
          <w:sz w:val="24"/>
          <w:szCs w:val="24"/>
        </w:rPr>
        <w:t> and  to  accompany  structural  change  and  adapt  the  economy  in  the  post  COVID-19  era.</w:t>
      </w:r>
      <w:r>
        <w:rPr>
          <w:rFonts w:cs="Times New Roman" w:hAnsi="Times New Roman" w:eastAsia="Times New Roman" w:ascii="Times New Roman"/>
          <w:sz w:val="24"/>
          <w:szCs w:val="24"/>
        </w:rPr>
        <w:t> Therefore,  under  its  prerogative  budget  lines  dedicated  to  social  dialogue,  the  Commission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7"/>
        <w:ind w:left="474" w:right="94" w:hanging="358"/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11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obligation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refers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Annex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Commission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Regulation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(EU)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651/2014,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Annex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Commission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Regulation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(EU)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702/2014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Annex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Commission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Regulation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(EU)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1388/2014.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published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website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Directorate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identification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case: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18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://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ec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/co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etitio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lo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jad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e/is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ef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/i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ex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m?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4"/>
      </w:pP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19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ea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ctio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=d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esu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lt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&amp;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lic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ea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id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=3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12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OJ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159,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20.5.2020,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before="3" w:lineRule="exact" w:line="220"/>
        <w:ind w:left="474" w:right="81" w:hanging="35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ab/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Report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European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instrument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temporary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support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mitigate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unemployment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risks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emergency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(SURE)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following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COVID-19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outbreak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pursuant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Article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Council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Regulation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(EU)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2020/672.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SURE: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Taking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Stock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Six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Months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20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/in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tes/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les/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21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ac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f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supports social partners’ capacity building, allowing social </w:t>
      </w:r>
      <w:r>
        <w:rPr>
          <w:rFonts w:cs="Times New Roman" w:hAnsi="Times New Roman" w:eastAsia="Times New Roman" w:ascii="Times New Roman"/>
          <w:sz w:val="24"/>
          <w:szCs w:val="24"/>
        </w:rPr>
        <w:t>partners to develop the necessary</w:t>
      </w:r>
      <w:r>
        <w:rPr>
          <w:rFonts w:cs="Times New Roman" w:hAnsi="Times New Roman" w:eastAsia="Times New Roman" w:ascii="Times New Roman"/>
          <w:sz w:val="24"/>
          <w:szCs w:val="24"/>
        </w:rPr>
        <w:t> knowledge  to  address  and  improve  working  conditions.  The  Commission  supports  sectoral</w:t>
      </w:r>
      <w:r>
        <w:rPr>
          <w:rFonts w:cs="Times New Roman" w:hAnsi="Times New Roman" w:eastAsia="Times New Roman" w:ascii="Times New Roman"/>
          <w:sz w:val="24"/>
          <w:szCs w:val="24"/>
        </w:rPr>
        <w:t> social dialogue by organising the meetings of the 43 Sectoral Social Dialogue Committees at</w:t>
      </w:r>
      <w:r>
        <w:rPr>
          <w:rFonts w:cs="Times New Roman" w:hAnsi="Times New Roman" w:eastAsia="Times New Roman" w:ascii="Times New Roman"/>
          <w:sz w:val="24"/>
          <w:szCs w:val="24"/>
        </w:rPr>
        <w:t> EU  level  including  the  Committee  on  HORECA,  which  deals,  among  others,  with  various</w:t>
      </w:r>
      <w:r>
        <w:rPr>
          <w:rFonts w:cs="Times New Roman" w:hAnsi="Times New Roman" w:eastAsia="Times New Roman" w:ascii="Times New Roman"/>
          <w:sz w:val="24"/>
          <w:szCs w:val="24"/>
        </w:rPr>
        <w:t> issues  related  to  tourism.  In  addition,  the  Commission  organizes  dedicated  hearings  with</w:t>
      </w:r>
      <w:r>
        <w:rPr>
          <w:rFonts w:cs="Times New Roman" w:hAnsi="Times New Roman" w:eastAsia="Times New Roman" w:ascii="Times New Roman"/>
          <w:sz w:val="24"/>
          <w:szCs w:val="24"/>
        </w:rPr>
        <w:t> European social partners, where they can give input to EU policies in the realm of social and</w:t>
      </w:r>
      <w:r>
        <w:rPr>
          <w:rFonts w:cs="Times New Roman" w:hAnsi="Times New Roman" w:eastAsia="Times New Roman" w:ascii="Times New Roman"/>
          <w:sz w:val="24"/>
          <w:szCs w:val="24"/>
        </w:rPr>
        <w:t> employment policies and in particular working conditions.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(58) together with the European Investment Bank, establish sufficient dedicated support for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the decarbonisation of the tourism sector, for digitalisation and for innovative projects,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the conditions of access for micro enterprises and SMEs to InvestEU, so that new skills can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be acquired and more quality jobs created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(60)  propose  new  programmes  to  support  innovation  in  the  tourism  sector  through  design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thinking;  support  the  best  practices  currently  employed  by  national,  regional  and  local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authorities,  the  transition  to  seamless  intermodality  in  transport,  and  the  development  of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through-ticketing for rail travel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Support   for   green   and   digital   transformation,   innovation   of   tourism   businesses   and</w:t>
      </w:r>
      <w:r>
        <w:rPr>
          <w:rFonts w:cs="Times New Roman" w:hAnsi="Times New Roman" w:eastAsia="Times New Roman" w:ascii="Times New Roman"/>
          <w:sz w:val="24"/>
          <w:szCs w:val="24"/>
        </w:rPr>
        <w:t> destinations is available under several EU Funds. See point 11 on the guide on EU funding for</w:t>
      </w:r>
      <w:r>
        <w:rPr>
          <w:rFonts w:cs="Times New Roman" w:hAnsi="Times New Roman" w:eastAsia="Times New Roman" w:ascii="Times New Roman"/>
          <w:sz w:val="24"/>
          <w:szCs w:val="24"/>
        </w:rPr>
        <w:t> tourism.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(61) introduce the e-visa, along with the travel visa and other measures that allow visitors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enter the Union lawfully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The  2021  Work  Programme  of  the  European  Commission  foresees  the  presentation  of  a</w:t>
      </w:r>
      <w:r>
        <w:rPr>
          <w:rFonts w:cs="Times New Roman" w:hAnsi="Times New Roman" w:eastAsia="Times New Roman" w:ascii="Times New Roman"/>
          <w:sz w:val="24"/>
          <w:szCs w:val="24"/>
        </w:rPr>
        <w:t> proposal at the end of this year regarding the digitalization of visa procedures. It is expected</w:t>
      </w:r>
      <w:r>
        <w:rPr>
          <w:rFonts w:cs="Times New Roman" w:hAnsi="Times New Roman" w:eastAsia="Times New Roman" w:ascii="Times New Roman"/>
          <w:sz w:val="24"/>
          <w:szCs w:val="24"/>
        </w:rPr>
        <w:t> to significantly help tourism restart and recovery.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(64) submit a proposal on geographical indications for non-agricultural products, not least 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the light of the outcome of the 2014 public consultation, which showed that this recognition,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  the  form  of  the  immediate  identification  of  a  product  with  a  territory,  would  boost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tourism industry;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z w:val="24"/>
          <w:szCs w:val="24"/>
        </w:rPr>
        <w:t>In its November 2020 </w:t>
      </w: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22"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tellec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tual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rope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rt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(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)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Ac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lan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z w:val="24"/>
            <w:szCs w:val="24"/>
          </w:rPr>
          <w:t>the Commission announced that</w:t>
        </w:r>
      </w:hyperlink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it  will  on  the  basis  of  a  thorough  impact  assessment  of  its  potential  costs  and  benefits,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consider   the   feasibility   of   creating   an   efficient   and   transparent   EU   GI   (geographical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indications)  protection  system  for  non-agricultural  products.  On  30  November  2020,  the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Commission published an </w:t>
      </w: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23"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pti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mpa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Asse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sment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prote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leve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non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z w:val="24"/>
          <w:szCs w:val="24"/>
        </w:rPr>
        <w:t> </w:t>
      </w:r>
      <w:hyperlink r:id="rId24"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gric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ult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ura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 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roduc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ts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z w:val="24"/>
            <w:szCs w:val="24"/>
          </w:rPr>
          <w:t>.   The   Commission   services   are   currently   working   on   an   impact</w:t>
        </w:r>
      </w:hyperlink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assessment  on  the  appropriateness  of  proposing  the  establishment  of  an  EU  geographical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indication  protection  system  for  non-agricultural  products.  Within  this  framework,  an  8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months  ‘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study  on  control  and  enforcement  rules  of  geographical  indications  for  non-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agricultural  products’  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has  been  launched  in  January  2021.  Other  aspects  involve  various</w:t>
      </w:r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consultations with stakeholders including an </w:t>
      </w: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25"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ope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publi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onsul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  <w:t>tation</w:t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z w:val="24"/>
            <w:szCs w:val="24"/>
          </w:rPr>
          <w:t>launched in April and</w:t>
        </w:r>
      </w:hyperlink>
      <w:r>
        <w:rPr>
          <w:rFonts w:cs="Times New Roman" w:hAnsi="Times New Roman" w:eastAsia="Times New Roman" w:ascii="Times New Roman"/>
          <w:color w:val="000000"/>
          <w:sz w:val="24"/>
          <w:szCs w:val="24"/>
        </w:rPr>
        <w:t> open until 22 July.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(65)  promote  artistic  and  traditional  craft  professions,  which  exemplify  the  excellence  of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products  made  in  Europe  as  an  expression  of  the  identity  and  traditions  of  European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territories,  including  in  the  context  of  the  tourism  industry,  through  official  recognition  as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part of European cultural heritage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The European Skills Agenda recognises businesses need workers with the skills required to</w:t>
      </w:r>
      <w:r>
        <w:rPr>
          <w:rFonts w:cs="Times New Roman" w:hAnsi="Times New Roman" w:eastAsia="Times New Roman" w:ascii="Times New Roman"/>
          <w:sz w:val="24"/>
          <w:szCs w:val="24"/>
        </w:rPr>
        <w:t> master the green and digital transitions, and people need to be able to get the right education</w:t>
      </w:r>
      <w:r>
        <w:rPr>
          <w:rFonts w:cs="Times New Roman" w:hAnsi="Times New Roman" w:eastAsia="Times New Roman" w:ascii="Times New Roman"/>
          <w:sz w:val="24"/>
          <w:szCs w:val="24"/>
        </w:rPr>
        <w:t> and  training  to  thrive  in  life,  including  the  artistic  and  traditional  craft  professions.  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European  Skills  Agenda  puts  the  industrial  strategy  into  practice  by  pursuing  a  shift  in</w:t>
      </w:r>
      <w:r>
        <w:rPr>
          <w:rFonts w:cs="Times New Roman" w:hAnsi="Times New Roman" w:eastAsia="Times New Roman" w:ascii="Times New Roman"/>
          <w:sz w:val="24"/>
          <w:szCs w:val="24"/>
        </w:rPr>
        <w:t> upskilling (improving existing skills) and reskilling (training in new skills) of the industrial</w:t>
      </w:r>
      <w:r>
        <w:rPr>
          <w:rFonts w:cs="Times New Roman" w:hAnsi="Times New Roman" w:eastAsia="Times New Roman" w:ascii="Times New Roman"/>
          <w:sz w:val="24"/>
          <w:szCs w:val="24"/>
        </w:rPr>
        <w:t> workforce. Part of this is testing the feasibility of a new industry-academia initiative focusing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on  companies’  needs.  This  initiative  aims  to  give  university  students  real</w:t>
      </w:r>
      <w:r>
        <w:rPr>
          <w:rFonts w:cs="Times New Roman" w:hAnsi="Times New Roman" w:eastAsia="Times New Roman" w:ascii="Times New Roman"/>
          <w:sz w:val="24"/>
          <w:szCs w:val="24"/>
        </w:rPr>
        <w:t>-world  business</w:t>
      </w:r>
      <w:r>
        <w:rPr>
          <w:rFonts w:cs="Times New Roman" w:hAnsi="Times New Roman" w:eastAsia="Times New Roman" w:ascii="Times New Roman"/>
          <w:sz w:val="24"/>
          <w:szCs w:val="24"/>
        </w:rPr>
        <w:t> experience  by  asking  multinational  teams  to  solve  specific  challenges  within  a  company's</w:t>
      </w:r>
      <w:r>
        <w:rPr>
          <w:rFonts w:cs="Times New Roman" w:hAnsi="Times New Roman" w:eastAsia="Times New Roman" w:ascii="Times New Roman"/>
          <w:sz w:val="24"/>
          <w:szCs w:val="24"/>
        </w:rPr>
        <w:t> research and development department. First results are expected by mid-2021.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8"/>
      </w:pPr>
      <w:r>
        <w:rPr>
          <w:rFonts w:cs="Times New Roman" w:hAnsi="Times New Roman" w:eastAsia="Times New Roman" w:ascii="Times New Roman"/>
          <w:sz w:val="24"/>
          <w:szCs w:val="24"/>
        </w:rPr>
        <w:t>The  European  Pact  for  Skills  was  launched  by  Commissioners  Schmit  and  Breton  on  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November 2020. It is a shared engagement and approach to mobilise all stakeholders to invest</w:t>
      </w:r>
      <w:r>
        <w:rPr>
          <w:rFonts w:cs="Times New Roman" w:hAnsi="Times New Roman" w:eastAsia="Times New Roman" w:ascii="Times New Roman"/>
          <w:sz w:val="24"/>
          <w:szCs w:val="24"/>
        </w:rPr>
        <w:t> in skills. The Pact aims to build large-scale multi-</w:t>
      </w:r>
      <w:r>
        <w:rPr>
          <w:rFonts w:cs="Times New Roman" w:hAnsi="Times New Roman" w:eastAsia="Times New Roman" w:ascii="Times New Roman"/>
          <w:sz w:val="24"/>
          <w:szCs w:val="24"/>
        </w:rPr>
        <w:t>stakeholder “skills partnerships” addressing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the needs of the 14 industrial ecosystems identified in the EU Industrial Strategy. The Cultural</w:t>
      </w:r>
      <w:r>
        <w:rPr>
          <w:rFonts w:cs="Times New Roman" w:hAnsi="Times New Roman" w:eastAsia="Times New Roman" w:ascii="Times New Roman"/>
          <w:sz w:val="24"/>
          <w:szCs w:val="24"/>
        </w:rPr>
        <w:t> and Creative Industries are one of these ecosystems. To build on this Pact for skills, thematic</w:t>
      </w:r>
      <w:r>
        <w:rPr>
          <w:rFonts w:cs="Times New Roman" w:hAnsi="Times New Roman" w:eastAsia="Times New Roman" w:ascii="Times New Roman"/>
          <w:sz w:val="24"/>
          <w:szCs w:val="24"/>
        </w:rPr>
        <w:t> roundtables took place, including a successful one on the Cultural and Creative Industries.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z w:val="24"/>
          <w:szCs w:val="24"/>
        </w:rPr>
        <w:t>Sustainable cultural tourism has strong ties and  associations with the Cultural and Creative</w:t>
      </w:r>
      <w:r>
        <w:rPr>
          <w:rFonts w:cs="Times New Roman" w:hAnsi="Times New Roman" w:eastAsia="Times New Roman" w:ascii="Times New Roman"/>
          <w:sz w:val="24"/>
          <w:szCs w:val="24"/>
        </w:rPr>
        <w:t> Industries.  There  are  many  EU  funded  projects  examining  the  artistic  and  traditional  craft</w:t>
      </w:r>
      <w:r>
        <w:rPr>
          <w:rFonts w:cs="Times New Roman" w:hAnsi="Times New Roman" w:eastAsia="Times New Roman" w:ascii="Times New Roman"/>
          <w:sz w:val="24"/>
          <w:szCs w:val="24"/>
        </w:rPr>
        <w:t> professions.  An  example  is  INCREAS  (Innovation  and  Creative  Solutions  for  Cultural</w:t>
      </w:r>
      <w:r>
        <w:rPr>
          <w:rFonts w:cs="Times New Roman" w:hAnsi="Times New Roman" w:eastAsia="Times New Roman" w:ascii="Times New Roman"/>
          <w:sz w:val="24"/>
          <w:szCs w:val="24"/>
        </w:rPr>
        <w:t> Heritage),  which  is  co-funded  by  the  Commission  </w:t>
      </w:r>
      <w:r>
        <w:rPr>
          <w:rFonts w:cs="Times New Roman" w:hAnsi="Times New Roman" w:eastAsia="Times New Roman" w:ascii="Times New Roman"/>
          <w:sz w:val="24"/>
          <w:szCs w:val="24"/>
        </w:rPr>
        <w:t>–  </w:t>
      </w:r>
      <w:r>
        <w:rPr>
          <w:rFonts w:cs="Times New Roman" w:hAnsi="Times New Roman" w:eastAsia="Times New Roman" w:ascii="Times New Roman"/>
          <w:sz w:val="24"/>
          <w:szCs w:val="24"/>
        </w:rPr>
        <w:t>Directorate-General  for  Education,</w:t>
      </w:r>
      <w:r>
        <w:rPr>
          <w:rFonts w:cs="Times New Roman" w:hAnsi="Times New Roman" w:eastAsia="Times New Roman" w:ascii="Times New Roman"/>
          <w:sz w:val="24"/>
          <w:szCs w:val="24"/>
        </w:rPr>
        <w:t> Youth,  Sport  and  Culture.  Its  aim  is  to  contribute  to  identify  certain  skills  needs  for  built</w:t>
      </w:r>
      <w:r>
        <w:rPr>
          <w:rFonts w:cs="Times New Roman" w:hAnsi="Times New Roman" w:eastAsia="Times New Roman" w:ascii="Times New Roman"/>
          <w:sz w:val="24"/>
          <w:szCs w:val="24"/>
        </w:rPr>
        <w:t> Cultural Heritage, to map innovative projects within the Cultural Heritage Sector and to create</w:t>
      </w:r>
      <w:r>
        <w:rPr>
          <w:rFonts w:cs="Times New Roman" w:hAnsi="Times New Roman" w:eastAsia="Times New Roman" w:ascii="Times New Roman"/>
          <w:sz w:val="24"/>
          <w:szCs w:val="24"/>
        </w:rPr>
        <w:t> a  EU-Competence  Centre  for  Practical  Architectural  Conservation  in  the  Charterhouse</w:t>
      </w:r>
      <w:r>
        <w:rPr>
          <w:rFonts w:cs="Times New Roman" w:hAnsi="Times New Roman" w:eastAsia="Times New Roman" w:ascii="Times New Roman"/>
          <w:sz w:val="24"/>
          <w:szCs w:val="24"/>
        </w:rPr>
        <w:t> Mauerbach.  It  creates  a  strong  sector  combining  built  cultural  heritage  and  Cultural  and</w:t>
      </w:r>
      <w:r>
        <w:rPr>
          <w:rFonts w:cs="Times New Roman" w:hAnsi="Times New Roman" w:eastAsia="Times New Roman" w:ascii="Times New Roman"/>
          <w:sz w:val="24"/>
          <w:szCs w:val="24"/>
        </w:rPr>
        <w:t> Creative  Industries,  in  order  to  increase  employment  opportunities  and  foster  the  idea  of</w:t>
      </w:r>
      <w:r>
        <w:rPr>
          <w:rFonts w:cs="Times New Roman" w:hAnsi="Times New Roman" w:eastAsia="Times New Roman" w:ascii="Times New Roman"/>
          <w:sz w:val="24"/>
          <w:szCs w:val="24"/>
        </w:rPr>
        <w:t> sustainable  cultural  heritage  in  Europe.  Another  recent  example  is  the  CHARTER  project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(“Cultural Heritage Actions to Refine Training, Education and Roles”), funded by Erasmus+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under the Blueprint Call for Skills Sectorial Alliance on Cultural Heritage. It aims to build the</w:t>
      </w:r>
      <w:r>
        <w:rPr>
          <w:rFonts w:cs="Times New Roman" w:hAnsi="Times New Roman" w:eastAsia="Times New Roman" w:ascii="Times New Roman"/>
          <w:sz w:val="24"/>
          <w:szCs w:val="24"/>
        </w:rPr>
        <w:t> first ever methodology enabling the heritage sector to assess, design and produce a holistically</w:t>
      </w:r>
      <w:r>
        <w:rPr>
          <w:rFonts w:cs="Times New Roman" w:hAnsi="Times New Roman" w:eastAsia="Times New Roman" w:ascii="Times New Roman"/>
          <w:sz w:val="24"/>
          <w:szCs w:val="24"/>
        </w:rPr>
        <w:t> integrated  sectorial  skills  strategy.  Its  main  goal  is  to  identify  and  bridge  the  skills  gaps</w:t>
      </w:r>
      <w:r>
        <w:rPr>
          <w:rFonts w:cs="Times New Roman" w:hAnsi="Times New Roman" w:eastAsia="Times New Roman" w:ascii="Times New Roman"/>
          <w:sz w:val="24"/>
          <w:szCs w:val="24"/>
        </w:rPr>
        <w:t> between the educational and the occupational worlds, by developing a matrix mapping skills</w:t>
      </w:r>
      <w:r>
        <w:rPr>
          <w:rFonts w:cs="Times New Roman" w:hAnsi="Times New Roman" w:eastAsia="Times New Roman" w:ascii="Times New Roman"/>
          <w:sz w:val="24"/>
          <w:szCs w:val="24"/>
        </w:rPr>
        <w:t> and competences in the heritage sector. A good example of a Creative Europe funded project</w:t>
      </w:r>
      <w:r>
        <w:rPr>
          <w:rFonts w:cs="Times New Roman" w:hAnsi="Times New Roman" w:eastAsia="Times New Roman" w:ascii="Times New Roman"/>
          <w:sz w:val="24"/>
          <w:szCs w:val="24"/>
        </w:rPr>
        <w:t> is MADE IN which was recently completed. It is a research, design and heritage initiative that</w:t>
      </w:r>
      <w:r>
        <w:rPr>
          <w:rFonts w:cs="Times New Roman" w:hAnsi="Times New Roman" w:eastAsia="Times New Roman" w:ascii="Times New Roman"/>
          <w:sz w:val="24"/>
          <w:szCs w:val="24"/>
        </w:rPr>
        <w:t> encourages   collaboration   and   knowledge   exchange   between   traditional   craftsmen   and</w:t>
      </w:r>
      <w:r>
        <w:rPr>
          <w:rFonts w:cs="Times New Roman" w:hAnsi="Times New Roman" w:eastAsia="Times New Roman" w:ascii="Times New Roman"/>
          <w:sz w:val="24"/>
          <w:szCs w:val="24"/>
        </w:rPr>
        <w:t> contemporary designers.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(66) evaluate and, if necessary, to review the Package Travel Directive   and to unblock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negotiations in the Council on the revision of Regulation (EC) No 261/2004 on air passenger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rights  to take account of the effects of the recent crisis, prevent future legal uncertainty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ensure the protection of consumer rights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While the unblock of the negotiations on the revision of Regulation (EC) No 261/2004 on air</w:t>
      </w:r>
      <w:r>
        <w:rPr>
          <w:rFonts w:cs="Times New Roman" w:hAnsi="Times New Roman" w:eastAsia="Times New Roman" w:ascii="Times New Roman"/>
          <w:sz w:val="24"/>
          <w:szCs w:val="24"/>
        </w:rPr>
        <w:t> passenger  rights  is  in  the  hands  of  the  Council  and  remains  a  priority,  the  Commission,  as</w:t>
      </w:r>
      <w:r>
        <w:rPr>
          <w:rFonts w:cs="Times New Roman" w:hAnsi="Times New Roman" w:eastAsia="Times New Roman" w:ascii="Times New Roman"/>
          <w:sz w:val="24"/>
          <w:szCs w:val="24"/>
        </w:rPr>
        <w:t> announced in its Sustainable and Smart Mobility Strategy (SSMS) (action 64), will assess the</w:t>
      </w:r>
      <w:r>
        <w:rPr>
          <w:rFonts w:cs="Times New Roman" w:hAnsi="Times New Roman" w:eastAsia="Times New Roman" w:ascii="Times New Roman"/>
          <w:sz w:val="24"/>
          <w:szCs w:val="24"/>
        </w:rPr>
        <w:t> options  and  propose,  if  appropriate,  an  adequate  financial  protection  scheme  to  protect</w:t>
      </w:r>
      <w:r>
        <w:rPr>
          <w:rFonts w:cs="Times New Roman" w:hAnsi="Times New Roman" w:eastAsia="Times New Roman" w:ascii="Times New Roman"/>
          <w:sz w:val="24"/>
          <w:szCs w:val="24"/>
        </w:rPr>
        <w:t> passengers against the risk of a liquidity crisis or an insolvency regarding the reimbursement</w:t>
      </w:r>
      <w:r>
        <w:rPr>
          <w:rFonts w:cs="Times New Roman" w:hAnsi="Times New Roman" w:eastAsia="Times New Roman" w:ascii="Times New Roman"/>
          <w:sz w:val="24"/>
          <w:szCs w:val="24"/>
        </w:rPr>
        <w:t> of  tickets  and  their  repatriation.  In  addition,  the  Commission  has  committed  to  propose  a</w:t>
      </w:r>
      <w:r>
        <w:rPr>
          <w:rFonts w:cs="Times New Roman" w:hAnsi="Times New Roman" w:eastAsia="Times New Roman" w:ascii="Times New Roman"/>
          <w:sz w:val="24"/>
          <w:szCs w:val="24"/>
        </w:rPr>
        <w:t> revision of the Air Services Regulation (action 59 of the Action Plan annexed to the SSMS).</w:t>
      </w:r>
      <w:r>
        <w:rPr>
          <w:rFonts w:cs="Times New Roman" w:hAnsi="Times New Roman" w:eastAsia="Times New Roman" w:ascii="Times New Roman"/>
          <w:sz w:val="24"/>
          <w:szCs w:val="24"/>
        </w:rPr>
        <w:t> In this context, the Commission will inter alia assess further measures to improve the financial</w:t>
      </w:r>
      <w:r>
        <w:rPr>
          <w:rFonts w:cs="Times New Roman" w:hAnsi="Times New Roman" w:eastAsia="Times New Roman" w:ascii="Times New Roman"/>
          <w:sz w:val="24"/>
          <w:szCs w:val="24"/>
        </w:rPr>
        <w:t> resilience of air carriers.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/>
        <w:ind w:left="116" w:right="74"/>
      </w:pPr>
      <w:r>
        <w:rPr>
          <w:rFonts w:cs="Times New Roman" w:hAnsi="Times New Roman" w:eastAsia="Times New Roman" w:ascii="Times New Roman"/>
          <w:sz w:val="24"/>
          <w:szCs w:val="24"/>
        </w:rPr>
        <w:t>The  Commission’s  report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14 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on  the  Package  Travel  Directive  (PTD)  of  26  February  2021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provides an overview of the application of the PTD during the past two and a half years. It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addresses its transposition by the Member States and its strengths and weaknesses, including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challenges that have emerged in the context of the Thomas Cook bankruptcy and the Covid-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63"/>
      </w:pPr>
      <w:r>
        <w:rPr>
          <w:rFonts w:cs="Times New Roman" w:hAnsi="Times New Roman" w:eastAsia="Times New Roman" w:ascii="Times New Roman"/>
          <w:sz w:val="24"/>
          <w:szCs w:val="24"/>
        </w:rPr>
        <w:t>19 pandemic.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As announced in its New Consumer Agenda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15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for 2020-2025 and confirmed by the report 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26 February 2021, the Commission will carry out by 2022 a deeper analysis into whether the</w:t>
      </w:r>
      <w:r>
        <w:rPr>
          <w:rFonts w:cs="Times New Roman" w:hAnsi="Times New Roman" w:eastAsia="Times New Roman" w:ascii="Times New Roman"/>
          <w:sz w:val="24"/>
          <w:szCs w:val="24"/>
        </w:rPr>
        <w:t> current regulatory framework for package travel, including as regards insolvency protection,</w:t>
      </w:r>
      <w:r>
        <w:rPr>
          <w:rFonts w:cs="Times New Roman" w:hAnsi="Times New Roman" w:eastAsia="Times New Roman" w:ascii="Times New Roman"/>
          <w:sz w:val="24"/>
          <w:szCs w:val="24"/>
        </w:rPr>
        <w:t> is still fully up to the task of ensuring robust and comprehensive consumer protection taking</w:t>
      </w:r>
      <w:r>
        <w:rPr>
          <w:rFonts w:cs="Times New Roman" w:hAnsi="Times New Roman" w:eastAsia="Times New Roman" w:ascii="Times New Roman"/>
          <w:sz w:val="24"/>
          <w:szCs w:val="24"/>
        </w:rPr>
        <w:t> into account also developments in the field of passenger rights.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sz w:val="24"/>
          <w:szCs w:val="24"/>
        </w:rPr>
        <w:t>The Commission will assess how the high level of consumer protection provided by the PTD</w:t>
      </w:r>
      <w:r>
        <w:rPr>
          <w:rFonts w:cs="Times New Roman" w:hAnsi="Times New Roman" w:eastAsia="Times New Roman" w:ascii="Times New Roman"/>
          <w:sz w:val="24"/>
          <w:szCs w:val="24"/>
        </w:rPr>
        <w:t> can be ensured and how the rights of consumers can be effectively enforced at all times and</w:t>
      </w:r>
      <w:r>
        <w:rPr>
          <w:rFonts w:cs="Times New Roman" w:hAnsi="Times New Roman" w:eastAsia="Times New Roman" w:ascii="Times New Roman"/>
          <w:sz w:val="24"/>
          <w:szCs w:val="24"/>
        </w:rPr>
        <w:t> how  a  fairer  sharing of  the  burden  among  economic  operators  along the  value  chain  could</w:t>
      </w:r>
      <w:r>
        <w:rPr>
          <w:rFonts w:cs="Times New Roman" w:hAnsi="Times New Roman" w:eastAsia="Times New Roman" w:ascii="Times New Roman"/>
          <w:sz w:val="24"/>
          <w:szCs w:val="24"/>
        </w:rPr>
        <w:t> contribute to this objective.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1"/>
      </w:pPr>
      <w:r>
        <w:rPr>
          <w:rFonts w:cs="Times New Roman" w:hAnsi="Times New Roman" w:eastAsia="Times New Roman" w:ascii="Times New Roman"/>
          <w:sz w:val="24"/>
          <w:szCs w:val="24"/>
        </w:rPr>
        <w:t>The COVID-19 pandemic highlighted the different levels of consumer protection in relation</w:t>
      </w:r>
      <w:r>
        <w:rPr>
          <w:rFonts w:cs="Times New Roman" w:hAnsi="Times New Roman" w:eastAsia="Times New Roman" w:ascii="Times New Roman"/>
          <w:sz w:val="24"/>
          <w:szCs w:val="24"/>
        </w:rPr>
        <w:t> to package travel as compared to stand-alone transport services and issues in the relationship</w:t>
      </w:r>
      <w:r>
        <w:rPr>
          <w:rFonts w:cs="Times New Roman" w:hAnsi="Times New Roman" w:eastAsia="Times New Roman" w:ascii="Times New Roman"/>
          <w:sz w:val="24"/>
          <w:szCs w:val="24"/>
        </w:rPr>
        <w:t> between package organisers and, for instance, air carriers. Overall, more coherent approach</w:t>
      </w:r>
      <w:r>
        <w:rPr>
          <w:rFonts w:cs="Times New Roman" w:hAnsi="Times New Roman" w:eastAsia="Times New Roman" w:ascii="Times New Roman"/>
          <w:sz w:val="24"/>
          <w:szCs w:val="24"/>
        </w:rPr>
        <w:t> could enhance the level of consumer protection and bring more clarity and a fairer burden-</w:t>
      </w:r>
      <w:r>
        <w:rPr>
          <w:rFonts w:cs="Times New Roman" w:hAnsi="Times New Roman" w:eastAsia="Times New Roman" w:ascii="Times New Roman"/>
          <w:sz w:val="24"/>
          <w:szCs w:val="24"/>
        </w:rPr>
        <w:t> sharing amongst travel businesses. The in-depth analysis of the PTD will take into account the</w:t>
      </w:r>
      <w:r>
        <w:rPr>
          <w:rFonts w:cs="Times New Roman" w:hAnsi="Times New Roman" w:eastAsia="Times New Roman" w:ascii="Times New Roman"/>
          <w:sz w:val="24"/>
          <w:szCs w:val="24"/>
        </w:rPr>
        <w:t> review of the passenger rights regulatory framework announced in the Sustainable and Smart</w:t>
      </w:r>
      <w:r>
        <w:rPr>
          <w:rFonts w:cs="Times New Roman" w:hAnsi="Times New Roman" w:eastAsia="Times New Roman" w:ascii="Times New Roman"/>
          <w:sz w:val="24"/>
          <w:szCs w:val="24"/>
        </w:rPr>
        <w:t> Mobility Strategy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(66) analyse the possibility of strengthening the insolvency protection provisions by adding a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prevention  approach  to  support  companies  and  SMEs  at  an  earlier  stage  and  in  order 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protect workers in the event of systemic shocks and/or insolvency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z w:val="24"/>
          <w:szCs w:val="24"/>
        </w:rPr>
        <w:t>It is to be noted that the Directive on Restructuring and Insolvency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17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obliges Member States to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establish effective and transparent mechanisms that help companies (mainly SMEs) to detect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in  due  time  circumstances  that  could  give  rise  to  a  likelihood  of  insolvency and  that  gives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them  actual  advice  on  how  to  overcome  this  difficulties.  The  directive  is  currently  being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transposed by the Member States.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(67) establish a European travel guarantee scheme, based on the experience of the COVID-19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crisis  and  similar  schemes  in  the  Member  States,  in  order  to  secure  financial  liquidity  for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companies and guarantee refunds for travellers as well as repatriation costs, together with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fair compensation for any damages incurred in the event of bankruptcy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pict>
          <v:group style="position:absolute;margin-left:70.824pt;margin-top:70.5431pt;width:144.02pt;height:0pt;mso-position-horizontal-relative:page;mso-position-vertical-relative:paragraph;z-index:-454" coordorigin="1416,1411" coordsize="2880,0">
            <v:shape style="position:absolute;left:1416;top:1411;width:2880;height:0" coordorigin="1416,1411" coordsize="2880,0" path="m1416,1411l4297,1411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The  in-depth  analysis  of  the  PTD  will  also  cover  the  question  of  whether  the  level  of</w:t>
      </w:r>
      <w:r>
        <w:rPr>
          <w:rFonts w:cs="Times New Roman" w:hAnsi="Times New Roman" w:eastAsia="Times New Roman" w:ascii="Times New Roman"/>
          <w:sz w:val="24"/>
          <w:szCs w:val="24"/>
        </w:rPr>
        <w:t> harmonisation is appropriate, for instance with regard to insolvency protection.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before="42"/>
        <w:ind w:left="474" w:right="88" w:hanging="35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14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ab/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Report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Commission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European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Parliament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Council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application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Directive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(EU)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2015/2302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European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Parliament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Council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package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travel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linked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travel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arrangements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(COM(2021)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final).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15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Commission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European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Parliament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Council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Consumer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Agenda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Strengthening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consumer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resilience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sustainable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recovery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(COM(2020)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696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final).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16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Sustainable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Smart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Mobility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Strategy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putting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European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transport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track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future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(COM(2020)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789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final),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64.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before="3" w:lineRule="exact" w:line="220"/>
        <w:ind w:left="474" w:right="92" w:hanging="35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17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ab/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Directive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(EU)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2019/1023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European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Parliament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Council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June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2019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preventive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restructuring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frameworks,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discharge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debt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disqualifications,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measures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increase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efficiency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procedures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concerning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restructuring,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insolvency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discharge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debt,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amending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Directive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74"/>
        <w:sectPr>
          <w:pgMar w:header="0" w:footer="985" w:top="130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(EU)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2017/1132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(Directive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restructuring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insolvency)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OJ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172,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26.6.2019,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55.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5" w:lineRule="exact" w:line="260"/>
        <w:ind w:left="116" w:right="66"/>
      </w:pPr>
      <w:r>
        <w:rPr>
          <w:rFonts w:cs="Times New Roman" w:hAnsi="Times New Roman" w:eastAsia="Times New Roman" w:ascii="Times New Roman"/>
          <w:sz w:val="24"/>
          <w:szCs w:val="24"/>
        </w:rPr>
        <w:t>As  noted  in  the  report  on  the  application  of  the  PTD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some  business  stakeholders  and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authorities have expressed concerns that it may be increasingly difficult  to find appropriate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insolvency protection providers that are willing and capable to cover the risks related to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bankruptcy of a big organiser, especially during peak season. Relatively few travel guarantee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funds and insurance companies provide insolvency protection. It has been reported that banks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were no longer providing security for organisers and that also some of the already relatively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few insurance companies offering insolvency protection are pulling out of the market (e.g. in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Austria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19 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and  Belgium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).  It  is  therefore  important  to  find  a  solid  system  that  effectively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protects travellers against the risk of insolvency. Ideas brought forward to address different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challenges include multiple security providers for one organiser, or the setting up of a pan-EU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guarantee fund as a kind of re-insurance for the first- line guarantors. Further analysis in this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respect is required.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z w:val="24"/>
          <w:szCs w:val="24"/>
        </w:rPr>
        <w:t>In  its  resolution  in  reaction  to  the  bankruptcy of  Thomas  Cook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the  European  Parliament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acknowledged the effective repatriation and did not raise any concerns in respect of the PTD.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In  this   context,  the  Parliament  nevertheless  repeated   its  request  to   extend  insolvency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protection to seat-only flights in the framework of the revision of the Air Passenger Rights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Regulation  261/2004.  The  insolvency  of  an  airline  can  affect  travellers,  tour  operators  and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intermediaries. For example, if a package travel contract with a flight component is cancelled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in  accordance  with  the  PTD,  the  organiser  may  have  to  refund  the  traveller  the  full  price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irrespective of whether he still holds the money or will be able to recover it from the airline.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The call from a number of stakeholders representing travel businesses and consumers for the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introduction of mandatory insolvency protection to be provided by airlines has become louder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in the context of the COVID-19 crisis. The Aviation Roundtable Report on the Recovery of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European Aviation (November 2020) acknowledges that this crisis has shown that passengers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feel they may find themselves unprotected in case of insolvency of airlines and suggests that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the impact of airline insolvency protection could be further analysed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Thus,  in  the  scope  of  the  planned  analysis,  the  Commission  will  also  assess  whether  the</w:t>
      </w:r>
      <w:r>
        <w:rPr>
          <w:rFonts w:cs="Times New Roman" w:hAnsi="Times New Roman" w:eastAsia="Times New Roman" w:ascii="Times New Roman"/>
          <w:sz w:val="24"/>
          <w:szCs w:val="24"/>
        </w:rPr>
        <w:t> differences  between  the  PTD  and  the  passenger  rights  regulations  as  regards  insolvency</w:t>
      </w:r>
      <w:r>
        <w:rPr>
          <w:rFonts w:cs="Times New Roman" w:hAnsi="Times New Roman" w:eastAsia="Times New Roman" w:ascii="Times New Roman"/>
          <w:sz w:val="24"/>
          <w:szCs w:val="24"/>
        </w:rPr>
        <w:t> protection  and  cancellation  rights  are  justified  or  if  the  rules  should  be  more  aligned  and</w:t>
      </w:r>
      <w:r>
        <w:rPr>
          <w:rFonts w:cs="Times New Roman" w:hAnsi="Times New Roman" w:eastAsia="Times New Roman" w:ascii="Times New Roman"/>
          <w:sz w:val="24"/>
          <w:szCs w:val="24"/>
        </w:rPr>
        <w:t> whether specific rules for situations like COVID-19 should be proposed, with the objective to</w:t>
      </w:r>
      <w:r>
        <w:rPr>
          <w:rFonts w:cs="Times New Roman" w:hAnsi="Times New Roman" w:eastAsia="Times New Roman" w:ascii="Times New Roman"/>
          <w:sz w:val="24"/>
          <w:szCs w:val="24"/>
        </w:rPr>
        <w:t> better  protect  consumers.  Other  methods  of  reducing  the  exposure  of  travellers  to  an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organiser’s  insolve</w:t>
      </w:r>
      <w:r>
        <w:rPr>
          <w:rFonts w:cs="Times New Roman" w:hAnsi="Times New Roman" w:eastAsia="Times New Roman" w:ascii="Times New Roman"/>
          <w:sz w:val="24"/>
          <w:szCs w:val="24"/>
        </w:rPr>
        <w:t>ncy,  e.g.  introducing  alternatives  to  the  prevailing  prepayment  model,</w:t>
      </w:r>
      <w:r>
        <w:rPr>
          <w:rFonts w:cs="Times New Roman" w:hAnsi="Times New Roman" w:eastAsia="Times New Roman" w:ascii="Times New Roman"/>
          <w:sz w:val="24"/>
          <w:szCs w:val="24"/>
        </w:rPr>
        <w:t> could also be evaluated.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(68) establish a single platform for the creation of digital innovation literacy programmes for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the  senior  executives  of  micro  enterprises  and  SMEs,  giving  them  the  skills  they  need  to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optimise  their  wealth-creating  potential;  develop  an  EU  roadmap  to  upskill  workers  in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sector, including an EU financing scheme to this end; evaluate options for harmonising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rules  and  legislation,  as  skills  and  qualifications  are  not  always  harmonised  between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countries and there is a lack of mutual recognition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pict>
          <v:group style="position:absolute;margin-left:70.824pt;margin-top:40.3031pt;width:144.02pt;height:0pt;mso-position-horizontal-relative:page;mso-position-vertical-relative:paragraph;z-index:-453" coordorigin="1416,806" coordsize="2880,0">
            <v:shape style="position:absolute;left:1416;top:806;width:2880;height:0" coordorigin="1416,806" coordsize="2880,0" path="m1416,806l4297,806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The European Skills Agenda has put forward the tourism sector as priority sector to explore</w:t>
      </w:r>
      <w:r>
        <w:rPr>
          <w:rFonts w:cs="Times New Roman" w:hAnsi="Times New Roman" w:eastAsia="Times New Roman" w:ascii="Times New Roman"/>
          <w:sz w:val="24"/>
          <w:szCs w:val="24"/>
        </w:rPr>
        <w:t> the possibility of joining the Pact for Skills. For this the sector can base itself on an ongoing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18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section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4.2.2.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report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(COM(2021)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final)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left"/>
        <w:spacing w:lineRule="exact" w:line="220"/>
        <w:ind w:left="474" w:right="90" w:hanging="35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19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ab/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recital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Commission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Decision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4.2.2021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SA.60521,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26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/co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etit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/elo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e/is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/case_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etails.c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?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e=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SA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1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minutes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th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meeting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PTD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stakeholder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expert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group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(24.11.2020)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21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European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Parliament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resolution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October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2019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negative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impact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bankruptcy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Thomas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Cook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tourism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27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/2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(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)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w w:val="99"/>
            <w:sz w:val="20"/>
            <w:szCs w:val="20"/>
          </w:rPr>
          <w:t>),</w:t>
        </w:r>
      </w:hyperlink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28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://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www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l.e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t/B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2019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4"/>
      </w:pP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29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f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  <w:sectPr>
          <w:pgMar w:header="0" w:footer="985" w:top="130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22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30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/a4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/av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iatio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tab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16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11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,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FF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00"/>
            <w:w w:val="99"/>
            <w:position w:val="0"/>
            <w:sz w:val="20"/>
            <w:szCs w:val="20"/>
          </w:rPr>
          <w:t>page</w:t>
        </w:r>
      </w:hyperlink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w w:val="99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80"/>
      </w:pPr>
      <w:r>
        <w:rPr>
          <w:rFonts w:cs="Times New Roman" w:hAnsi="Times New Roman" w:eastAsia="Times New Roman" w:ascii="Times New Roman"/>
          <w:sz w:val="24"/>
          <w:szCs w:val="24"/>
        </w:rPr>
        <w:t>Erasmus+ Blueprint Alliance for sectoral skills cooperation, which has already developed a</w:t>
      </w:r>
      <w:r>
        <w:rPr>
          <w:rFonts w:cs="Times New Roman" w:hAnsi="Times New Roman" w:eastAsia="Times New Roman" w:ascii="Times New Roman"/>
          <w:sz w:val="24"/>
          <w:szCs w:val="24"/>
        </w:rPr>
        <w:t> sectoral skills strategy or roadmap. Commissioners Breton and Schmit held a roundtable with</w:t>
      </w:r>
      <w:r>
        <w:rPr>
          <w:rFonts w:cs="Times New Roman" w:hAnsi="Times New Roman" w:eastAsia="Times New Roman" w:ascii="Times New Roman"/>
          <w:sz w:val="24"/>
          <w:szCs w:val="24"/>
        </w:rPr>
        <w:t> the sector that discussed and provided top-level political momentum and prepared the ground</w:t>
      </w:r>
      <w:r>
        <w:rPr>
          <w:rFonts w:cs="Times New Roman" w:hAnsi="Times New Roman" w:eastAsia="Times New Roman" w:ascii="Times New Roman"/>
          <w:sz w:val="24"/>
          <w:szCs w:val="24"/>
        </w:rPr>
        <w:t> for the development of partnerships that should join the Pact on skills.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sz w:val="24"/>
          <w:szCs w:val="24"/>
        </w:rPr>
        <w:t>With the view to foster synergies the EU does not foresee a dedicated financing scheme for</w:t>
      </w:r>
      <w:r>
        <w:rPr>
          <w:rFonts w:cs="Times New Roman" w:hAnsi="Times New Roman" w:eastAsia="Times New Roman" w:ascii="Times New Roman"/>
          <w:sz w:val="24"/>
          <w:szCs w:val="24"/>
        </w:rPr>
        <w:t> tourism,  but  many  EU  financing  instruments  such  as  the  ESF+,  the  JTF,  or  the  RRF.  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6" w:right="80"/>
      </w:pPr>
      <w:r>
        <w:rPr>
          <w:rFonts w:cs="Times New Roman" w:hAnsi="Times New Roman" w:eastAsia="Times New Roman" w:ascii="Times New Roman"/>
          <w:sz w:val="24"/>
          <w:szCs w:val="24"/>
        </w:rPr>
        <w:t>‘Pact for Skills support services’ will facilitate access to information about these instruments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to  stakeholders,  including  from  the  tourism  sector.  An  online  guide  on  EU  funding for  the</w:t>
      </w:r>
      <w:r>
        <w:rPr>
          <w:rFonts w:cs="Times New Roman" w:hAnsi="Times New Roman" w:eastAsia="Times New Roman" w:ascii="Times New Roman"/>
          <w:sz w:val="24"/>
          <w:szCs w:val="24"/>
        </w:rPr>
        <w:t> tourism sector is already operational since May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The Skills Agenda for Europe is supporting digital skills for all and at all levels, workers and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management,   including   digital   crash   courses   for   SMEs   and   the   “Digital   Volunteers”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programme to upskill the current SME workforce in digital areas, as already announced in the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EU  SME  strategy.  A  pilot  programme  of  ‘Digital  Volunteers’  was  launched  in  April  2021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with large companies that will send digitally skilled employees for a limited period of time to</w:t>
      </w:r>
      <w:r>
        <w:rPr>
          <w:rFonts w:cs="Times New Roman" w:hAnsi="Times New Roman" w:eastAsia="Times New Roman" w:ascii="Times New Roman"/>
          <w:sz w:val="24"/>
          <w:szCs w:val="24"/>
        </w:rPr>
        <w:t> SMEs.  These  Digital  Volunteers-Mentors  will  help  SMEs  in  their  digitalisation  process,</w:t>
      </w:r>
      <w:r>
        <w:rPr>
          <w:rFonts w:cs="Times New Roman" w:hAnsi="Times New Roman" w:eastAsia="Times New Roman" w:ascii="Times New Roman"/>
          <w:sz w:val="24"/>
          <w:szCs w:val="24"/>
        </w:rPr>
        <w:t> allowing  transfer  of  knowledge  and  skills  and  thus  benefiting  the  whole  ecosystem.  Crash</w:t>
      </w:r>
      <w:r>
        <w:rPr>
          <w:rFonts w:cs="Times New Roman" w:hAnsi="Times New Roman" w:eastAsia="Times New Roman" w:ascii="Times New Roman"/>
          <w:sz w:val="24"/>
          <w:szCs w:val="24"/>
        </w:rPr>
        <w:t> courses  for  SME  employees  will  be  supported  by  the  Digital  Europe  Programme  and  will</w:t>
      </w:r>
      <w:r>
        <w:rPr>
          <w:rFonts w:cs="Times New Roman" w:hAnsi="Times New Roman" w:eastAsia="Times New Roman" w:ascii="Times New Roman"/>
          <w:sz w:val="24"/>
          <w:szCs w:val="24"/>
        </w:rPr>
        <w:t> allow SME employees to gain proficiency in key strategic technologies. SME employees will</w:t>
      </w:r>
      <w:r>
        <w:rPr>
          <w:rFonts w:cs="Times New Roman" w:hAnsi="Times New Roman" w:eastAsia="Times New Roman" w:ascii="Times New Roman"/>
          <w:sz w:val="24"/>
          <w:szCs w:val="24"/>
        </w:rPr>
        <w:t> also benefit from the recently launched Digital Skills &amp; Jobs Platform. The Platform provides</w:t>
      </w:r>
      <w:r>
        <w:rPr>
          <w:rFonts w:cs="Times New Roman" w:hAnsi="Times New Roman" w:eastAsia="Times New Roman" w:ascii="Times New Roman"/>
          <w:sz w:val="24"/>
          <w:szCs w:val="24"/>
        </w:rPr>
        <w:t> open access to a wide variety of high-quality information and resources to everyone interested</w:t>
      </w:r>
      <w:r>
        <w:rPr>
          <w:rFonts w:cs="Times New Roman" w:hAnsi="Times New Roman" w:eastAsia="Times New Roman" w:ascii="Times New Roman"/>
          <w:sz w:val="24"/>
          <w:szCs w:val="24"/>
        </w:rPr>
        <w:t> in the broad topic of digital skills. Its smart search and filtering functions help users, including</w:t>
      </w:r>
      <w:r>
        <w:rPr>
          <w:rFonts w:cs="Times New Roman" w:hAnsi="Times New Roman" w:eastAsia="Times New Roman" w:ascii="Times New Roman"/>
          <w:sz w:val="24"/>
          <w:szCs w:val="24"/>
        </w:rPr>
        <w:t> SME  owners  or  employees,  find  what  they  need  and  connect  with  whom  they  need.  With</w:t>
      </w:r>
      <w:r>
        <w:rPr>
          <w:rFonts w:cs="Times New Roman" w:hAnsi="Times New Roman" w:eastAsia="Times New Roman" w:ascii="Times New Roman"/>
          <w:sz w:val="24"/>
          <w:szCs w:val="24"/>
        </w:rPr>
        <w:t> relevant,  up-to-date  content  and  dynamic,  collaborative  spaces,  the  platform  caters  to  the</w:t>
      </w:r>
      <w:r>
        <w:rPr>
          <w:rFonts w:cs="Times New Roman" w:hAnsi="Times New Roman" w:eastAsia="Times New Roman" w:ascii="Times New Roman"/>
          <w:sz w:val="24"/>
          <w:szCs w:val="24"/>
        </w:rPr>
        <w:t> needs of all users independently of their level of expertise. The Commission will also support</w:t>
      </w:r>
      <w:r>
        <w:rPr>
          <w:rFonts w:cs="Times New Roman" w:hAnsi="Times New Roman" w:eastAsia="Times New Roman" w:ascii="Times New Roman"/>
          <w:sz w:val="24"/>
          <w:szCs w:val="24"/>
        </w:rPr>
        <w:t> and interlink SME intermediaries, such as clusters, the Enterprise Europe Network and Digital</w:t>
      </w:r>
      <w:r>
        <w:rPr>
          <w:rFonts w:cs="Times New Roman" w:hAnsi="Times New Roman" w:eastAsia="Times New Roman" w:ascii="Times New Roman"/>
          <w:sz w:val="24"/>
          <w:szCs w:val="24"/>
        </w:rPr>
        <w:t> Innovation Hubs to help upskill staff of SMEs, including management.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The Commission initiative on Centres of Vocational Excellence (CoVE)  are intended to be</w:t>
      </w:r>
      <w:r>
        <w:rPr>
          <w:rFonts w:cs="Times New Roman" w:hAnsi="Times New Roman" w:eastAsia="Times New Roman" w:ascii="Times New Roman"/>
          <w:sz w:val="24"/>
          <w:szCs w:val="24"/>
        </w:rPr>
        <w:t> world-class  reference  points  for  training  in  specific  areas  (which  may  include  tourism)  for</w:t>
      </w:r>
      <w:r>
        <w:rPr>
          <w:rFonts w:cs="Times New Roman" w:hAnsi="Times New Roman" w:eastAsia="Times New Roman" w:ascii="Times New Roman"/>
          <w:sz w:val="24"/>
          <w:szCs w:val="24"/>
        </w:rPr>
        <w:t> both initial training of young people as well as for continuing up-skilling and re-skilling of</w:t>
      </w:r>
      <w:r>
        <w:rPr>
          <w:rFonts w:cs="Times New Roman" w:hAnsi="Times New Roman" w:eastAsia="Times New Roman" w:ascii="Times New Roman"/>
          <w:sz w:val="24"/>
          <w:szCs w:val="24"/>
        </w:rPr>
        <w:t> adults. These centres act as catalysts for local business investment, supporting European and</w:t>
      </w:r>
      <w:r>
        <w:rPr>
          <w:rFonts w:cs="Times New Roman" w:hAnsi="Times New Roman" w:eastAsia="Times New Roman" w:ascii="Times New Roman"/>
          <w:sz w:val="24"/>
          <w:szCs w:val="24"/>
        </w:rPr>
        <w:t> regional  innovation  and  smart  specialisation  strategies  by  ensuring  supply  of  high  quality</w:t>
      </w:r>
      <w:r>
        <w:rPr>
          <w:rFonts w:cs="Times New Roman" w:hAnsi="Times New Roman" w:eastAsia="Times New Roman" w:ascii="Times New Roman"/>
          <w:sz w:val="24"/>
          <w:szCs w:val="24"/>
        </w:rPr>
        <w:t> skilled workers through flexible and timely offer of training for the skills needs of companies,</w:t>
      </w:r>
      <w:r>
        <w:rPr>
          <w:rFonts w:cs="Times New Roman" w:hAnsi="Times New Roman" w:eastAsia="Times New Roman" w:ascii="Times New Roman"/>
          <w:sz w:val="24"/>
          <w:szCs w:val="24"/>
        </w:rPr>
        <w:t> including SMEs. They support entrepreneurial initiatives of their learners (incubators), as well</w:t>
      </w:r>
      <w:r>
        <w:rPr>
          <w:rFonts w:cs="Times New Roman" w:hAnsi="Times New Roman" w:eastAsia="Times New Roman" w:ascii="Times New Roman"/>
          <w:sz w:val="24"/>
          <w:szCs w:val="24"/>
        </w:rPr>
        <w:t> as act as knowledge and innovation hubs for SMEs.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(70)  work  together  with  associations  in  the  sector  and  to  use  best  practices  to  issue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recommendations and provide financial support for the organisation of trade tourism events,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fairs, congresses and tourism related to artistic and entertainment events, such as concerts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and festivals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The  Commission  services  are  in  regular  contacts  with  the  main  European  professional</w:t>
      </w:r>
      <w:r>
        <w:rPr>
          <w:rFonts w:cs="Times New Roman" w:hAnsi="Times New Roman" w:eastAsia="Times New Roman" w:ascii="Times New Roman"/>
          <w:sz w:val="24"/>
          <w:szCs w:val="24"/>
        </w:rPr>
        <w:t> associations,  starting  with  EEIA  (European  Exhibition  Industry  Alliance),  to  identify  their</w:t>
      </w:r>
      <w:r>
        <w:rPr>
          <w:rFonts w:cs="Times New Roman" w:hAnsi="Times New Roman" w:eastAsia="Times New Roman" w:ascii="Times New Roman"/>
          <w:sz w:val="24"/>
          <w:szCs w:val="24"/>
        </w:rPr>
        <w:t> needs and determine what could be done at EU level.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(71) analyse the lack of mutual recognition in the sector of professional tour guides in order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to ascertain where the Union can make the requisite improvements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z w:val="24"/>
          <w:szCs w:val="24"/>
        </w:rPr>
        <w:t>Directive 2005/36/EC guarantees the recognition of professional qualifications throughout 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3"/>
      </w:pPr>
      <w:r>
        <w:pict>
          <v:group style="position:absolute;margin-left:70.824pt;margin-top:32.8831pt;width:144.02pt;height:0pt;mso-position-horizontal-relative:page;mso-position-vertical-relative:paragraph;z-index:-452" coordorigin="1416,658" coordsize="2880,0">
            <v:shape style="position:absolute;left:1416;top:658;width:2880;height:0" coordorigin="1416,658" coordsize="2880,0" path="m1416,658l4297,65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EU.  The  directive  offers  the  possibility  to  tourist  guides  who  are  fully  qualified  in  one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6"/>
        <w:sectPr>
          <w:pgMar w:header="0" w:footer="985" w:top="1320" w:bottom="280" w:left="1300" w:right="1300"/>
          <w:pgSz w:w="11920" w:h="16840"/>
        </w:sectPr>
      </w:pPr>
      <w:r>
        <w:rPr>
          <w:rFonts w:cs="Courier New" w:hAnsi="Courier New" w:eastAsia="Courier New" w:ascii="Courier New"/>
          <w:w w:val="99"/>
          <w:position w:val="5"/>
          <w:sz w:val="13"/>
          <w:szCs w:val="13"/>
        </w:rPr>
        <w:t>23</w:t>
      </w:r>
      <w:r>
        <w:rPr>
          <w:rFonts w:cs="Courier New" w:hAnsi="Courier New" w:eastAsia="Courier New" w:ascii="Courier New"/>
          <w:w w:val="100"/>
          <w:position w:val="5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hyperlink r:id="rId31"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/ec.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cto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/to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/s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in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0"/>
            <w:sz w:val="20"/>
            <w:szCs w:val="20"/>
            <w:u w:val="single" w:color="0000FF"/>
          </w:rPr>
          <w:t>en</w:t>
        </w:r>
      </w:hyperlink>
      <w:r>
        <w:rPr>
          <w:rFonts w:cs="Times New Roman" w:hAnsi="Times New Roman" w:eastAsia="Times New Roman" w:ascii="Times New Roman"/>
          <w:color w:val="0000FF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9"/>
      </w:pPr>
      <w:r>
        <w:rPr>
          <w:rFonts w:cs="Times New Roman" w:hAnsi="Times New Roman" w:eastAsia="Times New Roman" w:ascii="Times New Roman"/>
          <w:sz w:val="24"/>
          <w:szCs w:val="24"/>
        </w:rPr>
        <w:t>Member  State  to  exercise  their  professional  activities  in  another  Member  State  where  the</w:t>
      </w:r>
      <w:r>
        <w:rPr>
          <w:rFonts w:cs="Times New Roman" w:hAnsi="Times New Roman" w:eastAsia="Times New Roman" w:ascii="Times New Roman"/>
          <w:sz w:val="24"/>
          <w:szCs w:val="24"/>
        </w:rPr>
        <w:t> profession is regulated as to the qualifications. To do so, the host Member State may require</w:t>
      </w:r>
      <w:r>
        <w:rPr>
          <w:rFonts w:cs="Times New Roman" w:hAnsi="Times New Roman" w:eastAsia="Times New Roman" w:ascii="Times New Roman"/>
          <w:sz w:val="24"/>
          <w:szCs w:val="24"/>
        </w:rPr>
        <w:t> the tourist guide to undergo a compensation measure (an aptitude test or an adaptation period)</w:t>
      </w:r>
      <w:r>
        <w:rPr>
          <w:rFonts w:cs="Times New Roman" w:hAnsi="Times New Roman" w:eastAsia="Times New Roman" w:ascii="Times New Roman"/>
          <w:sz w:val="24"/>
          <w:szCs w:val="24"/>
        </w:rPr>
        <w:t> if there are  substantial differences between the training required in that Member State and the</w:t>
      </w:r>
      <w:r>
        <w:rPr>
          <w:rFonts w:cs="Times New Roman" w:hAnsi="Times New Roman" w:eastAsia="Times New Roman" w:ascii="Times New Roman"/>
          <w:sz w:val="24"/>
          <w:szCs w:val="24"/>
        </w:rPr>
        <w:t> one  actually  followed.  In  the  cases  of  temporary  services  provisions,  tourist  guides  may</w:t>
      </w:r>
      <w:r>
        <w:rPr>
          <w:rFonts w:cs="Times New Roman" w:hAnsi="Times New Roman" w:eastAsia="Times New Roman" w:ascii="Times New Roman"/>
          <w:sz w:val="24"/>
          <w:szCs w:val="24"/>
        </w:rPr>
        <w:t> exercise their professional activities in another Member State on the basis of a declaration.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(72-73) work to facilitate the possible wider implementation and recognition of the European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disability   card   scheme;   actively   drive   the   ongoing   development   of   the   International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Organisation for Standardisation standard on accessible tourism services and to ensure its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swift  and  correct  implementation  once  adopted,  while  also  ensuring  that  service  providers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respect   the   relevant   accessibility   standards   already   in   place   or   in   the   process   of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implementation  and  provide  information  on  the  accessibility  of  their  services;  propose  a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standardised method for collating interactive feedback on the accessibility of destinations by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enterprises and tourists and to promote its use to the tourism sector as a whole</w:t>
      </w:r>
      <w:r>
        <w:rPr>
          <w:rFonts w:cs="Times New Roman" w:hAnsi="Times New Roman" w:eastAsia="Times New Roman" w:ascii="Times New Roman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z w:val="24"/>
          <w:szCs w:val="24"/>
        </w:rPr>
        <w:t>The Commission would like to scale up the EU Disability Card system into all the Member</w:t>
      </w:r>
      <w:r>
        <w:rPr>
          <w:rFonts w:cs="Times New Roman" w:hAnsi="Times New Roman" w:eastAsia="Times New Roman" w:ascii="Times New Roman"/>
          <w:sz w:val="24"/>
          <w:szCs w:val="24"/>
        </w:rPr>
        <w:t> States to facilitate enjoyment of free movement by persons with disabilities. Therefore it is</w:t>
      </w:r>
      <w:r>
        <w:rPr>
          <w:rFonts w:cs="Times New Roman" w:hAnsi="Times New Roman" w:eastAsia="Times New Roman" w:ascii="Times New Roman"/>
          <w:sz w:val="24"/>
          <w:szCs w:val="24"/>
        </w:rPr>
        <w:t> proposing as a flagship  initiative in the Strategy  for the Rights of Persons with Disabilities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z w:val="24"/>
          <w:szCs w:val="24"/>
        </w:rPr>
        <w:t>2021-</w:t>
      </w:r>
      <w:r>
        <w:rPr>
          <w:rFonts w:cs="Times New Roman" w:hAnsi="Times New Roman" w:eastAsia="Times New Roman" w:ascii="Times New Roman"/>
          <w:sz w:val="24"/>
          <w:szCs w:val="24"/>
        </w:rPr>
        <w:t>2030 the following: “The Commission will propose creating a European Disability Card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by  end  of  2023  with  a  view  to  be  recognised  in  all  Member  States.  It  will  build  on  the</w:t>
      </w:r>
      <w:r>
        <w:rPr>
          <w:rFonts w:cs="Times New Roman" w:hAnsi="Times New Roman" w:eastAsia="Times New Roman" w:ascii="Times New Roman"/>
          <w:sz w:val="24"/>
          <w:szCs w:val="24"/>
        </w:rPr>
        <w:t> experience of the ongoing EU Disability Card pilot project in eight Member States and upon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the European parking card for persons with disabilities.”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z w:val="24"/>
          <w:szCs w:val="24"/>
        </w:rPr>
        <w:t>As regards training, the Recast Rail Passenger Rights Regulation obliges rail undertakings and</w:t>
      </w:r>
      <w:r>
        <w:rPr>
          <w:rFonts w:cs="Times New Roman" w:hAnsi="Times New Roman" w:eastAsia="Times New Roman" w:ascii="Times New Roman"/>
          <w:sz w:val="24"/>
          <w:szCs w:val="24"/>
        </w:rPr>
        <w:t> rail   infrastructure   managing  undertakings   to   provide   to   their   staff   dealing  with   PRM</w:t>
      </w:r>
      <w:r>
        <w:rPr>
          <w:rFonts w:cs="Times New Roman" w:hAnsi="Times New Roman" w:eastAsia="Times New Roman" w:ascii="Times New Roman"/>
          <w:sz w:val="24"/>
          <w:szCs w:val="24"/>
        </w:rPr>
        <w:t> (passengers with reduced mobility) assistance targeted disability-related training, in order to</w:t>
      </w:r>
      <w:r>
        <w:rPr>
          <w:rFonts w:cs="Times New Roman" w:hAnsi="Times New Roman" w:eastAsia="Times New Roman" w:ascii="Times New Roman"/>
          <w:sz w:val="24"/>
          <w:szCs w:val="24"/>
        </w:rPr>
        <w:t> know how to meet the needs of PRM. Regular refresher training courses are also foreseen.</w:t>
      </w:r>
      <w:r>
        <w:rPr>
          <w:rFonts w:cs="Times New Roman" w:hAnsi="Times New Roman" w:eastAsia="Times New Roman" w:ascii="Times New Roman"/>
          <w:sz w:val="24"/>
          <w:szCs w:val="24"/>
        </w:rPr>
        <w:t> Also  staff,  working  at  the  station  or  on  board  trains,  who  deal  directly  with  the  travelling</w:t>
      </w:r>
      <w:r>
        <w:rPr>
          <w:rFonts w:cs="Times New Roman" w:hAnsi="Times New Roman" w:eastAsia="Times New Roman" w:ascii="Times New Roman"/>
          <w:sz w:val="24"/>
          <w:szCs w:val="24"/>
        </w:rPr>
        <w:t> public has to receive training and regular refresher training courses to raise awareness of the</w:t>
      </w:r>
      <w:r>
        <w:rPr>
          <w:rFonts w:cs="Times New Roman" w:hAnsi="Times New Roman" w:eastAsia="Times New Roman" w:ascii="Times New Roman"/>
          <w:sz w:val="24"/>
          <w:szCs w:val="24"/>
        </w:rPr>
        <w:t> needs of PRM.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z w:val="24"/>
          <w:szCs w:val="24"/>
        </w:rPr>
        <w:t>The Recast Rail Passenger Rights Regulation will make for passengers, including PRM easier</w:t>
      </w:r>
      <w:r>
        <w:rPr>
          <w:rFonts w:cs="Times New Roman" w:hAnsi="Times New Roman" w:eastAsia="Times New Roman" w:ascii="Times New Roman"/>
          <w:sz w:val="24"/>
          <w:szCs w:val="24"/>
        </w:rPr>
        <w:t> to  enforce  their  rights  as  passengers:  they  will  be  able  to  submit  their  compensation  and</w:t>
      </w:r>
      <w:r>
        <w:rPr>
          <w:rFonts w:cs="Times New Roman" w:hAnsi="Times New Roman" w:eastAsia="Times New Roman" w:ascii="Times New Roman"/>
          <w:sz w:val="24"/>
          <w:szCs w:val="24"/>
        </w:rPr>
        <w:t> reimbursement request in an EU wide standardised form, which will be also be accessible for</w:t>
      </w:r>
      <w:r>
        <w:rPr>
          <w:rFonts w:cs="Times New Roman" w:hAnsi="Times New Roman" w:eastAsia="Times New Roman" w:ascii="Times New Roman"/>
          <w:sz w:val="24"/>
          <w:szCs w:val="24"/>
        </w:rPr>
        <w:t> PRM.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z w:val="24"/>
          <w:szCs w:val="24"/>
        </w:rPr>
        <w:t>The Recast Rail Passenger Rights Regulation stipulates that information on the accessibility</w:t>
      </w:r>
      <w:r>
        <w:rPr>
          <w:rFonts w:cs="Times New Roman" w:hAnsi="Times New Roman" w:eastAsia="Times New Roman" w:ascii="Times New Roman"/>
          <w:sz w:val="24"/>
          <w:szCs w:val="24"/>
        </w:rPr>
        <w:t> of  stations,  access  conditions  to  rolling  stock  and  available  services  and  facilities  shall  be</w:t>
      </w:r>
      <w:r>
        <w:rPr>
          <w:rFonts w:cs="Times New Roman" w:hAnsi="Times New Roman" w:eastAsia="Times New Roman" w:ascii="Times New Roman"/>
          <w:sz w:val="24"/>
          <w:szCs w:val="24"/>
        </w:rPr>
        <w:t> presented to PRM in an accessible format.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(74) consider the special characteristics and additional constraints of the outermost regions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when formulating and assessing the impact of tourism legislation, in accordance with Article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349  of  the  TFEU,  as  those  regions  rely  heavily  on  tourism  for  their  economic,  social  and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cultural  development;  take  into  consideration  the  climate  and  digital  transition  in  the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outermost regions;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  <w:sectPr>
          <w:pgMar w:header="0" w:footer="98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The  Commission  is  aware  of  the  specificities  of  the  outermost  regions  and  their  specific</w:t>
      </w:r>
      <w:r>
        <w:rPr>
          <w:rFonts w:cs="Times New Roman" w:hAnsi="Times New Roman" w:eastAsia="Times New Roman" w:ascii="Times New Roman"/>
          <w:sz w:val="24"/>
          <w:szCs w:val="24"/>
        </w:rPr>
        <w:t> constraints further aggravated by the COVID-19 crisis. Many outermost regions rely heavily</w:t>
      </w:r>
      <w:r>
        <w:rPr>
          <w:rFonts w:cs="Times New Roman" w:hAnsi="Times New Roman" w:eastAsia="Times New Roman" w:ascii="Times New Roman"/>
          <w:sz w:val="24"/>
          <w:szCs w:val="24"/>
        </w:rPr>
        <w:t> on the tourism sector and are particularly affected by the reduction of air passengers, rising</w:t>
      </w:r>
      <w:r>
        <w:rPr>
          <w:rFonts w:cs="Times New Roman" w:hAnsi="Times New Roman" w:eastAsia="Times New Roman" w:ascii="Times New Roman"/>
          <w:sz w:val="24"/>
          <w:szCs w:val="24"/>
        </w:rPr>
        <w:t> unemployment and decreasing GDP rates. The Corona Response Investment Initiatives (CRII</w:t>
      </w:r>
      <w:r>
        <w:rPr>
          <w:rFonts w:cs="Times New Roman" w:hAnsi="Times New Roman" w:eastAsia="Times New Roman" w:ascii="Times New Roman"/>
          <w:sz w:val="24"/>
          <w:szCs w:val="24"/>
        </w:rPr>
        <w:t> and  CRII+)  have  already  helped  Member  States  by  providing  liquidity  to  sectors  such  as</w:t>
      </w:r>
      <w:r>
        <w:rPr>
          <w:rFonts w:cs="Times New Roman" w:hAnsi="Times New Roman" w:eastAsia="Times New Roman" w:ascii="Times New Roman"/>
          <w:sz w:val="24"/>
          <w:szCs w:val="24"/>
        </w:rPr>
        <w:t> tourism, health and SMEs. The Commission has commissioned a study on the impact of the</w:t>
      </w:r>
      <w:r>
        <w:rPr>
          <w:rFonts w:cs="Times New Roman" w:hAnsi="Times New Roman" w:eastAsia="Times New Roman" w:ascii="Times New Roman"/>
          <w:sz w:val="24"/>
          <w:szCs w:val="24"/>
        </w:rPr>
        <w:t> COVID-19 crisis on the outermost regions and will assess carefully the preliminary findings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6" w:right="72"/>
      </w:pPr>
      <w:r>
        <w:rPr>
          <w:rFonts w:cs="Times New Roman" w:hAnsi="Times New Roman" w:eastAsia="Times New Roman" w:ascii="Times New Roman"/>
          <w:sz w:val="24"/>
          <w:szCs w:val="24"/>
        </w:rPr>
        <w:t>to  be  finalised  in  autumn  2021.  The  Commission  has  enshrined  the  outermost  regions’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specificities in over 20 pieces of legislation for EU financing instruments for the Multiannual</w:t>
      </w:r>
      <w:r>
        <w:rPr>
          <w:rFonts w:cs="Times New Roman" w:hAnsi="Times New Roman" w:eastAsia="Times New Roman" w:ascii="Times New Roman"/>
          <w:sz w:val="24"/>
          <w:szCs w:val="24"/>
        </w:rPr>
        <w:t> Financial Framework (MFF) period 2021-2027, offering unprecedented opportunities for the</w:t>
      </w:r>
      <w:r>
        <w:rPr>
          <w:rFonts w:cs="Times New Roman" w:hAnsi="Times New Roman" w:eastAsia="Times New Roman" w:ascii="Times New Roman"/>
          <w:sz w:val="24"/>
          <w:szCs w:val="24"/>
        </w:rPr>
        <w:t> outermost  regions  to  capitalise  on  their  unique  assets.  The  Commission  will  also  adapt  its</w:t>
      </w:r>
      <w:r>
        <w:rPr>
          <w:rFonts w:cs="Times New Roman" w:hAnsi="Times New Roman" w:eastAsia="Times New Roman" w:ascii="Times New Roman"/>
          <w:sz w:val="24"/>
          <w:szCs w:val="24"/>
        </w:rPr>
        <w:t> strategic approach to the outermost regions with a new Communication due in 2022, taking</w:t>
      </w:r>
      <w:r>
        <w:rPr>
          <w:rFonts w:cs="Times New Roman" w:hAnsi="Times New Roman" w:eastAsia="Times New Roman" w:ascii="Times New Roman"/>
          <w:sz w:val="24"/>
          <w:szCs w:val="24"/>
        </w:rPr>
        <w:t> into account the COVID-19 impact.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i/>
          <w:sz w:val="24"/>
          <w:szCs w:val="24"/>
        </w:rPr>
        <w:t>(75) pay particular attention to mountainous regions, islands and insular regions and rural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areas  and  underlines  the  importance  of  well-structured  institutional  cooperation  with  all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interested  regional  actors,  as  well  as  the  Committee  of  the  Regions;  ensure  mobility  in</w:t>
      </w:r>
      <w:r>
        <w:rPr>
          <w:rFonts w:cs="Times New Roman" w:hAnsi="Times New Roman" w:eastAsia="Times New Roman" w:ascii="Times New Roman"/>
          <w:i/>
          <w:sz w:val="24"/>
          <w:szCs w:val="24"/>
        </w:rPr>
        <w:t> territories suffering from double and triple insularity, given the abrupt decline in supply.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rPr>
          <w:rFonts w:cs="Times New Roman" w:hAnsi="Times New Roman" w:eastAsia="Times New Roman" w:ascii="Times New Roman"/>
          <w:sz w:val="24"/>
          <w:szCs w:val="24"/>
        </w:rPr>
        <w:t>The Commission shares the views of the Parliament and supports the areas listed. Particular</w:t>
      </w:r>
      <w:r>
        <w:rPr>
          <w:rFonts w:cs="Times New Roman" w:hAnsi="Times New Roman" w:eastAsia="Times New Roman" w:ascii="Times New Roman"/>
          <w:sz w:val="24"/>
          <w:szCs w:val="24"/>
        </w:rPr>
        <w:t> importance is devoted to the EU rural areas: they are home to 134 million people and cover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6817"/>
      </w:pPr>
      <w:r>
        <w:rPr>
          <w:rFonts w:cs="Times New Roman" w:hAnsi="Times New Roman" w:eastAsia="Times New Roman" w:ascii="Times New Roman"/>
          <w:sz w:val="24"/>
          <w:szCs w:val="24"/>
        </w:rPr>
        <w:t>84% of the EU territory.</w:t>
      </w:r>
    </w:p>
    <w:sectPr>
      <w:pgMar w:header="0" w:footer="985" w:top="1320" w:bottom="280" w:left="1300" w:right="13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63pt;margin-top:781.665pt;width:14.08pt;height:11.96pt;mso-position-horizontal-relative:page;mso-position-vertical-relative:page;z-index:-4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https://ec.europa.eu/info/strategy/priorities-2019-2024/europe-fit-digital-age/european-industrial-strategy_en" TargetMode="External"/><Relationship Id="rId6" Type="http://schemas.openxmlformats.org/officeDocument/2006/relationships/hyperlink" Target="http://data.europa.eu/eli/reg/2021/953/oj" TargetMode="External"/><Relationship Id="rId7" Type="http://schemas.openxmlformats.org/officeDocument/2006/relationships/hyperlink" Target="https://ec.europa.eu/growth/sectors/tourism/funding-guide_en" TargetMode="External"/><Relationship Id="rId8" Type="http://schemas.openxmlformats.org/officeDocument/2006/relationships/hyperlink" Target="https://ec.europa.eu/info/sites/default/files/swd-annual-single-market-report-2021_en.pdf" TargetMode="External"/><Relationship Id="rId9" Type="http://schemas.openxmlformats.org/officeDocument/2006/relationships/hyperlink" Target="https://ec.europa.eu/info/sites/default/files/communication-industrial-strategy-update-2020_en.pdf" TargetMode="External"/><Relationship Id="rId10" Type="http://schemas.openxmlformats.org/officeDocument/2006/relationships/hyperlink" Target="https://ec.europa.eu/docsroom/documents/45977" TargetMode="External"/><Relationship Id="rId11" Type="http://schemas.openxmlformats.org/officeDocument/2006/relationships/hyperlink" Target="https://ec.europa.eu/eusurvey/runner/TourismTransitionPathway" TargetMode="External"/><Relationship Id="rId12" Type="http://schemas.openxmlformats.org/officeDocument/2006/relationships/hyperlink" Target="https://ec.europa.eu/eusurvey/runner/TourismTransitionPathway" TargetMode="External"/><Relationship Id="rId13" Type="http://schemas.openxmlformats.org/officeDocument/2006/relationships/hyperlink" Target="https://ec.europa.eu/eusurvey/runner/TourismTransitionPathway" TargetMode="External"/><Relationship Id="rId14" Type="http://schemas.openxmlformats.org/officeDocument/2006/relationships/hyperlink" Target="https://webgate.ec.europa.eu/fpfis/cms/farnet2/on-the-ground_en" TargetMode="External"/><Relationship Id="rId15" Type="http://schemas.openxmlformats.org/officeDocument/2006/relationships/hyperlink" Target="https://webgate.ec.europa.eu/fpfis/cms/farnet2/on-the-ground/good-practice/projects/salina-greens-farming-organic-salicornia-abandoned-salt-marshes_en" TargetMode="External"/><Relationship Id="rId16" Type="http://schemas.openxmlformats.org/officeDocument/2006/relationships/hyperlink" Target="https://webgate.ec.europa.eu/fpfis/cms/farnet2/on-the-ground/good-practice/projects/salina-greens-farming-organic-salicornia-abandoned-salt-marshes_en" TargetMode="External"/><Relationship Id="rId17" Type="http://schemas.openxmlformats.org/officeDocument/2006/relationships/hyperlink" Target="https://ec.europa.eu/competition/elojade/isef/index.cfm?fuseaction=dsp_result&amp;policy_area_id=3" TargetMode="External"/><Relationship Id="rId18" Type="http://schemas.openxmlformats.org/officeDocument/2006/relationships/hyperlink" Target="https://ec.europa.eu/competition/elojade/isef/index.cfm?fuseaction=dsp_result&amp;policy_area_id=3" TargetMode="External"/><Relationship Id="rId19" Type="http://schemas.openxmlformats.org/officeDocument/2006/relationships/hyperlink" Target="https://ec.europa.eu/competition/elojade/isef/index.cfm?fuseaction=dsp_result&amp;policy_area_id=3" TargetMode="External"/><Relationship Id="rId20" Type="http://schemas.openxmlformats.org/officeDocument/2006/relationships/hyperlink" Target="https://ec.europa.eu/info/sites/info/files/economy-finance/com2021_148_en_act_part1_v6.pdf" TargetMode="External"/><Relationship Id="rId21" Type="http://schemas.openxmlformats.org/officeDocument/2006/relationships/hyperlink" Target="https://ec.europa.eu/info/sites/info/files/economy-finance/com2021_148_en_act_part1_v6.pdf" TargetMode="External"/><Relationship Id="rId22" Type="http://schemas.openxmlformats.org/officeDocument/2006/relationships/hyperlink" Target="https://ec.europa.eu/docsroom/documents/43845" TargetMode="External"/><Relationship Id="rId23" Type="http://schemas.openxmlformats.org/officeDocument/2006/relationships/hyperlink" Target="https://ec.europa.eu/info/law/better-regulation/have-your-say/initiatives/12778-Geographical-indication-protection-at-EU-level-for-non-agricultural-products/F1414138" TargetMode="External"/><Relationship Id="rId24" Type="http://schemas.openxmlformats.org/officeDocument/2006/relationships/hyperlink" Target="https://ec.europa.eu/info/law/better-regulation/have-your-say/initiatives/12778-Geographical-indication-protection-at-EU-level-for-non-agricultural-products/F1414138" TargetMode="External"/><Relationship Id="rId25" Type="http://schemas.openxmlformats.org/officeDocument/2006/relationships/hyperlink" Target="https://ec.europa.eu/info/law/better-regulation/have-your-say/initiatives/12778-Geographical-indication-protection-at-EU-level-for-non-agricultural-products/public-consultation_en" TargetMode="External"/><Relationship Id="rId26" Type="http://schemas.openxmlformats.org/officeDocument/2006/relationships/hyperlink" Target="https://ec.europa.eu/competition/elojade/isef/case_details.cfm?proc_code=3_SA_60521" TargetMode="External"/><Relationship Id="rId27" Type="http://schemas.openxmlformats.org/officeDocument/2006/relationships/hyperlink" Target="https://oeil.secure.europarl.europa.eu/oeil/popups/ficheprocedure.do?lang=en&amp;reference=2019/2854(RSP)" TargetMode="External"/><Relationship Id="rId28" Type="http://schemas.openxmlformats.org/officeDocument/2006/relationships/hyperlink" Target="https://www.europarl.europa.eu/doceo/document/B-9-2019-0120_EN.pdf" TargetMode="External"/><Relationship Id="rId29" Type="http://schemas.openxmlformats.org/officeDocument/2006/relationships/hyperlink" Target="https://www.europarl.europa.eu/doceo/document/B-9-2019-0120_EN.pdf" TargetMode="External"/><Relationship Id="rId30" Type="http://schemas.openxmlformats.org/officeDocument/2006/relationships/hyperlink" Target="https://a4e.eu/wp-content/uploads/aviation-round-table-report-16-11-2020.pdf" TargetMode="External"/><Relationship Id="rId31" Type="http://schemas.openxmlformats.org/officeDocument/2006/relationships/hyperlink" Target="https://ec.europa.eu/growth/sectors/tourism/support-business_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