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B5" w:rsidRPr="00376FB5" w:rsidRDefault="00376FB5" w:rsidP="00376FB5">
      <w:pPr>
        <w:spacing w:after="600" w:line="240" w:lineRule="auto"/>
        <w:jc w:val="center"/>
        <w:rPr>
          <w:rFonts w:eastAsia="Times New Roman" w:cs="Times New Roman"/>
          <w:b/>
          <w:bCs/>
          <w:szCs w:val="24"/>
          <w:lang w:eastAsia="en-GB"/>
        </w:rPr>
      </w:pPr>
      <w:bookmarkStart w:id="0" w:name="cohesion"/>
      <w:r w:rsidRPr="00376FB5">
        <w:rPr>
          <w:rFonts w:eastAsia="Times New Roman" w:cs="Times New Roman"/>
          <w:b/>
          <w:bCs/>
          <w:szCs w:val="24"/>
          <w:lang w:eastAsia="en-GB"/>
        </w:rPr>
        <w:t xml:space="preserve">Follow up to the </w:t>
      </w:r>
      <w:r w:rsidRPr="00376FB5">
        <w:rPr>
          <w:rFonts w:eastAsia="Times New Roman" w:cs="Times New Roman"/>
          <w:b/>
          <w:szCs w:val="24"/>
          <w:lang w:eastAsia="en-GB"/>
        </w:rPr>
        <w:t>European Parliament non-legislative resolution</w:t>
      </w:r>
      <w:r w:rsidRPr="00376FB5">
        <w:rPr>
          <w:rFonts w:eastAsia="Times New Roman" w:cs="Times New Roman"/>
          <w:b/>
          <w:noProof/>
          <w:szCs w:val="24"/>
          <w:lang w:eastAsia="en-GB"/>
        </w:rPr>
        <w:t xml:space="preserve"> </w:t>
      </w:r>
      <w:r w:rsidRPr="00376FB5">
        <w:rPr>
          <w:rFonts w:eastAsia="Times New Roman" w:cs="Times New Roman"/>
          <w:b/>
          <w:bCs/>
          <w:szCs w:val="24"/>
          <w:shd w:val="clear" w:color="auto" w:fill="FFFFFF"/>
          <w:lang w:eastAsia="en-GB"/>
        </w:rPr>
        <w:t>on cohesion policy and regional environment strategies in the fight against climate change</w:t>
      </w:r>
      <w:bookmarkEnd w:id="0"/>
    </w:p>
    <w:p w:rsidR="00376FB5" w:rsidRPr="00376FB5" w:rsidRDefault="00376FB5" w:rsidP="00376FB5">
      <w:pPr>
        <w:numPr>
          <w:ilvl w:val="0"/>
          <w:numId w:val="1"/>
        </w:numPr>
        <w:spacing w:after="240" w:line="240" w:lineRule="auto"/>
        <w:ind w:left="567" w:hanging="567"/>
        <w:jc w:val="both"/>
        <w:rPr>
          <w:rFonts w:eastAsia="Times New Roman" w:cs="Times New Roman"/>
          <w:b/>
          <w:bCs/>
          <w:szCs w:val="24"/>
          <w:lang w:eastAsia="en-GB"/>
        </w:rPr>
      </w:pPr>
      <w:r w:rsidRPr="00376FB5">
        <w:rPr>
          <w:rFonts w:eastAsia="Times New Roman" w:cs="Times New Roman"/>
          <w:b/>
          <w:bCs/>
          <w:szCs w:val="24"/>
          <w:lang w:val="fr-BE" w:eastAsia="en-GB"/>
        </w:rPr>
        <w:t>Rapporteur:</w:t>
      </w:r>
      <w:r w:rsidRPr="00376FB5">
        <w:rPr>
          <w:rFonts w:eastAsia="Times New Roman" w:cs="Times New Roman"/>
          <w:bCs/>
          <w:szCs w:val="24"/>
          <w:lang w:val="fr-BE" w:eastAsia="en-GB"/>
        </w:rPr>
        <w:t xml:space="preserve"> </w:t>
      </w:r>
      <w:r w:rsidRPr="00376FB5">
        <w:rPr>
          <w:rFonts w:eastAsia="Times New Roman" w:cs="Times New Roman"/>
          <w:bCs/>
          <w:szCs w:val="24"/>
          <w:lang w:eastAsia="en-GB"/>
        </w:rPr>
        <w:t>Tonino PICULA (S&amp;D / HR)</w:t>
      </w:r>
    </w:p>
    <w:p w:rsidR="00376FB5" w:rsidRPr="00376FB5" w:rsidRDefault="00376FB5" w:rsidP="00376FB5">
      <w:pPr>
        <w:numPr>
          <w:ilvl w:val="0"/>
          <w:numId w:val="1"/>
        </w:numPr>
        <w:spacing w:after="240" w:line="240" w:lineRule="auto"/>
        <w:ind w:left="567" w:hanging="567"/>
        <w:jc w:val="both"/>
        <w:rPr>
          <w:rFonts w:eastAsia="Times New Roman" w:cs="Times New Roman"/>
          <w:i/>
          <w:iCs/>
          <w:szCs w:val="24"/>
          <w:lang w:eastAsia="en-GB"/>
        </w:rPr>
      </w:pPr>
      <w:r w:rsidRPr="00376FB5">
        <w:rPr>
          <w:rFonts w:eastAsia="Times New Roman" w:cs="Times New Roman"/>
          <w:b/>
          <w:bCs/>
          <w:szCs w:val="24"/>
          <w:lang w:eastAsia="en-GB"/>
        </w:rPr>
        <w:t xml:space="preserve">Reference numbers: </w:t>
      </w:r>
      <w:r w:rsidRPr="00376FB5">
        <w:rPr>
          <w:rFonts w:eastAsia="Times New Roman" w:cs="Times New Roman"/>
          <w:szCs w:val="24"/>
          <w:lang w:eastAsia="en-GB"/>
        </w:rPr>
        <w:t>2020/2074 (INI) / B9-0034/2021 / P9_TA-PROV(2021)0097</w:t>
      </w:r>
    </w:p>
    <w:p w:rsidR="00376FB5" w:rsidRPr="00376FB5" w:rsidRDefault="00376FB5" w:rsidP="00376FB5">
      <w:pPr>
        <w:numPr>
          <w:ilvl w:val="0"/>
          <w:numId w:val="1"/>
        </w:numPr>
        <w:spacing w:after="240" w:line="240" w:lineRule="auto"/>
        <w:ind w:left="567" w:hanging="567"/>
        <w:jc w:val="both"/>
        <w:rPr>
          <w:rFonts w:eastAsia="Times New Roman" w:cs="Times New Roman"/>
          <w:szCs w:val="24"/>
          <w:lang w:eastAsia="en-GB"/>
        </w:rPr>
      </w:pPr>
      <w:r w:rsidRPr="00376FB5">
        <w:rPr>
          <w:rFonts w:eastAsia="Times New Roman" w:cs="Times New Roman"/>
          <w:b/>
          <w:bCs/>
          <w:szCs w:val="24"/>
          <w:lang w:eastAsia="en-GB"/>
        </w:rPr>
        <w:t xml:space="preserve">Date of adoption of the resolution: </w:t>
      </w:r>
      <w:r w:rsidRPr="00376FB5">
        <w:rPr>
          <w:rFonts w:eastAsia="Times New Roman" w:cs="Times New Roman"/>
          <w:szCs w:val="24"/>
          <w:lang w:eastAsia="en-GB"/>
        </w:rPr>
        <w:t>25 March 2021</w:t>
      </w:r>
    </w:p>
    <w:p w:rsidR="00376FB5" w:rsidRPr="00376FB5" w:rsidRDefault="00376FB5" w:rsidP="00376FB5">
      <w:pPr>
        <w:numPr>
          <w:ilvl w:val="0"/>
          <w:numId w:val="1"/>
        </w:numPr>
        <w:spacing w:after="240" w:line="240" w:lineRule="auto"/>
        <w:ind w:left="567" w:hanging="567"/>
        <w:jc w:val="both"/>
        <w:rPr>
          <w:rFonts w:eastAsia="Times New Roman" w:cs="Times New Roman"/>
          <w:i/>
          <w:iCs/>
          <w:szCs w:val="24"/>
          <w:lang w:eastAsia="en-GB"/>
        </w:rPr>
      </w:pPr>
      <w:r w:rsidRPr="00376FB5">
        <w:rPr>
          <w:rFonts w:eastAsia="Times New Roman" w:cs="Times New Roman"/>
          <w:b/>
          <w:bCs/>
          <w:szCs w:val="24"/>
          <w:lang w:eastAsia="en-GB"/>
        </w:rPr>
        <w:t xml:space="preserve">Competent Parliamentary Committee: </w:t>
      </w:r>
      <w:r w:rsidRPr="00376FB5">
        <w:rPr>
          <w:rFonts w:eastAsia="Times New Roman" w:cs="Times New Roman"/>
          <w:szCs w:val="24"/>
          <w:lang w:eastAsia="en-GB"/>
        </w:rPr>
        <w:t>Committee on Regional Development (</w:t>
      </w:r>
      <w:proofErr w:type="spellStart"/>
      <w:r w:rsidRPr="00376FB5">
        <w:rPr>
          <w:rFonts w:eastAsia="Times New Roman" w:cs="Times New Roman"/>
          <w:szCs w:val="24"/>
          <w:lang w:eastAsia="en-GB"/>
        </w:rPr>
        <w:t>REGI</w:t>
      </w:r>
      <w:proofErr w:type="spellEnd"/>
      <w:r w:rsidRPr="00376FB5">
        <w:rPr>
          <w:rFonts w:eastAsia="Times New Roman" w:cs="Times New Roman"/>
          <w:szCs w:val="24"/>
          <w:lang w:eastAsia="en-GB"/>
        </w:rPr>
        <w:t>)</w:t>
      </w:r>
    </w:p>
    <w:p w:rsidR="00376FB5" w:rsidRPr="00376FB5" w:rsidRDefault="00376FB5" w:rsidP="00376FB5">
      <w:pPr>
        <w:widowControl w:val="0"/>
        <w:numPr>
          <w:ilvl w:val="0"/>
          <w:numId w:val="1"/>
        </w:numPr>
        <w:spacing w:after="240" w:line="240" w:lineRule="auto"/>
        <w:ind w:left="567" w:hanging="567"/>
        <w:jc w:val="both"/>
        <w:rPr>
          <w:rFonts w:eastAsia="Times New Roman" w:cs="Times New Roman"/>
          <w:szCs w:val="24"/>
          <w:lang w:eastAsia="en-GB"/>
        </w:rPr>
      </w:pPr>
      <w:r w:rsidRPr="00376FB5">
        <w:rPr>
          <w:rFonts w:eastAsia="Times New Roman" w:cs="Times New Roman"/>
          <w:b/>
          <w:bCs/>
          <w:szCs w:val="24"/>
          <w:lang w:eastAsia="en-GB"/>
        </w:rPr>
        <w:t>Brief analysis/ assessment of the resolution and requests made in it:</w:t>
      </w:r>
    </w:p>
    <w:p w:rsidR="00376FB5" w:rsidRPr="00376FB5" w:rsidRDefault="00376FB5" w:rsidP="00376FB5">
      <w:pPr>
        <w:widowControl w:val="0"/>
        <w:spacing w:after="120" w:line="240" w:lineRule="auto"/>
        <w:jc w:val="both"/>
        <w:rPr>
          <w:rFonts w:eastAsia="Times New Roman" w:cs="Times New Roman"/>
          <w:szCs w:val="24"/>
          <w:lang w:eastAsia="en-GB"/>
        </w:rPr>
      </w:pPr>
      <w:r w:rsidRPr="00376FB5">
        <w:rPr>
          <w:rFonts w:eastAsia="Times New Roman" w:cs="Times New Roman"/>
          <w:szCs w:val="24"/>
          <w:lang w:eastAsia="en-GB"/>
        </w:rPr>
        <w:t>The European Parliament’s resolution underlines the importance of tackling climate change in line with the Union’s commitments undertaken under the European Green Deal, taking into consideration social, economic and territorial aspects to ensure a just transition (paragraph 1).</w:t>
      </w:r>
    </w:p>
    <w:p w:rsidR="00376FB5" w:rsidRPr="00376FB5" w:rsidRDefault="00376FB5" w:rsidP="00376FB5">
      <w:pPr>
        <w:widowControl w:val="0"/>
        <w:spacing w:after="120" w:line="240" w:lineRule="auto"/>
        <w:jc w:val="both"/>
        <w:rPr>
          <w:rFonts w:eastAsia="Times New Roman" w:cs="Times New Roman"/>
          <w:szCs w:val="24"/>
          <w:lang w:eastAsia="en-GB"/>
        </w:rPr>
      </w:pPr>
      <w:r w:rsidRPr="00376FB5">
        <w:rPr>
          <w:rFonts w:eastAsia="Times New Roman" w:cs="Times New Roman"/>
          <w:szCs w:val="24"/>
          <w:lang w:eastAsia="en-GB"/>
        </w:rPr>
        <w:t>The European Parliament believes that regional environment strategies should boost cooperation between the regions, also through cross-border projects, and calls on the Commission to provide support and facilitate cooperation between regions and the exchange of expertise and best practices (paragraph 13).</w:t>
      </w:r>
    </w:p>
    <w:p w:rsidR="00376FB5" w:rsidRPr="00376FB5" w:rsidRDefault="00376FB5" w:rsidP="00376FB5">
      <w:pPr>
        <w:widowControl w:val="0"/>
        <w:spacing w:after="120" w:line="240" w:lineRule="auto"/>
        <w:jc w:val="both"/>
        <w:rPr>
          <w:rFonts w:eastAsia="Times New Roman" w:cs="Times New Roman"/>
          <w:szCs w:val="24"/>
          <w:lang w:eastAsia="en-GB"/>
        </w:rPr>
      </w:pPr>
      <w:r w:rsidRPr="00376FB5">
        <w:rPr>
          <w:rFonts w:eastAsia="Times New Roman" w:cs="Times New Roman"/>
          <w:szCs w:val="24"/>
          <w:lang w:eastAsia="en-GB"/>
        </w:rPr>
        <w:t>The European Parliament calls on the Commission to monitor and publish reports about the progress of national governments and local and regional authorities in addressing climate change (paragraph 22).</w:t>
      </w:r>
    </w:p>
    <w:p w:rsidR="00376FB5" w:rsidRPr="00376FB5" w:rsidRDefault="00376FB5" w:rsidP="00376FB5">
      <w:pPr>
        <w:widowControl w:val="0"/>
        <w:spacing w:after="120" w:line="240" w:lineRule="auto"/>
        <w:jc w:val="both"/>
        <w:rPr>
          <w:rFonts w:eastAsia="Times New Roman" w:cs="Times New Roman"/>
          <w:szCs w:val="24"/>
          <w:lang w:eastAsia="en-GB"/>
        </w:rPr>
      </w:pPr>
      <w:r w:rsidRPr="00376FB5">
        <w:rPr>
          <w:rFonts w:eastAsia="Times New Roman" w:cs="Times New Roman"/>
          <w:szCs w:val="24"/>
          <w:lang w:eastAsia="en-GB"/>
        </w:rPr>
        <w:t>The European Parliament highlights the need to ensure a functional transition from the 2014-2020 to the 2021-2027 programming periods. It calls on the Commission, in this regard, to produce user-friendly guidelines to give regional and local governments the opportunity to acknowledge and capitalise on consolidated best practices on energy transition and the decarbonisation of economies (paragraph 32).</w:t>
      </w:r>
    </w:p>
    <w:p w:rsidR="00376FB5" w:rsidRPr="00376FB5" w:rsidRDefault="00376FB5" w:rsidP="00376FB5">
      <w:pPr>
        <w:widowControl w:val="0"/>
        <w:spacing w:after="120" w:line="240" w:lineRule="auto"/>
        <w:jc w:val="both"/>
        <w:rPr>
          <w:rFonts w:eastAsia="Times New Roman" w:cs="Times New Roman"/>
          <w:szCs w:val="24"/>
          <w:lang w:eastAsia="en-GB"/>
        </w:rPr>
      </w:pPr>
      <w:r w:rsidRPr="00376FB5">
        <w:rPr>
          <w:rFonts w:eastAsia="Times New Roman" w:cs="Times New Roman"/>
          <w:szCs w:val="24"/>
          <w:lang w:eastAsia="en-GB"/>
        </w:rPr>
        <w:t>The European Parliament invites the Commission to benchmark draft-spending plans against highest possible climate ambition (paragraph 43). It also stresses the importance of the proposal set out by the Commission in the EU Biodiversity Strategy for 2030 for cities to prepare urban greening plans (paragraph 44).</w:t>
      </w:r>
    </w:p>
    <w:p w:rsidR="00376FB5" w:rsidRPr="00376FB5" w:rsidRDefault="00376FB5" w:rsidP="00376FB5">
      <w:pPr>
        <w:widowControl w:val="0"/>
        <w:numPr>
          <w:ilvl w:val="0"/>
          <w:numId w:val="1"/>
        </w:numPr>
        <w:spacing w:after="240" w:line="276" w:lineRule="auto"/>
        <w:ind w:left="567" w:hanging="567"/>
        <w:contextualSpacing/>
        <w:jc w:val="both"/>
        <w:rPr>
          <w:rFonts w:eastAsia="Calibri" w:cs="Times New Roman"/>
          <w:b/>
          <w:bCs/>
          <w:i/>
          <w:iCs/>
          <w:szCs w:val="24"/>
        </w:rPr>
      </w:pPr>
      <w:r w:rsidRPr="00376FB5">
        <w:rPr>
          <w:rFonts w:eastAsia="Calibri" w:cs="Times New Roman"/>
          <w:b/>
          <w:bCs/>
          <w:szCs w:val="24"/>
        </w:rPr>
        <w:t>Response to the requests and overview of the action taken, or intended to be taken, by the Commission:</w:t>
      </w:r>
    </w:p>
    <w:p w:rsidR="00B035F8" w:rsidRDefault="00376FB5" w:rsidP="00376FB5">
      <w:pPr>
        <w:widowControl w:val="0"/>
        <w:spacing w:after="120" w:line="240" w:lineRule="auto"/>
        <w:jc w:val="both"/>
        <w:rPr>
          <w:rFonts w:eastAsia="Times New Roman" w:cs="Times New Roman"/>
          <w:szCs w:val="24"/>
          <w:lang w:val="en-US" w:eastAsia="en-GB"/>
        </w:rPr>
      </w:pPr>
      <w:r w:rsidRPr="00376FB5">
        <w:rPr>
          <w:rFonts w:eastAsia="Times New Roman" w:cs="Times New Roman"/>
          <w:szCs w:val="24"/>
          <w:lang w:eastAsia="en-GB"/>
        </w:rPr>
        <w:t>On paragraph 13, the Commission shares the European Parliament’s view that cooperation between regions and the exchange of expertise and best practices is an important element in advancing the transition to a climate-neutral EU. In this regard, the Commission already strives to facilitate such cooperation. Notably, the Energy and Managing Authorities (EMA) network serves as an informal platform to exchange information, share good practices, experiences and the latest implementation and policy developments. It aims at supporting Managing Authorities to make the best possible use of cohesion policy funds to advance with the energy transition. Additionally, the European Network of Environmental Authorities - Managing Authorities (ENEA-MA) provides a forum for the exchange of the experience among Environmental Authorities and Managing Authorities in integrating environmental aspects into cohesion policy programmes and projects. The Commission has also set up a Just Transition Platform</w:t>
      </w:r>
      <w:r w:rsidRPr="00376FB5">
        <w:rPr>
          <w:rFonts w:eastAsia="Times New Roman" w:cs="Times New Roman"/>
          <w:szCs w:val="24"/>
          <w:lang w:val="en-US" w:eastAsia="en-GB"/>
        </w:rPr>
        <w:t xml:space="preserve"> to assist EU countries and regions to unlock the support available </w:t>
      </w:r>
      <w:r w:rsidR="00B035F8">
        <w:rPr>
          <w:rFonts w:eastAsia="Times New Roman" w:cs="Times New Roman"/>
          <w:szCs w:val="24"/>
          <w:lang w:val="en-US" w:eastAsia="en-GB"/>
        </w:rPr>
        <w:br/>
      </w:r>
    </w:p>
    <w:p w:rsidR="00376FB5" w:rsidRPr="00376FB5" w:rsidRDefault="00B035F8" w:rsidP="00B035F8">
      <w:pPr>
        <w:rPr>
          <w:rFonts w:eastAsia="Times New Roman" w:cs="Times New Roman"/>
          <w:szCs w:val="24"/>
          <w:lang w:val="en-US" w:eastAsia="en-GB"/>
        </w:rPr>
      </w:pPr>
      <w:r>
        <w:rPr>
          <w:rFonts w:eastAsia="Times New Roman" w:cs="Times New Roman"/>
          <w:szCs w:val="24"/>
          <w:lang w:val="en-US" w:eastAsia="en-GB"/>
        </w:rPr>
        <w:br w:type="page"/>
      </w:r>
      <w:proofErr w:type="gramStart"/>
      <w:r w:rsidR="00376FB5" w:rsidRPr="00376FB5">
        <w:rPr>
          <w:rFonts w:eastAsia="Times New Roman" w:cs="Times New Roman"/>
          <w:szCs w:val="24"/>
          <w:lang w:val="en-US" w:eastAsia="en-GB"/>
        </w:rPr>
        <w:lastRenderedPageBreak/>
        <w:t>through</w:t>
      </w:r>
      <w:proofErr w:type="gramEnd"/>
      <w:r w:rsidR="00376FB5" w:rsidRPr="00376FB5">
        <w:rPr>
          <w:rFonts w:eastAsia="Times New Roman" w:cs="Times New Roman"/>
          <w:szCs w:val="24"/>
          <w:lang w:val="en-US" w:eastAsia="en-GB"/>
        </w:rPr>
        <w:t xml:space="preserve"> the Just Transition Mechanism, by providing access to knowledge, offering technical and advisory support as well as facilitating exchange of information and good practices.</w:t>
      </w:r>
    </w:p>
    <w:p w:rsidR="00376FB5" w:rsidRPr="00376FB5" w:rsidRDefault="00376FB5" w:rsidP="00376FB5">
      <w:pPr>
        <w:widowControl w:val="0"/>
        <w:spacing w:after="120" w:line="240" w:lineRule="auto"/>
        <w:jc w:val="both"/>
        <w:rPr>
          <w:rFonts w:eastAsia="Times New Roman" w:cs="Times New Roman"/>
          <w:szCs w:val="24"/>
          <w:lang w:eastAsia="en-GB"/>
        </w:rPr>
      </w:pPr>
      <w:r w:rsidRPr="00376FB5">
        <w:rPr>
          <w:rFonts w:eastAsia="Times New Roman" w:cs="Times New Roman"/>
          <w:szCs w:val="24"/>
          <w:lang w:val="en-US" w:eastAsia="en-GB"/>
        </w:rPr>
        <w:t xml:space="preserve">The Commission contributes to the preparation and the implementation of the EU macro-regional strategies and the Interreg </w:t>
      </w:r>
      <w:proofErr w:type="spellStart"/>
      <w:r w:rsidRPr="00376FB5">
        <w:rPr>
          <w:rFonts w:eastAsia="Times New Roman" w:cs="Times New Roman"/>
          <w:szCs w:val="24"/>
          <w:lang w:val="en-US" w:eastAsia="en-GB"/>
        </w:rPr>
        <w:t>programmes</w:t>
      </w:r>
      <w:proofErr w:type="spellEnd"/>
      <w:r w:rsidRPr="00376FB5">
        <w:rPr>
          <w:rFonts w:eastAsia="Times New Roman" w:cs="Times New Roman"/>
          <w:szCs w:val="24"/>
          <w:lang w:val="en-US" w:eastAsia="en-GB"/>
        </w:rPr>
        <w:t xml:space="preserve">, which are two key EU cohesion policy tools for strengthening territorial cooperation between the Member States </w:t>
      </w:r>
      <w:proofErr w:type="gramStart"/>
      <w:r w:rsidRPr="00376FB5">
        <w:rPr>
          <w:rFonts w:eastAsia="Times New Roman" w:cs="Times New Roman"/>
          <w:szCs w:val="24"/>
          <w:lang w:val="en-US" w:eastAsia="en-GB"/>
        </w:rPr>
        <w:t>and also</w:t>
      </w:r>
      <w:proofErr w:type="gramEnd"/>
      <w:r w:rsidRPr="00376FB5">
        <w:rPr>
          <w:rFonts w:eastAsia="Times New Roman" w:cs="Times New Roman"/>
          <w:szCs w:val="24"/>
          <w:lang w:val="en-US" w:eastAsia="en-GB"/>
        </w:rPr>
        <w:t xml:space="preserve"> between them and non-EU countries. The EU macro-regional strategies have proved to be an important platform for coordination and </w:t>
      </w:r>
      <w:r w:rsidRPr="00376FB5">
        <w:rPr>
          <w:rFonts w:eastAsia="Times New Roman" w:cs="Times New Roman"/>
          <w:szCs w:val="24"/>
          <w:lang w:eastAsia="en-GB"/>
        </w:rPr>
        <w:t>cooperation in the field of climate action and, as stated in the third report on the implementation of EU macro-regional strategies (COM(2020) 578 final), are highly relevant in delivering the EU priorities for 2019-2024 in their respective territories, in particular the European Green Deal. Moreover, the Interreg programmes, covering cross-border, transnational and interregional cooperation, provide a framework for joint action, in order to find common solutions to shared challenges, such as the fight against climate change. They promote exchanges of experience, and facilitate acting together. As in the past, also in the programming period 2021-2027 Interreg will continue to put a strong emphasis on supporting the achievement of the climate objectives and the transition towards a greener, climate neutral and resilient Europe.</w:t>
      </w:r>
    </w:p>
    <w:p w:rsidR="00376FB5" w:rsidRPr="00376FB5" w:rsidRDefault="00376FB5" w:rsidP="00376FB5">
      <w:pPr>
        <w:widowControl w:val="0"/>
        <w:spacing w:after="120" w:line="240" w:lineRule="auto"/>
        <w:jc w:val="both"/>
        <w:rPr>
          <w:rFonts w:eastAsia="Times New Roman" w:cs="Times New Roman"/>
          <w:szCs w:val="24"/>
          <w:lang w:eastAsia="en-GB"/>
        </w:rPr>
      </w:pPr>
      <w:r w:rsidRPr="00376FB5">
        <w:rPr>
          <w:rFonts w:eastAsia="Times New Roman" w:cs="Times New Roman"/>
          <w:szCs w:val="24"/>
          <w:lang w:eastAsia="en-GB"/>
        </w:rPr>
        <w:t>The European Covenant</w:t>
      </w:r>
      <w:r w:rsidRPr="00376FB5">
        <w:rPr>
          <w:rFonts w:eastAsia="Times New Roman" w:cs="Times New Roman"/>
          <w:szCs w:val="24"/>
          <w:vertAlign w:val="superscript"/>
          <w:lang w:eastAsia="en-GB"/>
        </w:rPr>
        <w:footnoteReference w:id="1"/>
      </w:r>
      <w:r w:rsidRPr="00376FB5">
        <w:rPr>
          <w:rFonts w:eastAsia="Times New Roman" w:cs="Times New Roman"/>
          <w:szCs w:val="24"/>
          <w:lang w:eastAsia="en-GB"/>
        </w:rPr>
        <w:t xml:space="preserve"> of Mayors for Climate &amp; Energy is a resource for local climate and energy actions. The European Climate Adaptation Platform Climate-ADAPT</w:t>
      </w:r>
      <w:r w:rsidRPr="00376FB5">
        <w:rPr>
          <w:rFonts w:eastAsia="Times New Roman" w:cs="Times New Roman"/>
          <w:szCs w:val="24"/>
          <w:vertAlign w:val="superscript"/>
          <w:lang w:eastAsia="en-GB"/>
        </w:rPr>
        <w:footnoteReference w:id="2"/>
      </w:r>
      <w:r w:rsidRPr="00376FB5">
        <w:rPr>
          <w:rFonts w:eastAsia="Times New Roman" w:cs="Times New Roman"/>
          <w:szCs w:val="24"/>
          <w:lang w:eastAsia="en-GB"/>
        </w:rPr>
        <w:t xml:space="preserve"> aims to support Europe in adapting to climate change by helping users to access and share data and information. The European Climate Pact</w:t>
      </w:r>
      <w:r w:rsidRPr="00376FB5">
        <w:rPr>
          <w:rFonts w:eastAsia="Times New Roman" w:cs="Times New Roman"/>
          <w:szCs w:val="24"/>
          <w:vertAlign w:val="superscript"/>
          <w:lang w:eastAsia="en-GB"/>
        </w:rPr>
        <w:footnoteReference w:id="3"/>
      </w:r>
      <w:r w:rsidRPr="00376FB5">
        <w:rPr>
          <w:rFonts w:eastAsia="Times New Roman" w:cs="Times New Roman"/>
          <w:szCs w:val="24"/>
          <w:lang w:eastAsia="en-GB"/>
        </w:rPr>
        <w:t>, which is an initiative of the European Green Deal, is an opportunity for people, communities and organisations to participate in climate action across Europe.</w:t>
      </w:r>
    </w:p>
    <w:p w:rsidR="00376FB5" w:rsidRPr="00376FB5" w:rsidRDefault="00376FB5" w:rsidP="00376FB5">
      <w:pPr>
        <w:spacing w:after="120" w:line="240" w:lineRule="auto"/>
        <w:jc w:val="both"/>
        <w:rPr>
          <w:rFonts w:eastAsia="Times New Roman" w:cs="Times New Roman"/>
          <w:szCs w:val="24"/>
          <w:lang w:eastAsia="en-GB"/>
        </w:rPr>
      </w:pPr>
      <w:r w:rsidRPr="00376FB5">
        <w:rPr>
          <w:rFonts w:eastAsia="Times New Roman" w:cs="Times New Roman"/>
          <w:szCs w:val="24"/>
          <w:lang w:eastAsia="en-GB"/>
        </w:rPr>
        <w:t xml:space="preserve">On paragraph 22, concerning monitoring, cohesion policy has one of the most robust systems of objective setting, monitoring and </w:t>
      </w:r>
      <w:hyperlink r:id="rId7" w:history="1">
        <w:r w:rsidRPr="00376FB5">
          <w:rPr>
            <w:rFonts w:eastAsia="Times New Roman" w:cs="Times New Roman"/>
            <w:szCs w:val="24"/>
            <w:lang w:eastAsia="en-GB"/>
          </w:rPr>
          <w:t>evaluation</w:t>
        </w:r>
      </w:hyperlink>
      <w:r w:rsidRPr="00376FB5">
        <w:rPr>
          <w:rFonts w:eastAsia="Times New Roman" w:cs="Times New Roman"/>
          <w:szCs w:val="24"/>
          <w:lang w:eastAsia="en-GB"/>
        </w:rPr>
        <w:t xml:space="preserve">. For the 2014-2020 period, the Commission developed the </w:t>
      </w:r>
      <w:proofErr w:type="spellStart"/>
      <w:r w:rsidRPr="00376FB5">
        <w:rPr>
          <w:rFonts w:eastAsia="Times New Roman" w:cs="Times New Roman"/>
          <w:szCs w:val="24"/>
          <w:lang w:eastAsia="en-GB"/>
        </w:rPr>
        <w:t>ESIF</w:t>
      </w:r>
      <w:proofErr w:type="spellEnd"/>
      <w:r w:rsidRPr="00376FB5">
        <w:rPr>
          <w:rFonts w:eastAsia="Times New Roman" w:cs="Times New Roman"/>
          <w:szCs w:val="24"/>
          <w:lang w:eastAsia="en-GB"/>
        </w:rPr>
        <w:t xml:space="preserve"> Open Data </w:t>
      </w:r>
      <w:hyperlink r:id="rId8" w:history="1">
        <w:r w:rsidRPr="00376FB5">
          <w:rPr>
            <w:rFonts w:eastAsia="Times New Roman" w:cs="Times New Roman"/>
            <w:color w:val="0000FF"/>
            <w:szCs w:val="24"/>
            <w:u w:val="single"/>
            <w:lang w:eastAsia="en-GB"/>
          </w:rPr>
          <w:t>platform</w:t>
        </w:r>
      </w:hyperlink>
      <w:r w:rsidRPr="00376FB5">
        <w:rPr>
          <w:rFonts w:eastAsia="Times New Roman" w:cs="Times New Roman"/>
          <w:szCs w:val="24"/>
          <w:lang w:eastAsia="en-GB"/>
        </w:rPr>
        <w:t xml:space="preserve">. The platform dynamically presents progress on financial inputs and achievements for each of 530 </w:t>
      </w:r>
      <w:proofErr w:type="spellStart"/>
      <w:r w:rsidRPr="00376FB5">
        <w:rPr>
          <w:rFonts w:eastAsia="Times New Roman" w:cs="Times New Roman"/>
          <w:szCs w:val="24"/>
          <w:lang w:eastAsia="en-GB"/>
        </w:rPr>
        <w:t>ESI</w:t>
      </w:r>
      <w:proofErr w:type="spellEnd"/>
      <w:r w:rsidRPr="00376FB5">
        <w:rPr>
          <w:rFonts w:eastAsia="Times New Roman" w:cs="Times New Roman"/>
          <w:szCs w:val="24"/>
          <w:lang w:eastAsia="en-GB"/>
        </w:rPr>
        <w:t xml:space="preserve"> Fund programmes, by Member State, by theme and by fund. The platform provides the reference tool for all financial inputs and physical achievements. This allows tracking progress, benchmark and compare financial and progress with outputs. The platform provides dedicated </w:t>
      </w:r>
      <w:hyperlink r:id="rId9" w:history="1">
        <w:r w:rsidRPr="00376FB5">
          <w:rPr>
            <w:rFonts w:eastAsia="Times New Roman" w:cs="Times New Roman"/>
            <w:color w:val="0000FF"/>
            <w:szCs w:val="24"/>
            <w:u w:val="single"/>
            <w:lang w:eastAsia="en-GB"/>
          </w:rPr>
          <w:t>data stories</w:t>
        </w:r>
      </w:hyperlink>
      <w:r w:rsidRPr="00376FB5">
        <w:rPr>
          <w:rFonts w:eastAsia="Times New Roman" w:cs="Times New Roman"/>
          <w:szCs w:val="24"/>
          <w:lang w:eastAsia="en-GB"/>
        </w:rPr>
        <w:t xml:space="preserve"> on the cohesion policy support to </w:t>
      </w:r>
      <w:hyperlink r:id="rId10" w:history="1">
        <w:r w:rsidRPr="00376FB5">
          <w:rPr>
            <w:rFonts w:eastAsia="Times New Roman" w:cs="Times New Roman"/>
            <w:color w:val="0000FF"/>
            <w:szCs w:val="24"/>
            <w:u w:val="single"/>
            <w:lang w:eastAsia="en-GB"/>
          </w:rPr>
          <w:t>climate objectives</w:t>
        </w:r>
      </w:hyperlink>
      <w:r w:rsidRPr="00376FB5">
        <w:rPr>
          <w:rFonts w:eastAsia="Times New Roman" w:cs="Times New Roman"/>
          <w:szCs w:val="24"/>
          <w:lang w:eastAsia="en-GB"/>
        </w:rPr>
        <w:t xml:space="preserve">, </w:t>
      </w:r>
      <w:hyperlink r:id="rId11" w:history="1">
        <w:r w:rsidRPr="00376FB5">
          <w:rPr>
            <w:rFonts w:eastAsia="Times New Roman" w:cs="Times New Roman"/>
            <w:color w:val="0000FF"/>
            <w:szCs w:val="24"/>
            <w:u w:val="single"/>
            <w:lang w:eastAsia="en-GB"/>
          </w:rPr>
          <w:t>risk prevention measures</w:t>
        </w:r>
      </w:hyperlink>
      <w:r w:rsidRPr="00376FB5">
        <w:rPr>
          <w:rFonts w:eastAsia="Times New Roman" w:cs="Times New Roman"/>
          <w:szCs w:val="24"/>
          <w:lang w:eastAsia="en-GB"/>
        </w:rPr>
        <w:t xml:space="preserve">, </w:t>
      </w:r>
      <w:hyperlink r:id="rId12" w:history="1">
        <w:r w:rsidRPr="00376FB5">
          <w:rPr>
            <w:rFonts w:eastAsia="Times New Roman" w:cs="Times New Roman"/>
            <w:color w:val="0000FF"/>
            <w:szCs w:val="24"/>
            <w:u w:val="single"/>
            <w:lang w:eastAsia="en-GB"/>
          </w:rPr>
          <w:t>clean energy transition</w:t>
        </w:r>
      </w:hyperlink>
      <w:r w:rsidRPr="00376FB5">
        <w:rPr>
          <w:rFonts w:eastAsia="Times New Roman" w:cs="Times New Roman"/>
          <w:szCs w:val="24"/>
          <w:lang w:eastAsia="en-GB"/>
        </w:rPr>
        <w:t xml:space="preserve">, </w:t>
      </w:r>
      <w:hyperlink r:id="rId13" w:history="1">
        <w:r w:rsidRPr="00376FB5">
          <w:rPr>
            <w:rFonts w:eastAsia="Times New Roman" w:cs="Times New Roman"/>
            <w:color w:val="0000FF"/>
            <w:szCs w:val="24"/>
            <w:u w:val="single"/>
            <w:lang w:eastAsia="en-GB"/>
          </w:rPr>
          <w:t>protecting nature and biodiversity</w:t>
        </w:r>
      </w:hyperlink>
      <w:r w:rsidRPr="00376FB5">
        <w:rPr>
          <w:rFonts w:eastAsia="Times New Roman" w:cs="Times New Roman"/>
          <w:szCs w:val="24"/>
          <w:lang w:eastAsia="en-GB"/>
        </w:rPr>
        <w:t xml:space="preserve">, </w:t>
      </w:r>
      <w:hyperlink r:id="rId14" w:history="1">
        <w:r w:rsidRPr="00376FB5">
          <w:rPr>
            <w:rFonts w:eastAsia="Times New Roman" w:cs="Times New Roman"/>
            <w:color w:val="0000FF"/>
            <w:szCs w:val="24"/>
            <w:u w:val="single"/>
            <w:lang w:eastAsia="en-GB"/>
          </w:rPr>
          <w:t>waste management</w:t>
        </w:r>
      </w:hyperlink>
      <w:r w:rsidRPr="00376FB5">
        <w:rPr>
          <w:rFonts w:eastAsia="Times New Roman" w:cs="Times New Roman"/>
          <w:szCs w:val="24"/>
          <w:lang w:eastAsia="en-GB"/>
        </w:rPr>
        <w:t xml:space="preserve">, </w:t>
      </w:r>
      <w:hyperlink r:id="rId15" w:history="1">
        <w:r w:rsidRPr="00376FB5">
          <w:rPr>
            <w:rFonts w:eastAsia="Times New Roman" w:cs="Times New Roman"/>
            <w:color w:val="0000FF"/>
            <w:szCs w:val="24"/>
            <w:u w:val="single"/>
            <w:lang w:eastAsia="en-GB"/>
          </w:rPr>
          <w:t>air quality</w:t>
        </w:r>
      </w:hyperlink>
      <w:r w:rsidRPr="00376FB5">
        <w:rPr>
          <w:rFonts w:eastAsia="Times New Roman" w:cs="Times New Roman"/>
          <w:szCs w:val="24"/>
          <w:lang w:eastAsia="en-GB"/>
        </w:rPr>
        <w:t xml:space="preserve">, </w:t>
      </w:r>
      <w:hyperlink r:id="rId16" w:history="1">
        <w:r w:rsidRPr="00376FB5">
          <w:rPr>
            <w:rFonts w:eastAsia="Times New Roman" w:cs="Times New Roman"/>
            <w:color w:val="0000FF"/>
            <w:szCs w:val="24"/>
            <w:u w:val="single"/>
            <w:lang w:eastAsia="en-GB"/>
          </w:rPr>
          <w:t>clean urban transport</w:t>
        </w:r>
      </w:hyperlink>
      <w:r w:rsidRPr="00376FB5">
        <w:rPr>
          <w:rFonts w:eastAsia="Times New Roman" w:cs="Times New Roman"/>
          <w:color w:val="0000FF"/>
          <w:szCs w:val="24"/>
          <w:u w:val="single"/>
          <w:lang w:eastAsia="en-GB"/>
        </w:rPr>
        <w:t>,</w:t>
      </w:r>
      <w:r w:rsidRPr="00376FB5">
        <w:rPr>
          <w:rFonts w:eastAsia="Times New Roman" w:cs="Times New Roman"/>
          <w:szCs w:val="24"/>
          <w:lang w:eastAsia="en-GB"/>
        </w:rPr>
        <w:t xml:space="preserve"> etc. The Commission intends to continue this work and extend the platform to the programmes of the period 2021-2027.</w:t>
      </w:r>
    </w:p>
    <w:p w:rsidR="00376FB5" w:rsidRPr="00376FB5" w:rsidRDefault="00376FB5" w:rsidP="00376FB5">
      <w:pPr>
        <w:spacing w:after="120" w:line="240" w:lineRule="auto"/>
        <w:jc w:val="both"/>
        <w:rPr>
          <w:rFonts w:eastAsia="Times New Roman" w:cs="Times New Roman"/>
          <w:szCs w:val="24"/>
          <w:lang w:eastAsia="en-GB"/>
        </w:rPr>
      </w:pPr>
      <w:r w:rsidRPr="00376FB5">
        <w:rPr>
          <w:rFonts w:eastAsia="Times New Roman" w:cs="Times New Roman"/>
          <w:szCs w:val="24"/>
          <w:lang w:eastAsia="en-GB"/>
        </w:rPr>
        <w:t xml:space="preserve">The Member States are reporting under Regulation (EU) 2018/1999 on the Governance of the Energy Union and Climate Action and Commission Implementing Regulation (EU) 2020/1208. The European Climate Law will amend certain of the provisions on reporting. Information at Member State level is available on </w:t>
      </w:r>
      <w:hyperlink r:id="rId17" w:history="1">
        <w:r w:rsidRPr="00376FB5">
          <w:rPr>
            <w:rFonts w:eastAsia="Times New Roman" w:cs="Times New Roman"/>
            <w:color w:val="0000FF"/>
            <w:szCs w:val="24"/>
            <w:u w:val="single"/>
            <w:lang w:eastAsia="en-GB"/>
          </w:rPr>
          <w:t>Climate-ADAPT</w:t>
        </w:r>
      </w:hyperlink>
      <w:r w:rsidRPr="00376FB5">
        <w:rPr>
          <w:rFonts w:eastAsia="Times New Roman" w:cs="Times New Roman"/>
          <w:szCs w:val="24"/>
          <w:lang w:eastAsia="en-GB"/>
        </w:rPr>
        <w:t>.</w:t>
      </w:r>
    </w:p>
    <w:p w:rsidR="00376FB5" w:rsidRPr="00376FB5" w:rsidRDefault="00376FB5" w:rsidP="00376FB5">
      <w:pPr>
        <w:spacing w:after="120" w:line="240" w:lineRule="auto"/>
        <w:jc w:val="both"/>
        <w:rPr>
          <w:rFonts w:eastAsia="Times New Roman" w:cs="Times New Roman"/>
          <w:szCs w:val="24"/>
          <w:lang w:eastAsia="en-GB"/>
        </w:rPr>
      </w:pPr>
      <w:r w:rsidRPr="00376FB5">
        <w:rPr>
          <w:rFonts w:eastAsia="Times New Roman" w:cs="Times New Roman"/>
          <w:szCs w:val="24"/>
          <w:lang w:eastAsia="en-GB"/>
        </w:rPr>
        <w:t xml:space="preserve">On paragraph 32, to achieve the European Green Deal objectives, Europe need to engage in ‘sustainability transitions’, which involve a profound transformation of societal systems towards more sustainable modes. </w:t>
      </w:r>
      <w:r w:rsidRPr="00376FB5">
        <w:rPr>
          <w:rFonts w:eastAsia="Times New Roman" w:cs="Times New Roman"/>
          <w:color w:val="000000"/>
          <w:szCs w:val="24"/>
          <w:lang w:eastAsia="en-GB"/>
        </w:rPr>
        <w:t xml:space="preserve">The European Commission published a </w:t>
      </w:r>
      <w:hyperlink r:id="rId18" w:history="1">
        <w:r w:rsidRPr="00376FB5">
          <w:rPr>
            <w:rFonts w:eastAsia="Times New Roman" w:cs="Times New Roman"/>
            <w:color w:val="0000FF"/>
            <w:szCs w:val="24"/>
            <w:u w:val="single"/>
            <w:lang w:eastAsia="en-GB"/>
          </w:rPr>
          <w:t>toolkit</w:t>
        </w:r>
      </w:hyperlink>
      <w:r w:rsidRPr="00376FB5">
        <w:rPr>
          <w:rFonts w:eastAsia="Times New Roman" w:cs="Times New Roman"/>
          <w:color w:val="000000"/>
          <w:szCs w:val="24"/>
          <w:lang w:eastAsia="en-GB"/>
        </w:rPr>
        <w:t xml:space="preserve"> on sustainability transitions to help national and regional authorities implement necessary systemic changes through cohesion policy. It contains good practice principles to promote sustainability transitions in the planning and delivery of Partnership Agreements and Programmes for the 2021-2027 funding period. I</w:t>
      </w:r>
      <w:bookmarkStart w:id="1" w:name="_GoBack"/>
      <w:bookmarkEnd w:id="1"/>
      <w:r w:rsidRPr="00376FB5">
        <w:rPr>
          <w:rFonts w:eastAsia="Times New Roman" w:cs="Times New Roman"/>
          <w:color w:val="000000"/>
          <w:szCs w:val="24"/>
          <w:lang w:eastAsia="en-GB"/>
        </w:rPr>
        <w:t xml:space="preserve">t also offers advice on project selection </w:t>
      </w:r>
      <w:r w:rsidRPr="00376FB5">
        <w:rPr>
          <w:rFonts w:eastAsia="Times New Roman" w:cs="Times New Roman"/>
          <w:color w:val="000000"/>
          <w:szCs w:val="24"/>
          <w:lang w:eastAsia="en-GB"/>
        </w:rPr>
        <w:lastRenderedPageBreak/>
        <w:t>criteria and other tools to mainstream sustainability in programmes.</w:t>
      </w:r>
      <w:r w:rsidRPr="00376FB5">
        <w:rPr>
          <w:rFonts w:eastAsia="Times New Roman" w:cs="Times New Roman"/>
          <w:szCs w:val="24"/>
          <w:lang w:eastAsia="en-GB"/>
        </w:rPr>
        <w:t xml:space="preserve"> The toolkit </w:t>
      </w:r>
      <w:proofErr w:type="gramStart"/>
      <w:r w:rsidRPr="00376FB5">
        <w:rPr>
          <w:rFonts w:eastAsia="Times New Roman" w:cs="Times New Roman"/>
          <w:szCs w:val="24"/>
          <w:lang w:eastAsia="en-GB"/>
        </w:rPr>
        <w:t>is accompanied</w:t>
      </w:r>
      <w:proofErr w:type="gramEnd"/>
      <w:r w:rsidRPr="00376FB5">
        <w:rPr>
          <w:rFonts w:eastAsia="Times New Roman" w:cs="Times New Roman"/>
          <w:szCs w:val="24"/>
          <w:lang w:eastAsia="en-GB"/>
        </w:rPr>
        <w:t xml:space="preserve"> by a </w:t>
      </w:r>
      <w:hyperlink r:id="rId19" w:history="1">
        <w:r w:rsidRPr="00376FB5">
          <w:rPr>
            <w:rFonts w:eastAsia="Times New Roman" w:cs="Times New Roman"/>
            <w:color w:val="0000FF"/>
            <w:szCs w:val="24"/>
            <w:u w:val="single"/>
            <w:lang w:eastAsia="en-GB"/>
          </w:rPr>
          <w:t>report</w:t>
        </w:r>
      </w:hyperlink>
      <w:r w:rsidRPr="00376FB5">
        <w:rPr>
          <w:rFonts w:eastAsia="Times New Roman" w:cs="Times New Roman"/>
          <w:szCs w:val="24"/>
          <w:lang w:eastAsia="en-GB"/>
        </w:rPr>
        <w:t xml:space="preserve"> with additional case studies, inspiring examples and more information.</w:t>
      </w:r>
    </w:p>
    <w:p w:rsidR="00376FB5" w:rsidRPr="00376FB5" w:rsidRDefault="00376FB5" w:rsidP="00376FB5">
      <w:pPr>
        <w:spacing w:after="120" w:line="240" w:lineRule="auto"/>
        <w:jc w:val="both"/>
        <w:rPr>
          <w:rFonts w:eastAsia="Times New Roman" w:cs="Times New Roman"/>
          <w:szCs w:val="20"/>
          <w:lang w:eastAsia="en-GB"/>
        </w:rPr>
      </w:pPr>
      <w:r w:rsidRPr="00376FB5">
        <w:rPr>
          <w:rFonts w:eastAsia="Times New Roman" w:cs="Times New Roman"/>
          <w:szCs w:val="24"/>
          <w:lang w:val="en-IE" w:eastAsia="en-GB"/>
        </w:rPr>
        <w:t>The Commission recognised the outermost regions’ clean energy potential in its communication on a strategic partnership with the EU's outermost regions (COM(2017) 623 final) and committed to mainstreaming their good practices in this context through the Clean Energy for EU Islands initiative.  The Commission has further committed to paying particular attention to these regions in the European Green Deal communication (</w:t>
      </w:r>
      <w:r w:rsidRPr="00376FB5">
        <w:rPr>
          <w:rFonts w:eastAsia="Times New Roman" w:cs="Times New Roman"/>
          <w:color w:val="444444"/>
          <w:szCs w:val="24"/>
          <w:lang w:val="en-IE" w:eastAsia="en-GB"/>
        </w:rPr>
        <w:t xml:space="preserve">COM/2019/640 </w:t>
      </w:r>
      <w:r w:rsidRPr="00376FB5">
        <w:rPr>
          <w:rFonts w:eastAsia="Times New Roman" w:cs="Times New Roman"/>
          <w:szCs w:val="24"/>
          <w:lang w:val="en-IE" w:eastAsia="en-GB"/>
        </w:rPr>
        <w:t>final), taking into account their renewable energy sources. In its Circular economy action plan (</w:t>
      </w:r>
      <w:proofErr w:type="gramStart"/>
      <w:r w:rsidRPr="00376FB5">
        <w:rPr>
          <w:rFonts w:eastAsia="Times New Roman" w:cs="Times New Roman"/>
          <w:szCs w:val="24"/>
          <w:lang w:val="en-IE" w:eastAsia="en-GB"/>
        </w:rPr>
        <w:t>COM(</w:t>
      </w:r>
      <w:proofErr w:type="gramEnd"/>
      <w:r w:rsidRPr="00376FB5">
        <w:rPr>
          <w:rFonts w:eastAsia="Times New Roman" w:cs="Times New Roman"/>
          <w:szCs w:val="24"/>
          <w:lang w:val="en-IE" w:eastAsia="en-GB"/>
        </w:rPr>
        <w:t>2020)98 final), the Commission committed to tailoring circular economy solutions to the outermost regions and islands. In its offshore renewable energy strategy (</w:t>
      </w:r>
      <w:proofErr w:type="gramStart"/>
      <w:r w:rsidRPr="00376FB5">
        <w:rPr>
          <w:rFonts w:eastAsia="Times New Roman" w:cs="Times New Roman"/>
          <w:szCs w:val="24"/>
          <w:lang w:val="en-IE" w:eastAsia="en-GB"/>
        </w:rPr>
        <w:t>COM(</w:t>
      </w:r>
      <w:proofErr w:type="gramEnd"/>
      <w:r w:rsidRPr="00376FB5">
        <w:rPr>
          <w:rFonts w:eastAsia="Times New Roman" w:cs="Times New Roman"/>
          <w:szCs w:val="24"/>
          <w:lang w:val="en-IE" w:eastAsia="en-GB"/>
        </w:rPr>
        <w:t>2020)741 final) it identifies the outermost regions as pioneers in decarbonising islands.</w:t>
      </w:r>
    </w:p>
    <w:p w:rsidR="00376FB5" w:rsidRPr="00376FB5" w:rsidRDefault="00376FB5" w:rsidP="00376FB5">
      <w:pPr>
        <w:spacing w:after="120" w:line="240" w:lineRule="auto"/>
        <w:jc w:val="both"/>
        <w:rPr>
          <w:rFonts w:eastAsia="Times New Roman" w:cs="Times New Roman"/>
          <w:szCs w:val="24"/>
          <w:lang w:eastAsia="en-GB"/>
        </w:rPr>
      </w:pPr>
      <w:r w:rsidRPr="00376FB5">
        <w:rPr>
          <w:rFonts w:eastAsia="Times New Roman" w:cs="Times New Roman"/>
          <w:szCs w:val="24"/>
          <w:lang w:val="en-IE" w:eastAsia="en-GB"/>
        </w:rPr>
        <w:t xml:space="preserve">The outermost regions and islands can use a range of EU instruments to support transition towards clean energy including the European Regional development Fund, the LIFE programme, and the </w:t>
      </w:r>
      <w:proofErr w:type="spellStart"/>
      <w:r w:rsidRPr="00376FB5">
        <w:rPr>
          <w:rFonts w:eastAsia="Times New Roman" w:cs="Times New Roman"/>
          <w:szCs w:val="24"/>
          <w:lang w:val="en-IE" w:eastAsia="en-GB"/>
        </w:rPr>
        <w:t>NESOI</w:t>
      </w:r>
      <w:proofErr w:type="spellEnd"/>
      <w:r w:rsidRPr="00376FB5">
        <w:rPr>
          <w:rFonts w:eastAsia="Times New Roman" w:cs="Times New Roman"/>
          <w:szCs w:val="24"/>
          <w:lang w:val="en-IE" w:eastAsia="en-GB"/>
        </w:rPr>
        <w:t xml:space="preserve"> (New Energy Solutions Optimised for Island) project for technical assistance in shaping energy projects.</w:t>
      </w:r>
    </w:p>
    <w:p w:rsidR="00376FB5" w:rsidRPr="00376FB5" w:rsidRDefault="00376FB5" w:rsidP="00376FB5">
      <w:pPr>
        <w:widowControl w:val="0"/>
        <w:spacing w:after="120" w:line="240" w:lineRule="auto"/>
        <w:jc w:val="both"/>
        <w:rPr>
          <w:rFonts w:eastAsia="Times New Roman" w:cs="Times New Roman"/>
          <w:szCs w:val="20"/>
          <w:lang w:eastAsia="en-GB"/>
        </w:rPr>
      </w:pPr>
      <w:r w:rsidRPr="00376FB5">
        <w:rPr>
          <w:rFonts w:eastAsia="Times New Roman" w:cs="Times New Roman"/>
          <w:szCs w:val="20"/>
        </w:rPr>
        <w:t xml:space="preserve">On paragraph 43, as regards investments in climate action, at least 30% of the European Regional Development Fund and 37% of the Cohesion Fund investments will contribute to climate objectives. To guide and mobilise investments, the Commission proposed a dedicated objective for a greener and low-carbon Europe. The Commission will monitor all the programmes against these targets using EU Coefficient, based on the original OECD Rio markers. This system </w:t>
      </w:r>
      <w:proofErr w:type="gramStart"/>
      <w:r w:rsidRPr="00376FB5">
        <w:rPr>
          <w:rFonts w:eastAsia="Times New Roman" w:cs="Times New Roman"/>
          <w:szCs w:val="20"/>
        </w:rPr>
        <w:t>was introduced</w:t>
      </w:r>
      <w:proofErr w:type="gramEnd"/>
      <w:r w:rsidRPr="00376FB5">
        <w:rPr>
          <w:rFonts w:eastAsia="Times New Roman" w:cs="Times New Roman"/>
          <w:szCs w:val="20"/>
        </w:rPr>
        <w:t xml:space="preserve"> already for the 2014-2020 period in order to track cohesion policy contribution to the 20% headline target set for the MFF 2014-2020. The methodology </w:t>
      </w:r>
      <w:proofErr w:type="gramStart"/>
      <w:r w:rsidRPr="00376FB5">
        <w:rPr>
          <w:rFonts w:eastAsia="Times New Roman" w:cs="Times New Roman"/>
          <w:szCs w:val="20"/>
        </w:rPr>
        <w:t>has been further enhanced</w:t>
      </w:r>
      <w:proofErr w:type="gramEnd"/>
      <w:r w:rsidRPr="00376FB5">
        <w:rPr>
          <w:rFonts w:eastAsia="Times New Roman" w:cs="Times New Roman"/>
          <w:szCs w:val="20"/>
        </w:rPr>
        <w:t xml:space="preserve"> for the 2021-2027 period, ensuring consistency between programmes and shifting towards an “effect-based” methodology that also includes relevant elements of the Taxonomy for Sustainable Finance. The achievement of this target </w:t>
      </w:r>
      <w:proofErr w:type="gramStart"/>
      <w:r w:rsidRPr="00376FB5">
        <w:rPr>
          <w:rFonts w:eastAsia="Times New Roman" w:cs="Times New Roman"/>
          <w:szCs w:val="20"/>
        </w:rPr>
        <w:t>is monitored</w:t>
      </w:r>
      <w:proofErr w:type="gramEnd"/>
      <w:r w:rsidRPr="00376FB5">
        <w:rPr>
          <w:rFonts w:eastAsia="Times New Roman" w:cs="Times New Roman"/>
          <w:szCs w:val="20"/>
        </w:rPr>
        <w:t xml:space="preserve"> with the help of </w:t>
      </w:r>
      <w:proofErr w:type="spellStart"/>
      <w:r w:rsidRPr="00376FB5">
        <w:rPr>
          <w:rFonts w:eastAsia="Times New Roman" w:cs="Times New Roman"/>
          <w:szCs w:val="20"/>
          <w:lang w:eastAsia="en-GB"/>
        </w:rPr>
        <w:t>ESIF</w:t>
      </w:r>
      <w:proofErr w:type="spellEnd"/>
      <w:r w:rsidRPr="00376FB5">
        <w:rPr>
          <w:rFonts w:eastAsia="Times New Roman" w:cs="Times New Roman"/>
          <w:szCs w:val="20"/>
          <w:lang w:eastAsia="en-GB"/>
        </w:rPr>
        <w:t xml:space="preserve"> Open Data platform </w:t>
      </w:r>
      <w:hyperlink r:id="rId20" w:history="1">
        <w:r w:rsidRPr="00376FB5">
          <w:rPr>
            <w:rFonts w:eastAsia="Times New Roman" w:cs="Times New Roman"/>
            <w:color w:val="0000FF"/>
            <w:szCs w:val="20"/>
            <w:u w:val="single"/>
            <w:lang w:eastAsia="en-GB"/>
          </w:rPr>
          <w:t>climate tracking tool</w:t>
        </w:r>
      </w:hyperlink>
      <w:r w:rsidRPr="00376FB5">
        <w:rPr>
          <w:rFonts w:eastAsia="Times New Roman" w:cs="Times New Roman"/>
          <w:szCs w:val="20"/>
          <w:lang w:eastAsia="en-GB"/>
        </w:rPr>
        <w:t>.</w:t>
      </w:r>
    </w:p>
    <w:p w:rsidR="00376FB5" w:rsidRPr="00376FB5" w:rsidRDefault="00376FB5" w:rsidP="00376FB5">
      <w:pPr>
        <w:spacing w:after="120" w:line="240" w:lineRule="auto"/>
        <w:jc w:val="both"/>
        <w:rPr>
          <w:rFonts w:eastAsia="Times New Roman" w:cs="Times New Roman"/>
          <w:szCs w:val="24"/>
          <w:lang w:eastAsia="en-GB"/>
        </w:rPr>
      </w:pPr>
      <w:r w:rsidRPr="00376FB5">
        <w:rPr>
          <w:rFonts w:eastAsia="Times New Roman" w:cs="Times New Roman"/>
          <w:szCs w:val="24"/>
          <w:lang w:eastAsia="en-GB"/>
        </w:rPr>
        <w:t xml:space="preserve">On paragraph 44, concerning biodiversity, cohesion policy provides investment support to the Member States’ in biodiversity, nature and green infrastructure. Indeed, the EU Biodiversity Strategy for 2030 calls on European cities to develop Urban Greening Plans (including. measures to create urban forests, parks, gardens, etc.). The Commission shares the European Parliament’s views as regards the importance of such plans. These could contribute to the reflections on sustainable transition as part of the integrated sustainable urban development plans to be </w:t>
      </w:r>
      <w:proofErr w:type="gramStart"/>
      <w:r w:rsidRPr="00376FB5">
        <w:rPr>
          <w:rFonts w:eastAsia="Times New Roman" w:cs="Times New Roman"/>
          <w:szCs w:val="24"/>
          <w:lang w:eastAsia="en-GB"/>
        </w:rPr>
        <w:t>programmed</w:t>
      </w:r>
      <w:proofErr w:type="gramEnd"/>
      <w:r w:rsidRPr="00376FB5">
        <w:rPr>
          <w:rFonts w:eastAsia="Times New Roman" w:cs="Times New Roman"/>
          <w:szCs w:val="24"/>
          <w:lang w:eastAsia="en-GB"/>
        </w:rPr>
        <w:t xml:space="preserve"> and implemented by the Member States under cohesion policy programmes. Furthermore, investments in green infrastructure in cities and neighbourhoods also contribute to overall integration of nature-based solutions across different cohesion policy investments.</w:t>
      </w:r>
    </w:p>
    <w:p w:rsidR="00F36993" w:rsidRDefault="00F36993"/>
    <w:sectPr w:rsidR="00F369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FB5" w:rsidRDefault="00376FB5" w:rsidP="00376FB5">
      <w:pPr>
        <w:spacing w:after="0" w:line="240" w:lineRule="auto"/>
      </w:pPr>
      <w:r>
        <w:separator/>
      </w:r>
    </w:p>
  </w:endnote>
  <w:endnote w:type="continuationSeparator" w:id="0">
    <w:p w:rsidR="00376FB5" w:rsidRDefault="00376FB5" w:rsidP="0037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FB5" w:rsidRDefault="00376FB5" w:rsidP="00376FB5">
      <w:pPr>
        <w:spacing w:after="0" w:line="240" w:lineRule="auto"/>
      </w:pPr>
      <w:r>
        <w:separator/>
      </w:r>
    </w:p>
  </w:footnote>
  <w:footnote w:type="continuationSeparator" w:id="0">
    <w:p w:rsidR="00376FB5" w:rsidRDefault="00376FB5" w:rsidP="00376FB5">
      <w:pPr>
        <w:spacing w:after="0" w:line="240" w:lineRule="auto"/>
      </w:pPr>
      <w:r>
        <w:continuationSeparator/>
      </w:r>
    </w:p>
  </w:footnote>
  <w:footnote w:id="1">
    <w:p w:rsidR="00376FB5" w:rsidRPr="00C25011" w:rsidRDefault="00376FB5" w:rsidP="00B035F8">
      <w:pPr>
        <w:pStyle w:val="FootnoteText"/>
        <w:tabs>
          <w:tab w:val="left" w:pos="426"/>
        </w:tabs>
      </w:pPr>
      <w:r w:rsidRPr="00C25011">
        <w:rPr>
          <w:rStyle w:val="FootnoteReference"/>
        </w:rPr>
        <w:footnoteRef/>
      </w:r>
      <w:r w:rsidRPr="00C25011">
        <w:t xml:space="preserve"> </w:t>
      </w:r>
      <w:r>
        <w:tab/>
      </w:r>
      <w:hyperlink r:id="rId1" w:history="1">
        <w:r w:rsidRPr="00C25011">
          <w:rPr>
            <w:rStyle w:val="Hyperlink"/>
          </w:rPr>
          <w:t>https://www.covenantofmayors.eu/</w:t>
        </w:r>
      </w:hyperlink>
    </w:p>
  </w:footnote>
  <w:footnote w:id="2">
    <w:p w:rsidR="00376FB5" w:rsidRPr="00C25011" w:rsidRDefault="00376FB5" w:rsidP="00B035F8">
      <w:pPr>
        <w:pStyle w:val="FootnoteText"/>
        <w:tabs>
          <w:tab w:val="left" w:pos="426"/>
        </w:tabs>
      </w:pPr>
      <w:r w:rsidRPr="00C25011">
        <w:rPr>
          <w:rStyle w:val="FootnoteReference"/>
        </w:rPr>
        <w:footnoteRef/>
      </w:r>
      <w:r w:rsidRPr="00C25011">
        <w:t xml:space="preserve"> </w:t>
      </w:r>
      <w:r>
        <w:tab/>
      </w:r>
      <w:hyperlink r:id="rId2" w:history="1">
        <w:r w:rsidRPr="00B035F8">
          <w:rPr>
            <w:rStyle w:val="Hyperlink"/>
          </w:rPr>
          <w:t>https://climate-adapt.eea.europa.eu/about</w:t>
        </w:r>
      </w:hyperlink>
    </w:p>
  </w:footnote>
  <w:footnote w:id="3">
    <w:p w:rsidR="00376FB5" w:rsidRPr="00C25011" w:rsidRDefault="00376FB5" w:rsidP="00B035F8">
      <w:pPr>
        <w:pStyle w:val="FootnoteText"/>
        <w:tabs>
          <w:tab w:val="left" w:pos="426"/>
        </w:tabs>
      </w:pPr>
      <w:r w:rsidRPr="00C25011">
        <w:rPr>
          <w:rStyle w:val="FootnoteReference"/>
        </w:rPr>
        <w:footnoteRef/>
      </w:r>
      <w:r w:rsidRPr="00C25011">
        <w:t xml:space="preserve"> </w:t>
      </w:r>
      <w:r>
        <w:tab/>
      </w:r>
      <w:hyperlink r:id="rId3" w:history="1">
        <w:r w:rsidRPr="00B035F8">
          <w:rPr>
            <w:rStyle w:val="Hyperlink"/>
          </w:rPr>
          <w:t>https://europa.eu/climate-pact/index_en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6558"/>
    <w:multiLevelType w:val="hybridMultilevel"/>
    <w:tmpl w:val="DCF4FDB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B5"/>
    <w:rsid w:val="00376FB5"/>
    <w:rsid w:val="0065281F"/>
    <w:rsid w:val="00B035F8"/>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F4E9"/>
  <w15:chartTrackingRefBased/>
  <w15:docId w15:val="{1758ED1D-4242-4FC5-B618-F50DD6A1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6F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FB5"/>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376FB5"/>
    <w:rPr>
      <w:vertAlign w:val="superscript"/>
    </w:rPr>
  </w:style>
  <w:style w:type="character" w:styleId="Hyperlink">
    <w:name w:val="Hyperlink"/>
    <w:aliases w:val="Char1"/>
    <w:rsid w:val="00376FB5"/>
    <w:rPr>
      <w:color w:val="0000FF"/>
      <w:u w:val="single"/>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376FB5"/>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hesiondata.ec.europa.eu/" TargetMode="External"/><Relationship Id="rId13" Type="http://schemas.openxmlformats.org/officeDocument/2006/relationships/hyperlink" Target="https://cohesiondata.ec.europa.eu/stories/s/Cohesion-policy-protecting-nature-and-biodiversity/gznm-sv2i" TargetMode="External"/><Relationship Id="rId18" Type="http://schemas.openxmlformats.org/officeDocument/2006/relationships/hyperlink" Target="https://ec.europa.eu/regional_policy/en/information/publications/guidelines/2020/supporting-sustainability-transitions-under-the-european-green-deal-with-cohesion-policy-toolkit-for-national-and-regional-decision-mak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ebgate.ec.europa.eu/regiokm/display/BR2019/2.8.2.+Evaluations%2C+impact+and+performance" TargetMode="External"/><Relationship Id="rId12" Type="http://schemas.openxmlformats.org/officeDocument/2006/relationships/hyperlink" Target="https://cohesiondata.ec.europa.eu/stories/s/Cohesion-policy-supporting-the-Energy-Union/eczs-gij5" TargetMode="External"/><Relationship Id="rId17" Type="http://schemas.openxmlformats.org/officeDocument/2006/relationships/hyperlink" Target="https://climate-adapt.eea.europa.eu/" TargetMode="External"/><Relationship Id="rId2" Type="http://schemas.openxmlformats.org/officeDocument/2006/relationships/styles" Target="styles.xml"/><Relationship Id="rId16" Type="http://schemas.openxmlformats.org/officeDocument/2006/relationships/hyperlink" Target="https://cohesiondata.ec.europa.eu/stories/s/In-profile-EU-support-to-clean-urban-transport/mgkf-h7hj" TargetMode="External"/><Relationship Id="rId20" Type="http://schemas.openxmlformats.org/officeDocument/2006/relationships/hyperlink" Target="https://cohesiondata.ec.europa.eu/stories/s/Tracking-climate-related-investments/a8jn-38y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hesiondata.ec.europa.eu/stories/s/Cohesion-policy-preventing-risks/j9ce-3mtn" TargetMode="External"/><Relationship Id="rId5" Type="http://schemas.openxmlformats.org/officeDocument/2006/relationships/footnotes" Target="footnotes.xml"/><Relationship Id="rId15" Type="http://schemas.openxmlformats.org/officeDocument/2006/relationships/hyperlink" Target="https://cohesiondata.ec.europa.eu/stories/s/Tracking-cohesion-policy-air-quality-investments/7ddu-4fki" TargetMode="External"/><Relationship Id="rId10" Type="http://schemas.openxmlformats.org/officeDocument/2006/relationships/hyperlink" Target="https://cohesiondata.ec.europa.eu/stories/s/Tracking-climate-related-investments/a8jn-38y8" TargetMode="External"/><Relationship Id="rId19" Type="http://schemas.openxmlformats.org/officeDocument/2006/relationships/hyperlink" Target="https://ec.europa.eu/regional_policy/sources/docgener/studies/pdf/report_sust_transit_en.pdf" TargetMode="External"/><Relationship Id="rId4" Type="http://schemas.openxmlformats.org/officeDocument/2006/relationships/webSettings" Target="webSettings.xml"/><Relationship Id="rId9" Type="http://schemas.openxmlformats.org/officeDocument/2006/relationships/hyperlink" Target="https://cohesiondata.ec.europa.eu/datastories" TargetMode="External"/><Relationship Id="rId14" Type="http://schemas.openxmlformats.org/officeDocument/2006/relationships/hyperlink" Target="https://cohesiondata.ec.europa.eu/stories/s/In-profile-EU-support-to-waste-management/xqec-t5k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climate-pact/index_en" TargetMode="External"/><Relationship Id="rId2" Type="http://schemas.openxmlformats.org/officeDocument/2006/relationships/hyperlink" Target="https://climate-adapt.eea.europa.eu/about" TargetMode="External"/><Relationship Id="rId1" Type="http://schemas.openxmlformats.org/officeDocument/2006/relationships/hyperlink" Target="https://www.covenantofmayor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1687</Words>
  <Characters>9734</Characters>
  <Application>Microsoft Office Word</Application>
  <DocSecurity>0</DocSecurity>
  <Lines>141</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2</cp:revision>
  <dcterms:created xsi:type="dcterms:W3CDTF">2021-06-01T12:34:00Z</dcterms:created>
  <dcterms:modified xsi:type="dcterms:W3CDTF">2021-06-01T12:36:00Z</dcterms:modified>
</cp:coreProperties>
</file>