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34" w:rsidRPr="00083D99" w:rsidRDefault="00172634" w:rsidP="00172634">
      <w:pPr>
        <w:spacing w:after="600"/>
        <w:jc w:val="center"/>
        <w:rPr>
          <w:rFonts w:ascii="Times New Roman" w:hAnsi="Times New Roman"/>
          <w:b/>
          <w:bCs/>
          <w:szCs w:val="24"/>
        </w:rPr>
      </w:pPr>
      <w:bookmarkStart w:id="0" w:name="energy"/>
      <w:r w:rsidRPr="00BF0980">
        <w:rPr>
          <w:rFonts w:ascii="Times New Roman" w:hAnsi="Times New Roman"/>
          <w:b/>
          <w:bCs/>
          <w:szCs w:val="24"/>
        </w:rPr>
        <w:t xml:space="preserve">Follow up to the </w:t>
      </w:r>
      <w:r w:rsidRPr="00BF0980">
        <w:rPr>
          <w:rFonts w:ascii="Times New Roman" w:hAnsi="Times New Roman"/>
          <w:b/>
          <w:szCs w:val="24"/>
        </w:rPr>
        <w:t xml:space="preserve">European Parliament non-legislative </w:t>
      </w:r>
      <w:r w:rsidRPr="00F36CEC">
        <w:rPr>
          <w:rFonts w:ascii="Times New Roman" w:hAnsi="Times New Roman"/>
          <w:b/>
          <w:szCs w:val="24"/>
        </w:rPr>
        <w:t>resolution</w:t>
      </w:r>
      <w:r w:rsidRPr="00F36CEC">
        <w:rPr>
          <w:rFonts w:ascii="Times New Roman" w:hAnsi="Times New Roman"/>
          <w:b/>
          <w:noProof/>
          <w:szCs w:val="24"/>
        </w:rPr>
        <w:t xml:space="preserve"> </w:t>
      </w:r>
      <w:r w:rsidRPr="00A90FD0">
        <w:rPr>
          <w:rFonts w:ascii="Times New Roman" w:hAnsi="Times New Roman"/>
          <w:b/>
          <w:bCs/>
          <w:szCs w:val="24"/>
          <w:shd w:val="clear" w:color="auto" w:fill="FFFFFF"/>
        </w:rPr>
        <w:t>on</w:t>
      </w:r>
      <w:r>
        <w:rPr>
          <w:rFonts w:ascii="Times New Roman" w:hAnsi="Times New Roman"/>
          <w:b/>
          <w:bCs/>
          <w:szCs w:val="24"/>
          <w:shd w:val="clear" w:color="auto" w:fill="FFFFFF"/>
        </w:rPr>
        <w:t xml:space="preserve"> </w:t>
      </w:r>
      <w:r>
        <w:rPr>
          <w:rFonts w:ascii="Times New Roman" w:hAnsi="Times New Roman"/>
          <w:b/>
          <w:bCs/>
          <w:szCs w:val="24"/>
          <w:shd w:val="clear" w:color="auto" w:fill="FFFFFF"/>
        </w:rPr>
        <w:br/>
      </w:r>
      <w:r w:rsidRPr="00A90FD0">
        <w:rPr>
          <w:rFonts w:ascii="Times New Roman" w:hAnsi="Times New Roman"/>
          <w:b/>
          <w:bCs/>
          <w:szCs w:val="24"/>
          <w:shd w:val="clear" w:color="auto" w:fill="FFFFFF"/>
        </w:rPr>
        <w:t>a European strategy for energy system integration</w:t>
      </w:r>
      <w:bookmarkEnd w:id="0"/>
    </w:p>
    <w:p w:rsidR="00172634" w:rsidRPr="0084310E" w:rsidRDefault="00172634" w:rsidP="00172634">
      <w:pPr>
        <w:numPr>
          <w:ilvl w:val="0"/>
          <w:numId w:val="1"/>
        </w:numPr>
        <w:ind w:left="567" w:hanging="567"/>
        <w:rPr>
          <w:rFonts w:ascii="Times New Roman" w:hAnsi="Times New Roman"/>
          <w:i/>
          <w:iCs/>
          <w:lang w:val="fr-BE"/>
        </w:rPr>
      </w:pPr>
      <w:r w:rsidRPr="48278560">
        <w:rPr>
          <w:rFonts w:ascii="Times New Roman" w:hAnsi="Times New Roman"/>
          <w:b/>
          <w:bCs/>
          <w:lang w:val="fr-BE"/>
        </w:rPr>
        <w:t>Rapporteur:</w:t>
      </w:r>
      <w:r w:rsidRPr="48278560">
        <w:rPr>
          <w:rFonts w:ascii="Times New Roman" w:hAnsi="Times New Roman"/>
          <w:lang w:val="fr-BE"/>
        </w:rPr>
        <w:t xml:space="preserve"> Christophe GRUDLER (</w:t>
      </w:r>
      <w:proofErr w:type="spellStart"/>
      <w:r w:rsidRPr="48278560">
        <w:rPr>
          <w:rFonts w:ascii="Times New Roman" w:hAnsi="Times New Roman"/>
          <w:lang w:val="fr-BE"/>
        </w:rPr>
        <w:t>Renew</w:t>
      </w:r>
      <w:proofErr w:type="spellEnd"/>
      <w:r w:rsidRPr="48278560">
        <w:rPr>
          <w:rFonts w:ascii="Times New Roman" w:hAnsi="Times New Roman"/>
          <w:lang w:val="fr-BE"/>
        </w:rPr>
        <w:t xml:space="preserve"> / FR) </w:t>
      </w:r>
    </w:p>
    <w:p w:rsidR="00172634" w:rsidRPr="00A0010B" w:rsidRDefault="00172634" w:rsidP="00172634">
      <w:pPr>
        <w:pStyle w:val="Default"/>
        <w:numPr>
          <w:ilvl w:val="0"/>
          <w:numId w:val="1"/>
        </w:numPr>
        <w:spacing w:after="240"/>
        <w:ind w:left="567" w:hanging="567"/>
        <w:jc w:val="both"/>
        <w:rPr>
          <w:color w:val="auto"/>
        </w:rPr>
      </w:pPr>
      <w:r w:rsidRPr="48278560">
        <w:rPr>
          <w:b/>
          <w:bCs/>
          <w:color w:val="auto"/>
          <w:lang w:val="en-GB"/>
        </w:rPr>
        <w:t xml:space="preserve">Reference number: </w:t>
      </w:r>
      <w:r w:rsidRPr="48278560">
        <w:rPr>
          <w:rFonts w:eastAsia="Calibri"/>
          <w:noProof/>
        </w:rPr>
        <w:t>2020/2241 (INI))</w:t>
      </w:r>
      <w:r w:rsidRPr="00B37DCB">
        <w:rPr>
          <w:bCs/>
          <w:color w:val="auto"/>
          <w:lang w:val="en-GB"/>
        </w:rPr>
        <w:t xml:space="preserve"> </w:t>
      </w:r>
      <w:r w:rsidRPr="48278560">
        <w:rPr>
          <w:b/>
          <w:bCs/>
          <w:color w:val="auto"/>
          <w:lang w:val="en-GB"/>
        </w:rPr>
        <w:t>/</w:t>
      </w:r>
      <w:r w:rsidRPr="00B37DCB">
        <w:rPr>
          <w:bCs/>
          <w:color w:val="auto"/>
          <w:lang w:val="en-GB"/>
        </w:rPr>
        <w:t xml:space="preserve"> </w:t>
      </w:r>
      <w:bookmarkStart w:id="1" w:name="_GoBack"/>
      <w:r w:rsidRPr="00AD304B">
        <w:rPr>
          <w:rFonts w:eastAsiaTheme="minorHAnsi"/>
          <w:noProof/>
        </w:rPr>
        <w:t>A9-0062/2021</w:t>
      </w:r>
      <w:bookmarkEnd w:id="1"/>
      <w:r w:rsidRPr="00AD304B">
        <w:rPr>
          <w:rFonts w:eastAsiaTheme="minorHAnsi"/>
          <w:noProof/>
        </w:rPr>
        <w:t xml:space="preserve"> / </w:t>
      </w:r>
      <w:r>
        <w:t>P9_TA-PROV(2021</w:t>
      </w:r>
      <w:r w:rsidRPr="00BF0980">
        <w:t>)</w:t>
      </w:r>
      <w:r w:rsidRPr="48278560">
        <w:t>0240</w:t>
      </w:r>
    </w:p>
    <w:p w:rsidR="00172634" w:rsidRDefault="00172634" w:rsidP="00172634">
      <w:pPr>
        <w:numPr>
          <w:ilvl w:val="0"/>
          <w:numId w:val="1"/>
        </w:numPr>
        <w:ind w:left="567" w:hanging="567"/>
        <w:rPr>
          <w:rFonts w:ascii="Times New Roman" w:hAnsi="Times New Roman"/>
        </w:rPr>
      </w:pPr>
      <w:r w:rsidRPr="48278560">
        <w:rPr>
          <w:rFonts w:ascii="Times New Roman" w:hAnsi="Times New Roman"/>
          <w:b/>
          <w:bCs/>
        </w:rPr>
        <w:t xml:space="preserve">Date of adoption of the resolution: </w:t>
      </w:r>
      <w:r>
        <w:rPr>
          <w:rFonts w:ascii="Times New Roman" w:hAnsi="Times New Roman"/>
        </w:rPr>
        <w:t>19 May 2021</w:t>
      </w:r>
    </w:p>
    <w:p w:rsidR="00172634" w:rsidRPr="00E30575" w:rsidRDefault="00172634" w:rsidP="00172634">
      <w:pPr>
        <w:numPr>
          <w:ilvl w:val="0"/>
          <w:numId w:val="1"/>
        </w:numPr>
        <w:ind w:left="567" w:hanging="567"/>
        <w:rPr>
          <w:rFonts w:ascii="Times New Roman" w:hAnsi="Times New Roman"/>
          <w:i/>
          <w:iCs/>
        </w:rPr>
      </w:pPr>
      <w:r w:rsidRPr="48278560">
        <w:rPr>
          <w:rFonts w:ascii="Times New Roman" w:hAnsi="Times New Roman"/>
          <w:b/>
          <w:bCs/>
        </w:rPr>
        <w:t xml:space="preserve">Competent Parliamentary Committee: </w:t>
      </w:r>
      <w:r w:rsidRPr="00E30575">
        <w:rPr>
          <w:rFonts w:ascii="Times New Roman" w:hAnsi="Times New Roman"/>
          <w:bCs/>
        </w:rPr>
        <w:t>Committee on Industry, Research and Energy (</w:t>
      </w:r>
      <w:r w:rsidRPr="00E30575">
        <w:rPr>
          <w:rFonts w:ascii="Times New Roman" w:hAnsi="Times New Roman"/>
        </w:rPr>
        <w:t>ITRE)</w:t>
      </w:r>
    </w:p>
    <w:p w:rsidR="00172634" w:rsidRDefault="00172634" w:rsidP="00172634">
      <w:pPr>
        <w:widowControl w:val="0"/>
        <w:numPr>
          <w:ilvl w:val="0"/>
          <w:numId w:val="1"/>
        </w:numPr>
        <w:ind w:left="567" w:hanging="567"/>
        <w:rPr>
          <w:rFonts w:ascii="Times New Roman" w:hAnsi="Times New Roman"/>
          <w:b/>
          <w:bCs/>
        </w:rPr>
      </w:pPr>
      <w:r w:rsidRPr="48278560">
        <w:rPr>
          <w:rFonts w:ascii="Times New Roman" w:hAnsi="Times New Roman"/>
          <w:b/>
          <w:bCs/>
        </w:rPr>
        <w:t xml:space="preserve">Brief analysis/ assessment of the resolution and requests made in it: </w:t>
      </w:r>
    </w:p>
    <w:p w:rsidR="00172634" w:rsidRDefault="00172634" w:rsidP="00172634">
      <w:pPr>
        <w:widowControl w:val="0"/>
        <w:spacing w:after="120"/>
        <w:rPr>
          <w:rFonts w:ascii="Times New Roman" w:hAnsi="Times New Roman"/>
        </w:rPr>
      </w:pPr>
      <w:r w:rsidRPr="48278560">
        <w:rPr>
          <w:rFonts w:ascii="Times New Roman" w:hAnsi="Times New Roman"/>
        </w:rPr>
        <w:t>The re</w:t>
      </w:r>
      <w:r>
        <w:rPr>
          <w:rFonts w:ascii="Times New Roman" w:hAnsi="Times New Roman"/>
        </w:rPr>
        <w:t>solution</w:t>
      </w:r>
      <w:r w:rsidRPr="48278560">
        <w:rPr>
          <w:rFonts w:ascii="Times New Roman" w:hAnsi="Times New Roman"/>
        </w:rPr>
        <w:t xml:space="preserve"> largely supports the policy priorities and measures identified by the Commission in the Strategy, with no substantial</w:t>
      </w:r>
      <w:r>
        <w:rPr>
          <w:rFonts w:ascii="Times New Roman" w:hAnsi="Times New Roman"/>
        </w:rPr>
        <w:t xml:space="preserve"> area of divergence identified.</w:t>
      </w:r>
    </w:p>
    <w:p w:rsidR="00172634" w:rsidRPr="00994777" w:rsidRDefault="00172634" w:rsidP="00172634">
      <w:pPr>
        <w:widowControl w:val="0"/>
        <w:spacing w:after="120"/>
        <w:rPr>
          <w:rFonts w:ascii="Times New Roman" w:hAnsi="Times New Roman"/>
        </w:rPr>
      </w:pPr>
      <w:r w:rsidRPr="48278560">
        <w:rPr>
          <w:rFonts w:ascii="Times New Roman" w:hAnsi="Times New Roman"/>
        </w:rPr>
        <w:t xml:space="preserve">The main political points in the </w:t>
      </w:r>
      <w:r>
        <w:rPr>
          <w:rFonts w:ascii="Times New Roman" w:hAnsi="Times New Roman"/>
        </w:rPr>
        <w:t>own-initiative report are:</w:t>
      </w:r>
    </w:p>
    <w:p w:rsidR="00172634" w:rsidRPr="00994777" w:rsidRDefault="00172634" w:rsidP="00172634">
      <w:pPr>
        <w:widowControl w:val="0"/>
        <w:numPr>
          <w:ilvl w:val="0"/>
          <w:numId w:val="2"/>
        </w:numPr>
        <w:spacing w:after="120"/>
        <w:ind w:left="927"/>
        <w:rPr>
          <w:rFonts w:ascii="Times New Roman" w:hAnsi="Times New Roman"/>
        </w:rPr>
      </w:pPr>
      <w:r w:rsidRPr="48278560">
        <w:rPr>
          <w:rFonts w:ascii="Times New Roman" w:hAnsi="Times New Roman"/>
        </w:rPr>
        <w:t>Clearly interprets the three pillars as “cascading” priorities, i.e. energy efficiency first, then electrification, and then only renewable and low</w:t>
      </w:r>
      <w:r>
        <w:rPr>
          <w:rFonts w:ascii="Times New Roman" w:hAnsi="Times New Roman"/>
        </w:rPr>
        <w:t>-</w:t>
      </w:r>
      <w:r w:rsidRPr="48278560">
        <w:rPr>
          <w:rFonts w:ascii="Times New Roman" w:hAnsi="Times New Roman"/>
        </w:rPr>
        <w:t xml:space="preserve">carbon fuels where electrification is not feasible. While this can be considered </w:t>
      </w:r>
      <w:r w:rsidRPr="48278560">
        <w:rPr>
          <w:rFonts w:ascii="Times New Roman" w:hAnsi="Times New Roman"/>
          <w:i/>
          <w:iCs/>
        </w:rPr>
        <w:t>in line</w:t>
      </w:r>
      <w:r w:rsidRPr="48278560">
        <w:rPr>
          <w:rFonts w:ascii="Times New Roman" w:hAnsi="Times New Roman"/>
        </w:rPr>
        <w:t xml:space="preserve"> with the spirit of the Commission’s policy, such “cascading” was not as clearly spelled out in the Commission Strategy.</w:t>
      </w:r>
    </w:p>
    <w:p w:rsidR="00172634" w:rsidRPr="00994777" w:rsidRDefault="00172634" w:rsidP="00172634">
      <w:pPr>
        <w:widowControl w:val="0"/>
        <w:numPr>
          <w:ilvl w:val="0"/>
          <w:numId w:val="2"/>
        </w:numPr>
        <w:spacing w:after="120"/>
        <w:ind w:left="927"/>
        <w:rPr>
          <w:rFonts w:ascii="Times New Roman" w:hAnsi="Times New Roman"/>
        </w:rPr>
      </w:pPr>
      <w:r w:rsidRPr="48278560">
        <w:rPr>
          <w:rFonts w:ascii="Times New Roman" w:hAnsi="Times New Roman"/>
        </w:rPr>
        <w:t>Recognizes that both renewable and low-carbon hydrogen can play a role, but “</w:t>
      </w:r>
      <w:r w:rsidRPr="48278560">
        <w:rPr>
          <w:rFonts w:ascii="Times New Roman" w:hAnsi="Times New Roman"/>
          <w:i/>
          <w:iCs/>
        </w:rPr>
        <w:t>stresses that priority should be given to building a renewable hydrogen supply chain in Europe</w:t>
      </w:r>
      <w:r w:rsidRPr="48278560">
        <w:rPr>
          <w:rFonts w:ascii="Times New Roman" w:hAnsi="Times New Roman"/>
        </w:rPr>
        <w:t xml:space="preserve">”. This is </w:t>
      </w:r>
      <w:r w:rsidRPr="48278560">
        <w:rPr>
          <w:rFonts w:ascii="Times New Roman" w:hAnsi="Times New Roman"/>
          <w:i/>
          <w:iCs/>
        </w:rPr>
        <w:t>in line</w:t>
      </w:r>
      <w:r w:rsidRPr="48278560">
        <w:rPr>
          <w:rFonts w:ascii="Times New Roman" w:hAnsi="Times New Roman"/>
        </w:rPr>
        <w:t xml:space="preserve"> with both the Energy System Integration Strategy and the Hydrogen Strategy.</w:t>
      </w:r>
    </w:p>
    <w:p w:rsidR="00172634" w:rsidRPr="00994777" w:rsidRDefault="00172634" w:rsidP="00172634">
      <w:pPr>
        <w:widowControl w:val="0"/>
        <w:numPr>
          <w:ilvl w:val="0"/>
          <w:numId w:val="2"/>
        </w:numPr>
        <w:spacing w:after="120"/>
        <w:ind w:left="927"/>
        <w:rPr>
          <w:rFonts w:ascii="Times New Roman" w:hAnsi="Times New Roman"/>
        </w:rPr>
      </w:pPr>
      <w:r w:rsidRPr="48278560">
        <w:rPr>
          <w:rFonts w:ascii="Times New Roman" w:hAnsi="Times New Roman"/>
        </w:rPr>
        <w:t>Supports “</w:t>
      </w:r>
      <w:r w:rsidRPr="48278560">
        <w:rPr>
          <w:rFonts w:ascii="Times New Roman" w:hAnsi="Times New Roman"/>
          <w:i/>
          <w:iCs/>
        </w:rPr>
        <w:t>a comprehensive classification and certification framework of gaseous carriers based on the full life cycle GHG</w:t>
      </w:r>
      <w:r>
        <w:rPr>
          <w:rFonts w:ascii="Times New Roman" w:hAnsi="Times New Roman"/>
          <w:i/>
          <w:iCs/>
        </w:rPr>
        <w:t xml:space="preserve"> </w:t>
      </w:r>
      <w:r w:rsidRPr="0077548A">
        <w:rPr>
          <w:rFonts w:ascii="Times New Roman" w:hAnsi="Times New Roman"/>
          <w:iCs/>
        </w:rPr>
        <w:t>(</w:t>
      </w:r>
      <w:r w:rsidRPr="0077548A">
        <w:rPr>
          <w:rFonts w:ascii="Times New Roman" w:hAnsi="Times New Roman"/>
        </w:rPr>
        <w:t>common greenhouse gas</w:t>
      </w:r>
      <w:r>
        <w:t>)</w:t>
      </w:r>
      <w:r>
        <w:rPr>
          <w:rFonts w:ascii="Times New Roman" w:hAnsi="Times New Roman"/>
          <w:i/>
          <w:iCs/>
        </w:rPr>
        <w:t xml:space="preserve"> </w:t>
      </w:r>
      <w:r w:rsidRPr="48278560">
        <w:rPr>
          <w:rFonts w:ascii="Times New Roman" w:hAnsi="Times New Roman"/>
          <w:i/>
          <w:iCs/>
        </w:rPr>
        <w:t>emissions savings and sustainability criteria, in line with the approach set out in Directive (EU) 2018/2001 on the promotion of renewable energy</w:t>
      </w:r>
      <w:r w:rsidRPr="48278560">
        <w:rPr>
          <w:rFonts w:ascii="Times New Roman" w:hAnsi="Times New Roman"/>
        </w:rPr>
        <w:t xml:space="preserve">”. This is </w:t>
      </w:r>
      <w:r w:rsidRPr="48278560">
        <w:rPr>
          <w:rFonts w:ascii="Times New Roman" w:hAnsi="Times New Roman"/>
          <w:i/>
          <w:iCs/>
        </w:rPr>
        <w:t>in line</w:t>
      </w:r>
      <w:r w:rsidRPr="48278560">
        <w:rPr>
          <w:rFonts w:ascii="Times New Roman" w:hAnsi="Times New Roman"/>
        </w:rPr>
        <w:t xml:space="preserve"> with the Energy System Integration Strategy.</w:t>
      </w:r>
    </w:p>
    <w:p w:rsidR="00172634" w:rsidRDefault="00172634" w:rsidP="00172634">
      <w:pPr>
        <w:widowControl w:val="0"/>
        <w:numPr>
          <w:ilvl w:val="0"/>
          <w:numId w:val="2"/>
        </w:numPr>
        <w:spacing w:after="120"/>
        <w:ind w:left="927"/>
        <w:rPr>
          <w:rFonts w:ascii="Times New Roman" w:hAnsi="Times New Roman"/>
        </w:rPr>
      </w:pPr>
      <w:r w:rsidRPr="48278560">
        <w:rPr>
          <w:rFonts w:ascii="Times New Roman" w:hAnsi="Times New Roman"/>
        </w:rPr>
        <w:t xml:space="preserve">Calls for the </w:t>
      </w:r>
      <w:proofErr w:type="spellStart"/>
      <w:r w:rsidRPr="48278560">
        <w:rPr>
          <w:rFonts w:ascii="Times New Roman" w:hAnsi="Times New Roman"/>
        </w:rPr>
        <w:t>additionality</w:t>
      </w:r>
      <w:proofErr w:type="spellEnd"/>
      <w:r w:rsidRPr="48278560">
        <w:rPr>
          <w:rFonts w:ascii="Times New Roman" w:hAnsi="Times New Roman"/>
        </w:rPr>
        <w:t xml:space="preserve"> principle to apply to all hydrogen, not only that used in transport (“</w:t>
      </w:r>
      <w:r w:rsidRPr="48278560">
        <w:rPr>
          <w:rFonts w:ascii="Times New Roman" w:hAnsi="Times New Roman"/>
          <w:i/>
          <w:iCs/>
        </w:rPr>
        <w:t>underlines the need to develop a robust framework and appropriate baseline to ensure that sufficient additional renewable energy generation capacity is deployed in proportion to the need for renewable hydrogen</w:t>
      </w:r>
      <w:r w:rsidRPr="48278560">
        <w:rPr>
          <w:rFonts w:ascii="Times New Roman" w:hAnsi="Times New Roman"/>
        </w:rPr>
        <w:t xml:space="preserve">”). This </w:t>
      </w:r>
      <w:r w:rsidRPr="48278560">
        <w:rPr>
          <w:rFonts w:ascii="Times New Roman" w:hAnsi="Times New Roman"/>
          <w:i/>
          <w:iCs/>
        </w:rPr>
        <w:t>goes beyond</w:t>
      </w:r>
      <w:r w:rsidRPr="48278560">
        <w:rPr>
          <w:rFonts w:ascii="Times New Roman" w:hAnsi="Times New Roman"/>
        </w:rPr>
        <w:t xml:space="preserve"> the content of the Commission Strategy</w:t>
      </w:r>
      <w:r>
        <w:rPr>
          <w:rFonts w:ascii="Times New Roman" w:hAnsi="Times New Roman"/>
        </w:rPr>
        <w:t xml:space="preserve"> on Energy System Integration</w:t>
      </w:r>
      <w:r w:rsidRPr="48278560">
        <w:rPr>
          <w:rFonts w:ascii="Times New Roman" w:hAnsi="Times New Roman"/>
        </w:rPr>
        <w:t xml:space="preserve">, which does not specifically address this point, but is </w:t>
      </w:r>
      <w:r w:rsidRPr="48278560">
        <w:rPr>
          <w:rFonts w:ascii="Times New Roman" w:hAnsi="Times New Roman"/>
          <w:i/>
          <w:iCs/>
        </w:rPr>
        <w:t>in line</w:t>
      </w:r>
      <w:r w:rsidRPr="48278560">
        <w:rPr>
          <w:rFonts w:ascii="Times New Roman" w:hAnsi="Times New Roman"/>
        </w:rPr>
        <w:t xml:space="preserve"> with the </w:t>
      </w:r>
      <w:r>
        <w:rPr>
          <w:rFonts w:ascii="Times New Roman" w:hAnsi="Times New Roman"/>
        </w:rPr>
        <w:t xml:space="preserve">European Hydrogen Strategy (COM(2020) 301 final) and the </w:t>
      </w:r>
      <w:r w:rsidRPr="48278560">
        <w:rPr>
          <w:rFonts w:ascii="Times New Roman" w:hAnsi="Times New Roman"/>
        </w:rPr>
        <w:t>proposal for a revision of the Renewable Energy Directive (COM(2021</w:t>
      </w:r>
      <w:r>
        <w:rPr>
          <w:rFonts w:ascii="Times New Roman" w:hAnsi="Times New Roman"/>
        </w:rPr>
        <w:t>)557 final) adopted on 14 July.</w:t>
      </w:r>
    </w:p>
    <w:p w:rsidR="00172634" w:rsidRDefault="00172634" w:rsidP="00172634">
      <w:pPr>
        <w:widowControl w:val="0"/>
        <w:numPr>
          <w:ilvl w:val="0"/>
          <w:numId w:val="2"/>
        </w:numPr>
        <w:spacing w:after="120"/>
        <w:ind w:left="927"/>
        <w:rPr>
          <w:rFonts w:ascii="Times New Roman" w:hAnsi="Times New Roman"/>
        </w:rPr>
      </w:pPr>
      <w:proofErr w:type="gramStart"/>
      <w:r w:rsidRPr="48278560">
        <w:rPr>
          <w:rFonts w:ascii="Times New Roman" w:hAnsi="Times New Roman"/>
        </w:rPr>
        <w:t>The text agreed on carbon capture, use and storage (CCU/S) supports further action</w:t>
      </w:r>
      <w:r>
        <w:rPr>
          <w:rFonts w:ascii="Times New Roman" w:hAnsi="Times New Roman"/>
        </w:rPr>
        <w:t>,</w:t>
      </w:r>
      <w:r w:rsidRPr="48278560">
        <w:rPr>
          <w:rFonts w:ascii="Times New Roman" w:hAnsi="Times New Roman"/>
        </w:rPr>
        <w:t xml:space="preserve"> but also stresses the priority given to direct emission reductions and natural carbon sinks.</w:t>
      </w:r>
      <w:proofErr w:type="gramEnd"/>
      <w:r w:rsidRPr="48278560">
        <w:rPr>
          <w:rFonts w:ascii="Times New Roman" w:hAnsi="Times New Roman"/>
        </w:rPr>
        <w:t xml:space="preserve"> This </w:t>
      </w:r>
      <w:proofErr w:type="gramStart"/>
      <w:r w:rsidRPr="48278560">
        <w:rPr>
          <w:rFonts w:ascii="Times New Roman" w:hAnsi="Times New Roman"/>
        </w:rPr>
        <w:t>can be considered</w:t>
      </w:r>
      <w:proofErr w:type="gramEnd"/>
      <w:r w:rsidRPr="48278560">
        <w:rPr>
          <w:rFonts w:ascii="Times New Roman" w:hAnsi="Times New Roman"/>
        </w:rPr>
        <w:t xml:space="preserve"> as </w:t>
      </w:r>
      <w:r w:rsidRPr="48278560">
        <w:rPr>
          <w:rFonts w:ascii="Times New Roman" w:hAnsi="Times New Roman"/>
          <w:i/>
          <w:iCs/>
        </w:rPr>
        <w:t xml:space="preserve">in line </w:t>
      </w:r>
      <w:r w:rsidRPr="48278560">
        <w:rPr>
          <w:rFonts w:ascii="Times New Roman" w:hAnsi="Times New Roman"/>
        </w:rPr>
        <w:t>with the Commission Strategy, even though this po</w:t>
      </w:r>
      <w:r>
        <w:rPr>
          <w:rFonts w:ascii="Times New Roman" w:hAnsi="Times New Roman"/>
        </w:rPr>
        <w:t>int is not addressed in detail.</w:t>
      </w:r>
    </w:p>
    <w:p w:rsidR="00172634" w:rsidRDefault="00172634" w:rsidP="00172634">
      <w:pPr>
        <w:widowControl w:val="0"/>
        <w:spacing w:after="120"/>
        <w:rPr>
          <w:rFonts w:ascii="Times New Roman" w:hAnsi="Times New Roman"/>
        </w:rPr>
      </w:pPr>
      <w:r w:rsidRPr="48278560">
        <w:rPr>
          <w:rFonts w:ascii="Times New Roman" w:hAnsi="Times New Roman"/>
        </w:rPr>
        <w:t xml:space="preserve">The main “calls on the Commission” are all in line with the policy direction of the Commission Strategy, and, in several cases, in line with proposals made by the Commission as part of the 14 July Fit-for-55 package. One (small) exception is the call on the Commission to come up with a specific plan on the tourism sector as part of an integrated energy system, </w:t>
      </w:r>
      <w:r w:rsidRPr="48278560">
        <w:rPr>
          <w:rFonts w:ascii="Times New Roman" w:hAnsi="Times New Roman"/>
        </w:rPr>
        <w:lastRenderedPageBreak/>
        <w:t xml:space="preserve">which </w:t>
      </w:r>
      <w:proofErr w:type="gramStart"/>
      <w:r w:rsidRPr="48278560">
        <w:rPr>
          <w:rFonts w:ascii="Times New Roman" w:hAnsi="Times New Roman"/>
        </w:rPr>
        <w:t>is not addressed</w:t>
      </w:r>
      <w:proofErr w:type="gramEnd"/>
      <w:r w:rsidRPr="48278560">
        <w:rPr>
          <w:rFonts w:ascii="Times New Roman" w:hAnsi="Times New Roman"/>
        </w:rPr>
        <w:t xml:space="preserve"> </w:t>
      </w:r>
      <w:r w:rsidRPr="48278560">
        <w:rPr>
          <w:rFonts w:ascii="Times New Roman" w:hAnsi="Times New Roman"/>
          <w:i/>
          <w:iCs/>
        </w:rPr>
        <w:t>as such</w:t>
      </w:r>
      <w:r w:rsidRPr="48278560">
        <w:rPr>
          <w:rFonts w:ascii="Times New Roman" w:hAnsi="Times New Roman"/>
        </w:rPr>
        <w:t xml:space="preserve"> </w:t>
      </w:r>
      <w:r>
        <w:rPr>
          <w:rFonts w:ascii="Times New Roman" w:hAnsi="Times New Roman"/>
        </w:rPr>
        <w:t>n</w:t>
      </w:r>
      <w:r w:rsidRPr="48278560">
        <w:rPr>
          <w:rFonts w:ascii="Times New Roman" w:hAnsi="Times New Roman"/>
        </w:rPr>
        <w:t>either in the Commission Strategy nor in the Fit-for-55 package.</w:t>
      </w:r>
    </w:p>
    <w:p w:rsidR="00172634" w:rsidRDefault="00172634" w:rsidP="00172634">
      <w:pPr>
        <w:widowControl w:val="0"/>
        <w:numPr>
          <w:ilvl w:val="0"/>
          <w:numId w:val="1"/>
        </w:numPr>
        <w:ind w:left="567" w:hanging="567"/>
        <w:rPr>
          <w:rFonts w:ascii="Times New Roman" w:hAnsi="Times New Roman"/>
          <w:b/>
          <w:bCs/>
        </w:rPr>
      </w:pPr>
      <w:r w:rsidRPr="48278560">
        <w:rPr>
          <w:rFonts w:ascii="Times New Roman" w:hAnsi="Times New Roman"/>
          <w:b/>
          <w:bCs/>
        </w:rPr>
        <w:t xml:space="preserve">Response to requests and overview of action taken, or intended to be taken, by the Commission: </w:t>
      </w:r>
    </w:p>
    <w:p w:rsidR="00172634" w:rsidRPr="0053460A" w:rsidRDefault="00172634" w:rsidP="00172634">
      <w:pPr>
        <w:widowControl w:val="0"/>
        <w:spacing w:after="120"/>
        <w:rPr>
          <w:rFonts w:ascii="Times New Roman" w:hAnsi="Times New Roman"/>
        </w:rPr>
      </w:pPr>
      <w:r w:rsidRPr="48278560">
        <w:rPr>
          <w:rFonts w:ascii="Times New Roman" w:hAnsi="Times New Roman"/>
        </w:rPr>
        <w:t>The main “calls on the Commission” are:</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Paragraphs 6 and 9: to assess the possibility of applying the energy efficiency first principle in the upcoming revisions of Union legislation and method</w:t>
      </w:r>
      <w:r>
        <w:rPr>
          <w:rFonts w:ascii="Times New Roman" w:hAnsi="Times New Roman"/>
        </w:rPr>
        <w:t>ologies and in new initiatives.</w:t>
      </w:r>
    </w:p>
    <w:p w:rsidR="00172634" w:rsidRDefault="00172634" w:rsidP="00172634">
      <w:pPr>
        <w:widowControl w:val="0"/>
        <w:spacing w:after="120"/>
        <w:ind w:left="567"/>
        <w:rPr>
          <w:rFonts w:ascii="Times New Roman" w:hAnsi="Times New Roman"/>
        </w:rPr>
      </w:pPr>
      <w:r w:rsidRPr="48278560">
        <w:rPr>
          <w:rFonts w:ascii="Times New Roman" w:hAnsi="Times New Roman"/>
        </w:rPr>
        <w:t xml:space="preserve">The proposal for a revision of the Energy Efficiency Directive (COM(2021) 558 final) adopted on 14 July </w:t>
      </w:r>
      <w:r>
        <w:rPr>
          <w:rFonts w:ascii="Times New Roman" w:hAnsi="Times New Roman"/>
        </w:rPr>
        <w:t xml:space="preserve">2021 </w:t>
      </w:r>
      <w:r w:rsidRPr="48278560">
        <w:rPr>
          <w:rFonts w:ascii="Times New Roman" w:hAnsi="Times New Roman"/>
        </w:rPr>
        <w:t xml:space="preserve">introduces in Article 3 a new provision on the Energy Efficiency First principle, to provide the legal basis for the application of the principle, while minimising the administrative burden. It includes an obligation to consider energy efficiency solutions in policy and investment decisions in energy systems and non-energy sectors, including social housing. Furthermore, a Commission recommendation on implementation of the Energy Efficiency First Principle providing practical guidance for the application of this principle to policy makers and regulators </w:t>
      </w:r>
      <w:proofErr w:type="gramStart"/>
      <w:r w:rsidRPr="48278560">
        <w:rPr>
          <w:rFonts w:ascii="Times New Roman" w:hAnsi="Times New Roman"/>
        </w:rPr>
        <w:t>is planned</w:t>
      </w:r>
      <w:proofErr w:type="gramEnd"/>
      <w:r w:rsidRPr="48278560">
        <w:rPr>
          <w:rFonts w:ascii="Times New Roman" w:hAnsi="Times New Roman"/>
        </w:rPr>
        <w:t xml:space="preserve"> for September 2021.</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Paragraph 7: to consider energy-efficient measures for the EU water sector and the possibility of using treated waste water as an on-site source of renewable energ</w:t>
      </w:r>
      <w:r>
        <w:rPr>
          <w:rFonts w:ascii="Times New Roman" w:hAnsi="Times New Roman"/>
        </w:rPr>
        <w:t>y in energy system integration.</w:t>
      </w:r>
    </w:p>
    <w:p w:rsidR="00172634" w:rsidRDefault="00172634" w:rsidP="00172634">
      <w:pPr>
        <w:widowControl w:val="0"/>
        <w:spacing w:after="120"/>
        <w:ind w:left="567"/>
        <w:rPr>
          <w:rFonts w:ascii="Times New Roman" w:hAnsi="Times New Roman"/>
        </w:rPr>
      </w:pPr>
      <w:r w:rsidRPr="48278560">
        <w:rPr>
          <w:rFonts w:ascii="Times New Roman" w:hAnsi="Times New Roman"/>
        </w:rPr>
        <w:t xml:space="preserve">The proposal for a revision of the Energy Efficiency Directive (COM(2021) 558 final) adopted on 14 July </w:t>
      </w:r>
      <w:r>
        <w:rPr>
          <w:rFonts w:ascii="Times New Roman" w:hAnsi="Times New Roman"/>
        </w:rPr>
        <w:t xml:space="preserve">2021 </w:t>
      </w:r>
      <w:r w:rsidRPr="48278560">
        <w:rPr>
          <w:rFonts w:ascii="Times New Roman" w:hAnsi="Times New Roman"/>
        </w:rPr>
        <w:t xml:space="preserve">introduces in Article 5 an obligation for the public sector to reduce its energy consumption for public services and installations of public bodies. This </w:t>
      </w:r>
      <w:proofErr w:type="gramStart"/>
      <w:r w:rsidRPr="48278560">
        <w:rPr>
          <w:rFonts w:ascii="Times New Roman" w:hAnsi="Times New Roman"/>
        </w:rPr>
        <w:t>can be reached</w:t>
      </w:r>
      <w:proofErr w:type="gramEnd"/>
      <w:r w:rsidRPr="48278560">
        <w:rPr>
          <w:rFonts w:ascii="Times New Roman" w:hAnsi="Times New Roman"/>
        </w:rPr>
        <w:t xml:space="preserve"> in any subsector of the public sector, including water and waste management. </w:t>
      </w:r>
      <w:proofErr w:type="gramStart"/>
      <w:r w:rsidRPr="48278560">
        <w:rPr>
          <w:rFonts w:ascii="Times New Roman" w:hAnsi="Times New Roman"/>
        </w:rPr>
        <w:t>Also</w:t>
      </w:r>
      <w:proofErr w:type="gramEnd"/>
      <w:r w:rsidRPr="48278560">
        <w:rPr>
          <w:rFonts w:ascii="Times New Roman" w:hAnsi="Times New Roman"/>
        </w:rPr>
        <w:t xml:space="preserve">, other elements of the recent proposal could stimulate efficiency in the water sector, namely Article 8 on energy efficiency obligations, Article 11 on energy management and energy audits and Article 24 on efficiency in heating and cooling supply. Additionally, ambient energy from sewage water </w:t>
      </w:r>
      <w:proofErr w:type="gramStart"/>
      <w:r w:rsidRPr="48278560">
        <w:rPr>
          <w:rFonts w:ascii="Times New Roman" w:hAnsi="Times New Roman"/>
        </w:rPr>
        <w:t>is considered</w:t>
      </w:r>
      <w:proofErr w:type="gramEnd"/>
      <w:r w:rsidRPr="48278560">
        <w:rPr>
          <w:rFonts w:ascii="Times New Roman" w:hAnsi="Times New Roman"/>
        </w:rPr>
        <w:t xml:space="preserve"> as renewable under the Renewable Energy Directive (Directive (EU) 2018/2001).</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Paragraph 8: to revise the targets set out in t</w:t>
      </w:r>
      <w:r>
        <w:rPr>
          <w:rFonts w:ascii="Times New Roman" w:hAnsi="Times New Roman"/>
        </w:rPr>
        <w:t>he Energy Efficiency Directive.</w:t>
      </w:r>
    </w:p>
    <w:p w:rsidR="00172634" w:rsidRDefault="00172634" w:rsidP="00172634">
      <w:pPr>
        <w:widowControl w:val="0"/>
        <w:spacing w:after="120"/>
        <w:ind w:left="567"/>
        <w:rPr>
          <w:rFonts w:ascii="Times New Roman" w:hAnsi="Times New Roman"/>
        </w:rPr>
      </w:pPr>
      <w:r w:rsidRPr="48278560">
        <w:rPr>
          <w:rFonts w:ascii="Times New Roman" w:hAnsi="Times New Roman"/>
        </w:rPr>
        <w:t xml:space="preserve">The proposal for a revision of the Energy Efficiency Directive (COM(2021) 558 final) adopted on 14 July </w:t>
      </w:r>
      <w:r>
        <w:rPr>
          <w:rFonts w:ascii="Times New Roman" w:hAnsi="Times New Roman"/>
        </w:rPr>
        <w:t xml:space="preserve">2021 </w:t>
      </w:r>
      <w:r w:rsidRPr="48278560">
        <w:rPr>
          <w:rFonts w:ascii="Times New Roman" w:hAnsi="Times New Roman"/>
        </w:rPr>
        <w:t xml:space="preserve">sets in Articles 1 and 4 an increased Union binding energy efficiency target for final and primary consumption, as well as indicative national energy efficiency contributions and provides a formula to </w:t>
      </w:r>
      <w:r>
        <w:rPr>
          <w:rFonts w:ascii="Times New Roman" w:hAnsi="Times New Roman"/>
        </w:rPr>
        <w:t xml:space="preserve">the </w:t>
      </w:r>
      <w:r w:rsidRPr="48278560">
        <w:rPr>
          <w:rFonts w:ascii="Times New Roman" w:hAnsi="Times New Roman"/>
        </w:rPr>
        <w:t xml:space="preserve">Member States to calculate their contributions. The Union targets are set in terms of the level of final and primary energy consumption to </w:t>
      </w:r>
      <w:proofErr w:type="gramStart"/>
      <w:r w:rsidRPr="48278560">
        <w:rPr>
          <w:rFonts w:ascii="Times New Roman" w:hAnsi="Times New Roman"/>
        </w:rPr>
        <w:t>be achieved</w:t>
      </w:r>
      <w:proofErr w:type="gramEnd"/>
      <w:r w:rsidRPr="48278560">
        <w:rPr>
          <w:rFonts w:ascii="Times New Roman" w:hAnsi="Times New Roman"/>
        </w:rPr>
        <w:t xml:space="preserve"> in 2030 and the level of ambition is expressed by comparing these levels to the 2020 Reference Scenario projections for 2030. The level of ambition expressed in such a way reflects additional efforts compared to the efforts that are in place or indicated in the Nat</w:t>
      </w:r>
      <w:r>
        <w:rPr>
          <w:rFonts w:ascii="Times New Roman" w:hAnsi="Times New Roman"/>
        </w:rPr>
        <w:t>ional Energy and Climate Plans.</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 xml:space="preserve">Paragraph 10: to propose measures </w:t>
      </w:r>
      <w:proofErr w:type="gramStart"/>
      <w:r w:rsidRPr="48278560">
        <w:rPr>
          <w:rFonts w:ascii="Times New Roman" w:hAnsi="Times New Roman"/>
        </w:rPr>
        <w:t>to further reduce</w:t>
      </w:r>
      <w:proofErr w:type="gramEnd"/>
      <w:r w:rsidRPr="48278560">
        <w:rPr>
          <w:rFonts w:ascii="Times New Roman" w:hAnsi="Times New Roman"/>
        </w:rPr>
        <w:t xml:space="preserve"> methane </w:t>
      </w:r>
      <w:r>
        <w:rPr>
          <w:rFonts w:ascii="Times New Roman" w:hAnsi="Times New Roman"/>
        </w:rPr>
        <w:t>emissions in the energy sector.</w:t>
      </w:r>
    </w:p>
    <w:p w:rsidR="00172634" w:rsidRDefault="00172634" w:rsidP="00172634">
      <w:pPr>
        <w:widowControl w:val="0"/>
        <w:spacing w:after="120"/>
        <w:ind w:left="567"/>
        <w:rPr>
          <w:rFonts w:ascii="Times New Roman" w:hAnsi="Times New Roman"/>
        </w:rPr>
      </w:pPr>
      <w:r w:rsidRPr="48278560">
        <w:rPr>
          <w:rFonts w:ascii="Times New Roman" w:hAnsi="Times New Roman"/>
        </w:rPr>
        <w:t xml:space="preserve">The Commission </w:t>
      </w:r>
      <w:r>
        <w:rPr>
          <w:rFonts w:ascii="Times New Roman" w:hAnsi="Times New Roman"/>
        </w:rPr>
        <w:t>plans to</w:t>
      </w:r>
      <w:r w:rsidRPr="48278560">
        <w:rPr>
          <w:rFonts w:ascii="Times New Roman" w:hAnsi="Times New Roman"/>
        </w:rPr>
        <w:t xml:space="preserve"> come up with proposals to reduce methane emissions in the energy sector by </w:t>
      </w:r>
      <w:r w:rsidRPr="001B45F7">
        <w:rPr>
          <w:rFonts w:ascii="Times New Roman" w:hAnsi="Times New Roman"/>
        </w:rPr>
        <w:t xml:space="preserve">the end </w:t>
      </w:r>
      <w:r>
        <w:rPr>
          <w:rFonts w:ascii="Times New Roman" w:hAnsi="Times New Roman"/>
        </w:rPr>
        <w:t xml:space="preserve">of </w:t>
      </w:r>
      <w:r w:rsidRPr="001B45F7">
        <w:rPr>
          <w:rFonts w:ascii="Times New Roman" w:hAnsi="Times New Roman"/>
        </w:rPr>
        <w:t>2021</w:t>
      </w:r>
      <w:r w:rsidRPr="48278560">
        <w:rPr>
          <w:rFonts w:ascii="Times New Roman" w:hAnsi="Times New Roman"/>
        </w:rPr>
        <w:t>.</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 xml:space="preserve">Paragraph 11: to develop effective incentives and business models to recover industrial </w:t>
      </w:r>
      <w:r w:rsidRPr="48278560">
        <w:rPr>
          <w:rFonts w:ascii="Times New Roman" w:hAnsi="Times New Roman"/>
        </w:rPr>
        <w:lastRenderedPageBreak/>
        <w:t>waste heat and unavoidable waste heat into heat networks or storag</w:t>
      </w:r>
      <w:r>
        <w:rPr>
          <w:rFonts w:ascii="Times New Roman" w:hAnsi="Times New Roman"/>
        </w:rPr>
        <w:t>e.</w:t>
      </w:r>
    </w:p>
    <w:p w:rsidR="00172634" w:rsidRDefault="00172634" w:rsidP="00172634">
      <w:pPr>
        <w:widowControl w:val="0"/>
        <w:spacing w:after="120"/>
        <w:ind w:left="567"/>
        <w:rPr>
          <w:rFonts w:ascii="Times New Roman" w:hAnsi="Times New Roman"/>
        </w:rPr>
      </w:pPr>
      <w:r w:rsidRPr="48278560">
        <w:rPr>
          <w:rFonts w:ascii="Times New Roman" w:hAnsi="Times New Roman"/>
        </w:rPr>
        <w:t>The proposal for a revision of the Renewable Energy Directive (</w:t>
      </w:r>
      <w:proofErr w:type="gramStart"/>
      <w:r w:rsidRPr="48278560">
        <w:rPr>
          <w:rFonts w:ascii="Times New Roman" w:hAnsi="Times New Roman"/>
        </w:rPr>
        <w:t>COM(</w:t>
      </w:r>
      <w:proofErr w:type="gramEnd"/>
      <w:r w:rsidRPr="48278560">
        <w:rPr>
          <w:rFonts w:ascii="Times New Roman" w:hAnsi="Times New Roman"/>
        </w:rPr>
        <w:t xml:space="preserve">2021) 557 final) adopted on 14 July </w:t>
      </w:r>
      <w:r>
        <w:rPr>
          <w:rFonts w:ascii="Times New Roman" w:hAnsi="Times New Roman"/>
        </w:rPr>
        <w:t xml:space="preserve">2021 </w:t>
      </w:r>
      <w:r w:rsidRPr="48278560">
        <w:rPr>
          <w:rFonts w:ascii="Times New Roman" w:hAnsi="Times New Roman"/>
        </w:rPr>
        <w:t xml:space="preserve">introduces in Article 23(1) an obligation for </w:t>
      </w:r>
      <w:r>
        <w:rPr>
          <w:rFonts w:ascii="Times New Roman" w:hAnsi="Times New Roman"/>
        </w:rPr>
        <w:t xml:space="preserve">the </w:t>
      </w:r>
      <w:r w:rsidRPr="48278560">
        <w:rPr>
          <w:rFonts w:ascii="Times New Roman" w:hAnsi="Times New Roman"/>
        </w:rPr>
        <w:t xml:space="preserve">Member States to assess their potential for the use of waste heat and cold. Article 24(6) </w:t>
      </w:r>
      <w:proofErr w:type="gramStart"/>
      <w:r w:rsidRPr="48278560">
        <w:rPr>
          <w:rFonts w:ascii="Times New Roman" w:hAnsi="Times New Roman"/>
        </w:rPr>
        <w:t>is also amended</w:t>
      </w:r>
      <w:proofErr w:type="gramEnd"/>
      <w:r w:rsidRPr="48278560">
        <w:rPr>
          <w:rFonts w:ascii="Times New Roman" w:hAnsi="Times New Roman"/>
        </w:rPr>
        <w:t xml:space="preserve"> with a new paragraph on a framework to facilitate coordination among actors having a role in the use of waste heat and cold.</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Paragraph 15: to revise the relevant State aid guidelines to promote the deployment of all renewable energy sources</w:t>
      </w:r>
    </w:p>
    <w:p w:rsidR="00172634" w:rsidRPr="00F85FFB" w:rsidRDefault="00172634" w:rsidP="00172634">
      <w:pPr>
        <w:widowControl w:val="0"/>
        <w:spacing w:after="120"/>
        <w:ind w:left="567"/>
        <w:rPr>
          <w:rFonts w:ascii="Times New Roman" w:hAnsi="Times New Roman"/>
        </w:rPr>
      </w:pPr>
      <w:r w:rsidRPr="48278560">
        <w:rPr>
          <w:rFonts w:ascii="Times New Roman" w:hAnsi="Times New Roman"/>
        </w:rPr>
        <w:t xml:space="preserve">The Commission </w:t>
      </w:r>
      <w:r>
        <w:rPr>
          <w:rFonts w:ascii="Times New Roman" w:hAnsi="Times New Roman"/>
        </w:rPr>
        <w:t>is currently consulting on</w:t>
      </w:r>
      <w:r w:rsidRPr="48278560">
        <w:rPr>
          <w:rFonts w:ascii="Times New Roman" w:hAnsi="Times New Roman"/>
        </w:rPr>
        <w:t xml:space="preserve"> proposals to revise </w:t>
      </w:r>
      <w:r>
        <w:rPr>
          <w:rFonts w:ascii="Times New Roman" w:hAnsi="Times New Roman"/>
        </w:rPr>
        <w:t xml:space="preserve">the </w:t>
      </w:r>
      <w:r w:rsidRPr="48278560">
        <w:rPr>
          <w:rFonts w:ascii="Times New Roman" w:hAnsi="Times New Roman"/>
        </w:rPr>
        <w:t xml:space="preserve">State aid </w:t>
      </w:r>
      <w:r>
        <w:rPr>
          <w:rFonts w:ascii="Times New Roman" w:hAnsi="Times New Roman"/>
        </w:rPr>
        <w:t>G</w:t>
      </w:r>
      <w:r w:rsidRPr="48278560">
        <w:rPr>
          <w:rFonts w:ascii="Times New Roman" w:hAnsi="Times New Roman"/>
        </w:rPr>
        <w:t xml:space="preserve">uidelines </w:t>
      </w:r>
      <w:r>
        <w:rPr>
          <w:rFonts w:ascii="Times New Roman" w:hAnsi="Times New Roman"/>
        </w:rPr>
        <w:t xml:space="preserve">for Energy and the Environment, which should be formally adopted </w:t>
      </w:r>
      <w:r w:rsidRPr="48278560">
        <w:rPr>
          <w:rFonts w:ascii="Times New Roman" w:hAnsi="Times New Roman"/>
        </w:rPr>
        <w:t xml:space="preserve">by </w:t>
      </w:r>
      <w:r w:rsidRPr="001B45F7">
        <w:rPr>
          <w:rFonts w:ascii="Times New Roman" w:hAnsi="Times New Roman"/>
        </w:rPr>
        <w:t>202</w:t>
      </w:r>
      <w:r>
        <w:rPr>
          <w:rFonts w:ascii="Times New Roman" w:hAnsi="Times New Roman"/>
        </w:rPr>
        <w:t>2.</w:t>
      </w:r>
    </w:p>
    <w:p w:rsidR="00172634" w:rsidRPr="00F85FFB"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Paragraph 20: to develop a comprehensive classification and certification framework of gaseous carriers on the basis of the full life cycle GHG emissions savings and sustainability criteria, in line with the approach set out in the Renewable Energy Directive</w:t>
      </w:r>
      <w:r>
        <w:rPr>
          <w:rFonts w:ascii="Times New Roman" w:hAnsi="Times New Roman"/>
        </w:rPr>
        <w:t>, and ensure that sufficient additional renewable energy generation capacity is deployed in proportion to the need for renewable hydrogen.</w:t>
      </w:r>
    </w:p>
    <w:p w:rsidR="00172634" w:rsidRDefault="00172634" w:rsidP="00172634">
      <w:pPr>
        <w:widowControl w:val="0"/>
        <w:spacing w:after="120"/>
        <w:ind w:left="567"/>
        <w:rPr>
          <w:rFonts w:ascii="Times New Roman" w:hAnsi="Times New Roman"/>
          <w:szCs w:val="24"/>
        </w:rPr>
      </w:pPr>
      <w:r w:rsidRPr="48278560">
        <w:rPr>
          <w:rFonts w:ascii="Times New Roman" w:hAnsi="Times New Roman"/>
        </w:rPr>
        <w:t xml:space="preserve">The Commission </w:t>
      </w:r>
      <w:r>
        <w:rPr>
          <w:rFonts w:ascii="Times New Roman" w:hAnsi="Times New Roman"/>
        </w:rPr>
        <w:t>plans to</w:t>
      </w:r>
      <w:r w:rsidRPr="48278560">
        <w:rPr>
          <w:rFonts w:ascii="Times New Roman" w:hAnsi="Times New Roman"/>
        </w:rPr>
        <w:t xml:space="preserve"> come up with proposals for a comprehensive classification and certification framework of low-carbon fuels by </w:t>
      </w:r>
      <w:r w:rsidRPr="001B45F7">
        <w:rPr>
          <w:rFonts w:ascii="Times New Roman" w:hAnsi="Times New Roman"/>
        </w:rPr>
        <w:t xml:space="preserve">the end </w:t>
      </w:r>
      <w:r>
        <w:rPr>
          <w:rFonts w:ascii="Times New Roman" w:hAnsi="Times New Roman"/>
        </w:rPr>
        <w:t xml:space="preserve">of </w:t>
      </w:r>
      <w:r w:rsidRPr="001B45F7">
        <w:rPr>
          <w:rFonts w:ascii="Times New Roman" w:hAnsi="Times New Roman"/>
        </w:rPr>
        <w:t>2021</w:t>
      </w:r>
      <w:r>
        <w:rPr>
          <w:rFonts w:ascii="Times New Roman" w:hAnsi="Times New Roman"/>
        </w:rPr>
        <w:t>.</w:t>
      </w:r>
      <w:r w:rsidRPr="48278560">
        <w:rPr>
          <w:rFonts w:ascii="Times New Roman" w:hAnsi="Times New Roman"/>
        </w:rPr>
        <w:t xml:space="preserve"> The revision of the Renewable Energy Directive (</w:t>
      </w:r>
      <w:proofErr w:type="gramStart"/>
      <w:r w:rsidRPr="48278560">
        <w:rPr>
          <w:rFonts w:ascii="Times New Roman" w:hAnsi="Times New Roman"/>
        </w:rPr>
        <w:t>COM(</w:t>
      </w:r>
      <w:proofErr w:type="gramEnd"/>
      <w:r w:rsidRPr="48278560">
        <w:rPr>
          <w:rFonts w:ascii="Times New Roman" w:hAnsi="Times New Roman"/>
        </w:rPr>
        <w:t>2021) 557 final) already provides a detailed definition and certification for renewable fuels, including renewable hydrogen and its derivatives produced from renewable electricity, including threshold for greenhouse gas emissions and sustainability criteria.</w:t>
      </w:r>
      <w:r>
        <w:rPr>
          <w:rFonts w:ascii="Times New Roman" w:hAnsi="Times New Roman"/>
        </w:rPr>
        <w:t xml:space="preserve"> </w:t>
      </w:r>
      <w:r>
        <w:rPr>
          <w:rFonts w:ascii="Times New Roman" w:hAnsi="Times New Roman"/>
          <w:szCs w:val="24"/>
        </w:rPr>
        <w:t>Meanwhile, the research &amp; Innovation (R&amp;I) programme is progressively embedding more and more the circularity by design principle into R&amp;I on renewable energy technology. It will especially be the case for the Work Programme of the new Joint Undertaking on Clean Hydrogen and for the part on renewable energy in the Horizon Europe Work Programme.</w:t>
      </w:r>
    </w:p>
    <w:p w:rsidR="00172634" w:rsidRPr="00A302B5" w:rsidRDefault="00172634" w:rsidP="00172634">
      <w:pPr>
        <w:widowControl w:val="0"/>
        <w:spacing w:after="120"/>
        <w:ind w:left="567"/>
        <w:rPr>
          <w:rFonts w:ascii="Times New Roman" w:hAnsi="Times New Roman"/>
          <w:szCs w:val="24"/>
        </w:rPr>
      </w:pPr>
      <w:r>
        <w:rPr>
          <w:rFonts w:ascii="Times New Roman" w:hAnsi="Times New Roman"/>
          <w:szCs w:val="24"/>
        </w:rPr>
        <w:t xml:space="preserve">The current Renewable Energy Directive already requires </w:t>
      </w:r>
      <w:proofErr w:type="spellStart"/>
      <w:r>
        <w:rPr>
          <w:rFonts w:ascii="Times New Roman" w:hAnsi="Times New Roman"/>
          <w:szCs w:val="24"/>
        </w:rPr>
        <w:t>additionality</w:t>
      </w:r>
      <w:proofErr w:type="spellEnd"/>
      <w:r>
        <w:rPr>
          <w:rFonts w:ascii="Times New Roman" w:hAnsi="Times New Roman"/>
          <w:szCs w:val="24"/>
        </w:rPr>
        <w:t xml:space="preserve"> for the production of Renewable Fuels of Non-Biological Origin (RFNBOs), including renewable hydrogen in Article 27. The revision of the Renewable Energy Directive proposed on 14 July 2021 has broadened the definition of RFNBOs to applications in all end-use sectors. As such, the requirements for </w:t>
      </w:r>
      <w:proofErr w:type="spellStart"/>
      <w:r>
        <w:rPr>
          <w:rFonts w:ascii="Times New Roman" w:hAnsi="Times New Roman"/>
          <w:szCs w:val="24"/>
        </w:rPr>
        <w:t>additionality</w:t>
      </w:r>
      <w:proofErr w:type="spellEnd"/>
      <w:r>
        <w:rPr>
          <w:rFonts w:ascii="Times New Roman" w:hAnsi="Times New Roman"/>
          <w:szCs w:val="24"/>
        </w:rPr>
        <w:t xml:space="preserve"> </w:t>
      </w:r>
      <w:proofErr w:type="gramStart"/>
      <w:r>
        <w:rPr>
          <w:rFonts w:ascii="Times New Roman" w:hAnsi="Times New Roman"/>
          <w:szCs w:val="24"/>
        </w:rPr>
        <w:t>have also been expanded</w:t>
      </w:r>
      <w:proofErr w:type="gramEnd"/>
      <w:r>
        <w:rPr>
          <w:rFonts w:ascii="Times New Roman" w:hAnsi="Times New Roman"/>
          <w:szCs w:val="24"/>
        </w:rPr>
        <w:t xml:space="preserve"> to other application areas. By 31 December 2021, the Commission shall adopt a delegated act to establish a Union methodology setting out detailed rules for </w:t>
      </w:r>
      <w:proofErr w:type="spellStart"/>
      <w:r>
        <w:rPr>
          <w:rFonts w:ascii="Times New Roman" w:hAnsi="Times New Roman"/>
          <w:szCs w:val="24"/>
        </w:rPr>
        <w:t>additionality</w:t>
      </w:r>
      <w:proofErr w:type="spellEnd"/>
      <w:r>
        <w:rPr>
          <w:rFonts w:ascii="Times New Roman" w:hAnsi="Times New Roman"/>
          <w:szCs w:val="24"/>
        </w:rPr>
        <w:t>.</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Paragraph 22: to incentivise car manufacturers to enable vehicle-to-grid charging</w:t>
      </w:r>
      <w:r>
        <w:rPr>
          <w:rFonts w:ascii="Times New Roman" w:hAnsi="Times New Roman"/>
        </w:rPr>
        <w:t>.</w:t>
      </w:r>
    </w:p>
    <w:p w:rsidR="00172634" w:rsidRDefault="00172634" w:rsidP="00172634">
      <w:pPr>
        <w:widowControl w:val="0"/>
        <w:spacing w:after="120"/>
        <w:ind w:left="567"/>
        <w:rPr>
          <w:rFonts w:ascii="Times New Roman" w:hAnsi="Times New Roman"/>
        </w:rPr>
      </w:pPr>
      <w:proofErr w:type="gramStart"/>
      <w:r w:rsidRPr="48278560">
        <w:rPr>
          <w:rFonts w:ascii="Times New Roman" w:hAnsi="Times New Roman"/>
        </w:rPr>
        <w:t xml:space="preserve">The proposal for a revision of the Renewable Energy Directive (COM(2021) 557 final) adopted on 14 July introduces in Article 20a an obligation for </w:t>
      </w:r>
      <w:r>
        <w:rPr>
          <w:rFonts w:ascii="Times New Roman" w:hAnsi="Times New Roman"/>
        </w:rPr>
        <w:t xml:space="preserve">the </w:t>
      </w:r>
      <w:r w:rsidRPr="48278560">
        <w:rPr>
          <w:rFonts w:ascii="Times New Roman" w:hAnsi="Times New Roman"/>
        </w:rPr>
        <w:t>Member States to ensure that new, non–publicly accessible normal power recharging points installed in their territory can support smart charging functionalities and, where appropriate based on assessment by the regulatory authority, bidirectional charging functionalities.</w:t>
      </w:r>
      <w:proofErr w:type="gramEnd"/>
      <w:r w:rsidRPr="48278560">
        <w:rPr>
          <w:rFonts w:ascii="Times New Roman" w:hAnsi="Times New Roman"/>
        </w:rPr>
        <w:t xml:space="preserve"> It also includes provisions concerning access to battery data. </w:t>
      </w:r>
      <w:r>
        <w:rPr>
          <w:rFonts w:ascii="Times New Roman" w:hAnsi="Times New Roman"/>
          <w:szCs w:val="24"/>
        </w:rPr>
        <w:t>These provisions complement other provisions included in the proposal for a new Regulation on the deployment of alternative fuels infrastructure (</w:t>
      </w:r>
      <w:proofErr w:type="gramStart"/>
      <w:r>
        <w:rPr>
          <w:rFonts w:ascii="Times New Roman" w:hAnsi="Times New Roman"/>
          <w:szCs w:val="24"/>
        </w:rPr>
        <w:t>COM(</w:t>
      </w:r>
      <w:proofErr w:type="gramEnd"/>
      <w:r>
        <w:rPr>
          <w:rFonts w:ascii="Times New Roman" w:hAnsi="Times New Roman"/>
          <w:szCs w:val="24"/>
        </w:rPr>
        <w:t xml:space="preserve">2021) 559 final) adopted on 14 July. The proposal defines smart recharging and introduces in Article 5 (8) an obligation that all public accessible normal </w:t>
      </w:r>
      <w:proofErr w:type="gramStart"/>
      <w:r>
        <w:rPr>
          <w:rFonts w:ascii="Times New Roman" w:hAnsi="Times New Roman"/>
          <w:szCs w:val="24"/>
        </w:rPr>
        <w:t>power recharging</w:t>
      </w:r>
      <w:proofErr w:type="gramEnd"/>
      <w:r>
        <w:rPr>
          <w:rFonts w:ascii="Times New Roman" w:hAnsi="Times New Roman"/>
          <w:szCs w:val="24"/>
        </w:rPr>
        <w:t xml:space="preserve"> points are capable of smart charging from the date of entry into force</w:t>
      </w:r>
      <w:r w:rsidRPr="48278560">
        <w:rPr>
          <w:rFonts w:ascii="Times New Roman" w:hAnsi="Times New Roman"/>
        </w:rPr>
        <w:t>.</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 xml:space="preserve">Paragraph 23: to come up with a specific plan on the tourism sector as part </w:t>
      </w:r>
      <w:r>
        <w:rPr>
          <w:rFonts w:ascii="Times New Roman" w:hAnsi="Times New Roman"/>
        </w:rPr>
        <w:t>of an integrated energy system.</w:t>
      </w:r>
    </w:p>
    <w:p w:rsidR="00172634" w:rsidRDefault="00172634" w:rsidP="00172634">
      <w:pPr>
        <w:widowControl w:val="0"/>
        <w:spacing w:after="120"/>
        <w:ind w:left="567"/>
        <w:rPr>
          <w:rFonts w:ascii="Times New Roman" w:hAnsi="Times New Roman"/>
        </w:rPr>
      </w:pPr>
      <w:proofErr w:type="gramStart"/>
      <w:r w:rsidRPr="48278560">
        <w:rPr>
          <w:rFonts w:ascii="Times New Roman" w:hAnsi="Times New Roman"/>
        </w:rPr>
        <w:lastRenderedPageBreak/>
        <w:t>While the Commission Strategy does not include actions specific to the tourism sector, several provisions contained in the Fit-for-55 package are relevant for the tourism sector,</w:t>
      </w:r>
      <w:r>
        <w:rPr>
          <w:rFonts w:ascii="Times New Roman" w:hAnsi="Times New Roman"/>
        </w:rPr>
        <w:t xml:space="preserve"> as they help to build back better in a sustainable manner, </w:t>
      </w:r>
      <w:r>
        <w:rPr>
          <w:rFonts w:ascii="Times New Roman" w:hAnsi="Times New Roman"/>
          <w:szCs w:val="24"/>
        </w:rPr>
        <w:t>in particular the accelerated development of recharging and refuelling infrastructure for zero- and low-emission vehicles (AFIR), as well as the greater use of renewable and low carbon fuels in aviation and maritime (</w:t>
      </w:r>
      <w:proofErr w:type="spellStart"/>
      <w:r>
        <w:rPr>
          <w:rFonts w:ascii="Times New Roman" w:hAnsi="Times New Roman"/>
          <w:szCs w:val="24"/>
        </w:rPr>
        <w:t>ReFuelEU</w:t>
      </w:r>
      <w:proofErr w:type="spellEnd"/>
      <w:r>
        <w:rPr>
          <w:rFonts w:ascii="Times New Roman" w:hAnsi="Times New Roman"/>
          <w:szCs w:val="24"/>
        </w:rPr>
        <w:t xml:space="preserve"> Aviation and </w:t>
      </w:r>
      <w:proofErr w:type="spellStart"/>
      <w:r>
        <w:rPr>
          <w:rFonts w:ascii="Times New Roman" w:hAnsi="Times New Roman"/>
          <w:szCs w:val="24"/>
        </w:rPr>
        <w:t>FuelEU</w:t>
      </w:r>
      <w:proofErr w:type="spellEnd"/>
      <w:r>
        <w:rPr>
          <w:rFonts w:ascii="Times New Roman" w:hAnsi="Times New Roman"/>
          <w:szCs w:val="24"/>
        </w:rPr>
        <w:t xml:space="preserve"> maritime).</w:t>
      </w:r>
      <w:proofErr w:type="gramEnd"/>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Paragraph 28: to assess how to reduce the costs of taxes and levies on energy transformation and energy storage, and to eliminate the potential double taxation on storage projects in its forthcoming revision of Directive 2003/96/EC.</w:t>
      </w:r>
    </w:p>
    <w:p w:rsidR="00172634" w:rsidRDefault="00172634" w:rsidP="00172634">
      <w:pPr>
        <w:widowControl w:val="0"/>
        <w:spacing w:after="120"/>
        <w:ind w:left="567"/>
        <w:rPr>
          <w:rFonts w:ascii="Times New Roman" w:hAnsi="Times New Roman"/>
        </w:rPr>
      </w:pPr>
      <w:r w:rsidRPr="48278560">
        <w:rPr>
          <w:rFonts w:ascii="Times New Roman" w:hAnsi="Times New Roman"/>
        </w:rPr>
        <w:t>The Electricity Directive (Di</w:t>
      </w:r>
      <w:r>
        <w:rPr>
          <w:rFonts w:ascii="Times New Roman" w:hAnsi="Times New Roman"/>
        </w:rPr>
        <w:t>rective (EU) 2019/944) already indicates</w:t>
      </w:r>
      <w:r w:rsidRPr="48278560">
        <w:rPr>
          <w:rFonts w:ascii="Times New Roman" w:hAnsi="Times New Roman"/>
        </w:rPr>
        <w:t xml:space="preserve"> in Article 15 that active customers owning an energy storage facility shall not be subject to double </w:t>
      </w:r>
      <w:r w:rsidRPr="48278560">
        <w:rPr>
          <w:rFonts w:ascii="Times New Roman" w:hAnsi="Times New Roman"/>
          <w:i/>
          <w:iCs/>
        </w:rPr>
        <w:t>charges</w:t>
      </w:r>
      <w:r w:rsidRPr="48278560">
        <w:rPr>
          <w:rFonts w:ascii="Times New Roman" w:hAnsi="Times New Roman"/>
        </w:rPr>
        <w:t xml:space="preserve"> for stored electricity remaining within their premises. As regards taxation, </w:t>
      </w:r>
      <w:r w:rsidRPr="48278560">
        <w:rPr>
          <w:rFonts w:ascii="Times New Roman" w:hAnsi="Times New Roman"/>
          <w:szCs w:val="24"/>
          <w:lang w:val="en-IE"/>
        </w:rPr>
        <w:t xml:space="preserve">electricity storage facilities and transformers of electricity </w:t>
      </w:r>
      <w:proofErr w:type="gramStart"/>
      <w:r w:rsidRPr="48278560">
        <w:rPr>
          <w:rFonts w:ascii="Times New Roman" w:hAnsi="Times New Roman"/>
          <w:szCs w:val="24"/>
          <w:lang w:val="en-IE"/>
        </w:rPr>
        <w:t>may be considered</w:t>
      </w:r>
      <w:proofErr w:type="gramEnd"/>
      <w:r w:rsidRPr="48278560">
        <w:rPr>
          <w:rFonts w:ascii="Times New Roman" w:hAnsi="Times New Roman"/>
          <w:szCs w:val="24"/>
          <w:lang w:val="en-IE"/>
        </w:rPr>
        <w:t xml:space="preserve"> as redistributors when they supply electricity and electricity can be subject to taxation and become chargeable at the time of supply by the redistributor.</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Paragraph 36: to develop an internal market for digital energy technologies while protecting consumers’ privacy and personal data</w:t>
      </w:r>
      <w:r>
        <w:rPr>
          <w:rFonts w:ascii="Times New Roman" w:hAnsi="Times New Roman"/>
        </w:rPr>
        <w:t>.</w:t>
      </w:r>
    </w:p>
    <w:p w:rsidR="00172634" w:rsidRDefault="00172634" w:rsidP="00172634">
      <w:pPr>
        <w:widowControl w:val="0"/>
        <w:spacing w:after="120"/>
        <w:ind w:left="567"/>
        <w:rPr>
          <w:rFonts w:ascii="Times New Roman" w:hAnsi="Times New Roman"/>
        </w:rPr>
      </w:pPr>
      <w:r w:rsidRPr="48278560">
        <w:rPr>
          <w:rFonts w:ascii="Times New Roman" w:hAnsi="Times New Roman"/>
        </w:rPr>
        <w:t xml:space="preserve">The Commission is currently working on the preparation of a Digitalisation of Energy Action Plan, </w:t>
      </w:r>
      <w:r>
        <w:rPr>
          <w:rFonts w:ascii="Times New Roman" w:hAnsi="Times New Roman"/>
        </w:rPr>
        <w:t>planned for 2022.</w:t>
      </w:r>
    </w:p>
    <w:p w:rsidR="00172634" w:rsidRDefault="00172634" w:rsidP="00172634">
      <w:pPr>
        <w:widowControl w:val="0"/>
        <w:numPr>
          <w:ilvl w:val="0"/>
          <w:numId w:val="2"/>
        </w:numPr>
        <w:spacing w:after="120"/>
        <w:ind w:left="567"/>
        <w:rPr>
          <w:rFonts w:ascii="Times New Roman" w:hAnsi="Times New Roman"/>
        </w:rPr>
      </w:pPr>
      <w:r w:rsidRPr="48278560">
        <w:rPr>
          <w:rFonts w:ascii="Times New Roman" w:hAnsi="Times New Roman"/>
        </w:rPr>
        <w:t xml:space="preserve">Paragraph 37: to make sure that the Agency for Cooperation of Energy Regulators </w:t>
      </w:r>
      <w:proofErr w:type="gramStart"/>
      <w:r w:rsidRPr="48278560">
        <w:rPr>
          <w:rFonts w:ascii="Times New Roman" w:hAnsi="Times New Roman"/>
        </w:rPr>
        <w:t>is provided</w:t>
      </w:r>
      <w:proofErr w:type="gramEnd"/>
      <w:r w:rsidRPr="48278560">
        <w:rPr>
          <w:rFonts w:ascii="Times New Roman" w:hAnsi="Times New Roman"/>
        </w:rPr>
        <w:t xml:space="preserve"> with sufficient means to carry out its missions</w:t>
      </w:r>
      <w:r>
        <w:rPr>
          <w:rFonts w:ascii="Times New Roman" w:hAnsi="Times New Roman"/>
        </w:rPr>
        <w:t>.</w:t>
      </w:r>
    </w:p>
    <w:p w:rsidR="00841B62" w:rsidRDefault="00172634" w:rsidP="00172634">
      <w:r w:rsidRPr="48278560">
        <w:rPr>
          <w:rFonts w:ascii="Times New Roman" w:hAnsi="Times New Roman"/>
        </w:rPr>
        <w:t xml:space="preserve">Significant increases in resources </w:t>
      </w:r>
      <w:proofErr w:type="gramStart"/>
      <w:r w:rsidRPr="48278560">
        <w:rPr>
          <w:rFonts w:ascii="Times New Roman" w:hAnsi="Times New Roman"/>
        </w:rPr>
        <w:t>should be based</w:t>
      </w:r>
      <w:proofErr w:type="gramEnd"/>
      <w:r w:rsidRPr="48278560">
        <w:rPr>
          <w:rFonts w:ascii="Times New Roman" w:hAnsi="Times New Roman"/>
        </w:rPr>
        <w:t xml:space="preserve"> on a Legislative Financial Statement (LFS). The Commission is preparing an assessment whether </w:t>
      </w:r>
      <w:r>
        <w:rPr>
          <w:rFonts w:ascii="Times New Roman" w:hAnsi="Times New Roman"/>
        </w:rPr>
        <w:t>the Agency for the Cooperation of Energy Regulators (</w:t>
      </w:r>
      <w:r w:rsidRPr="48278560">
        <w:rPr>
          <w:rFonts w:ascii="Times New Roman" w:hAnsi="Times New Roman"/>
        </w:rPr>
        <w:t>ACER</w:t>
      </w:r>
      <w:r>
        <w:rPr>
          <w:rFonts w:ascii="Times New Roman" w:hAnsi="Times New Roman"/>
        </w:rPr>
        <w:t>)</w:t>
      </w:r>
      <w:r w:rsidRPr="48278560">
        <w:rPr>
          <w:rFonts w:ascii="Times New Roman" w:hAnsi="Times New Roman"/>
        </w:rPr>
        <w:t xml:space="preserve"> has sufficient resources to be included in the Commission Opinion on ACER’s Programming Document 2022-2024. This assessment could identify higher proposed needs in the future and, subsequently, result in an LFS annexed to the Commission Opinion and </w:t>
      </w:r>
      <w:proofErr w:type="gramStart"/>
      <w:r w:rsidRPr="48278560">
        <w:rPr>
          <w:rFonts w:ascii="Times New Roman" w:hAnsi="Times New Roman"/>
        </w:rPr>
        <w:t>be reflected</w:t>
      </w:r>
      <w:proofErr w:type="gramEnd"/>
      <w:r w:rsidRPr="48278560">
        <w:rPr>
          <w:rFonts w:ascii="Times New Roman" w:hAnsi="Times New Roman"/>
        </w:rPr>
        <w:t xml:space="preserve"> in the autumn amending letter to the draft 2022 budget. </w:t>
      </w:r>
      <w:proofErr w:type="gramStart"/>
      <w:r w:rsidRPr="48278560">
        <w:rPr>
          <w:rFonts w:ascii="Times New Roman" w:hAnsi="Times New Roman"/>
        </w:rPr>
        <w:t xml:space="preserve">This would be a one-off effort covering existing tasks of ACER for which staffing needs had been underestimated when preparing the third internal market package and </w:t>
      </w:r>
      <w:r>
        <w:rPr>
          <w:rFonts w:ascii="Times New Roman" w:hAnsi="Times New Roman"/>
        </w:rPr>
        <w:t xml:space="preserve">the </w:t>
      </w:r>
      <w:r w:rsidRPr="00FE32F4">
        <w:rPr>
          <w:rFonts w:ascii="Times New Roman" w:hAnsi="Times New Roman"/>
          <w:lang w:val="en-IE"/>
        </w:rPr>
        <w:t xml:space="preserve">Regulation on Wholesale Energy Market Integrity and Transparency </w:t>
      </w:r>
      <w:r>
        <w:rPr>
          <w:rFonts w:ascii="Times New Roman" w:hAnsi="Times New Roman"/>
          <w:lang w:val="en-IE"/>
        </w:rPr>
        <w:t>(</w:t>
      </w:r>
      <w:r w:rsidRPr="00FE32F4">
        <w:rPr>
          <w:rFonts w:ascii="Times New Roman" w:hAnsi="Times New Roman"/>
        </w:rPr>
        <w:t>REMIT</w:t>
      </w:r>
      <w:r>
        <w:rPr>
          <w:rFonts w:ascii="Times New Roman" w:hAnsi="Times New Roman"/>
        </w:rPr>
        <w:t>)</w:t>
      </w:r>
      <w:r w:rsidRPr="48278560">
        <w:rPr>
          <w:rFonts w:ascii="Times New Roman" w:hAnsi="Times New Roman"/>
        </w:rPr>
        <w:t>.</w:t>
      </w:r>
      <w:proofErr w:type="gramEnd"/>
      <w:r w:rsidRPr="48278560">
        <w:rPr>
          <w:rFonts w:ascii="Times New Roman" w:hAnsi="Times New Roman"/>
        </w:rPr>
        <w:t xml:space="preserve"> As concerns the new tasks, staffing and other funding needs </w:t>
      </w:r>
      <w:proofErr w:type="gramStart"/>
      <w:r w:rsidRPr="48278560">
        <w:rPr>
          <w:rFonts w:ascii="Times New Roman" w:hAnsi="Times New Roman"/>
        </w:rPr>
        <w:t>should be sufficiently reflected</w:t>
      </w:r>
      <w:proofErr w:type="gramEnd"/>
      <w:r w:rsidRPr="48278560">
        <w:rPr>
          <w:rFonts w:ascii="Times New Roman" w:hAnsi="Times New Roman"/>
        </w:rPr>
        <w:t xml:space="preserve"> in the LFS accompanying new legislation. This is not only important when the Commission prepares proposals. </w:t>
      </w:r>
      <w:proofErr w:type="gramStart"/>
      <w:r w:rsidRPr="48278560">
        <w:rPr>
          <w:rFonts w:ascii="Times New Roman" w:hAnsi="Times New Roman"/>
        </w:rPr>
        <w:t>Also</w:t>
      </w:r>
      <w:proofErr w:type="gramEnd"/>
      <w:r w:rsidRPr="48278560">
        <w:rPr>
          <w:rFonts w:ascii="Times New Roman" w:hAnsi="Times New Roman"/>
        </w:rPr>
        <w:t xml:space="preserve">, the Parliament and the Council should, when agreeing on changes to a proposal in the </w:t>
      </w:r>
      <w:proofErr w:type="spellStart"/>
      <w:r w:rsidRPr="48278560">
        <w:rPr>
          <w:rFonts w:ascii="Times New Roman" w:hAnsi="Times New Roman"/>
        </w:rPr>
        <w:t>interinstitutional</w:t>
      </w:r>
      <w:proofErr w:type="spellEnd"/>
      <w:r w:rsidRPr="48278560">
        <w:rPr>
          <w:rFonts w:ascii="Times New Roman" w:hAnsi="Times New Roman"/>
        </w:rPr>
        <w:t xml:space="preserve"> negotiations which gives ACER new tasks, at the same time accept, as Budgetary Authority, that ACER may need additional resources.</w:t>
      </w:r>
    </w:p>
    <w:sectPr w:rsidR="00841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43"/>
    <w:multiLevelType w:val="hybridMultilevel"/>
    <w:tmpl w:val="71429596"/>
    <w:lvl w:ilvl="0" w:tplc="C66A7B6C">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34"/>
    <w:rsid w:val="00172634"/>
    <w:rsid w:val="00841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0DF4B-BE19-402E-A008-5ECE1A68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634"/>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6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10649</Characters>
  <Application>Microsoft Office Word</Application>
  <DocSecurity>0</DocSecurity>
  <Lines>154</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2021-11-08T19:52:00Z</dcterms:created>
  <dcterms:modified xsi:type="dcterms:W3CDTF">2021-11-08T19:52:00Z</dcterms:modified>
</cp:coreProperties>
</file>