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B2" w:rsidRPr="004E58B2" w:rsidRDefault="004E58B2" w:rsidP="004E58B2">
      <w:pPr>
        <w:spacing w:after="720" w:line="240" w:lineRule="auto"/>
        <w:jc w:val="center"/>
        <w:rPr>
          <w:rFonts w:eastAsia="Times New Roman" w:cs="Times New Roman"/>
          <w:b/>
          <w:bCs/>
          <w:szCs w:val="24"/>
          <w:lang w:eastAsia="en-GB"/>
        </w:rPr>
      </w:pPr>
      <w:bookmarkStart w:id="0" w:name="Fisheries"/>
      <w:bookmarkStart w:id="1" w:name="Honduras"/>
      <w:bookmarkStart w:id="2" w:name="chemicals"/>
      <w:r w:rsidRPr="004E58B2">
        <w:rPr>
          <w:rFonts w:eastAsia="Times New Roman" w:cs="Times New Roman"/>
          <w:b/>
          <w:bCs/>
          <w:szCs w:val="24"/>
          <w:lang w:eastAsia="en-GB"/>
        </w:rPr>
        <w:t xml:space="preserve">Follow up to the </w:t>
      </w:r>
      <w:r w:rsidRPr="004E58B2">
        <w:rPr>
          <w:rFonts w:eastAsia="Times New Roman" w:cs="Times New Roman"/>
          <w:b/>
          <w:szCs w:val="24"/>
          <w:lang w:eastAsia="en-GB"/>
        </w:rPr>
        <w:t>European Parliament non-legislative resolution</w:t>
      </w:r>
      <w:r w:rsidRPr="004E58B2">
        <w:rPr>
          <w:rFonts w:eastAsia="Times New Roman" w:cs="Times New Roman"/>
          <w:b/>
          <w:noProof/>
          <w:szCs w:val="24"/>
          <w:lang w:eastAsia="en-GB"/>
        </w:rPr>
        <w:t xml:space="preserve"> </w:t>
      </w:r>
      <w:bookmarkEnd w:id="0"/>
      <w:r w:rsidRPr="004E58B2">
        <w:rPr>
          <w:rFonts w:eastAsia="Times New Roman" w:cs="Times New Roman"/>
          <w:b/>
          <w:bCs/>
          <w:szCs w:val="24"/>
          <w:shd w:val="clear" w:color="auto" w:fill="FFFFFF"/>
          <w:lang w:eastAsia="en-GB"/>
        </w:rPr>
        <w:t xml:space="preserve">on </w:t>
      </w:r>
      <w:bookmarkEnd w:id="1"/>
      <w:r w:rsidRPr="004E58B2">
        <w:rPr>
          <w:rFonts w:eastAsia="Times New Roman" w:cs="Times New Roman"/>
          <w:b/>
          <w:bCs/>
          <w:szCs w:val="24"/>
          <w:shd w:val="clear" w:color="auto" w:fill="FFFFFF"/>
          <w:lang w:eastAsia="en-GB"/>
        </w:rPr>
        <w:t>chemical residues in the Baltic Sea, based on Petitions Nos 1328/2019 and 0406/2020</w:t>
      </w:r>
      <w:bookmarkEnd w:id="2"/>
    </w:p>
    <w:p w:rsidR="004E58B2" w:rsidRPr="004E58B2" w:rsidRDefault="004E58B2" w:rsidP="004E58B2">
      <w:pPr>
        <w:numPr>
          <w:ilvl w:val="0"/>
          <w:numId w:val="1"/>
        </w:numPr>
        <w:spacing w:after="240" w:line="240" w:lineRule="auto"/>
        <w:ind w:left="567" w:hanging="567"/>
        <w:jc w:val="both"/>
        <w:rPr>
          <w:rFonts w:eastAsia="Times New Roman" w:cs="Times New Roman"/>
          <w:bCs/>
          <w:szCs w:val="24"/>
          <w:lang w:eastAsia="en-GB"/>
        </w:rPr>
      </w:pPr>
      <w:r w:rsidRPr="004E58B2">
        <w:rPr>
          <w:rFonts w:eastAsia="Times New Roman" w:cs="Times New Roman"/>
          <w:b/>
          <w:bCs/>
          <w:szCs w:val="24"/>
          <w:lang w:eastAsia="en-GB"/>
        </w:rPr>
        <w:t>Resolution tabled pursuant to Rule 227(2) of the European Parliament's Rules of Procedure</w:t>
      </w:r>
    </w:p>
    <w:p w:rsidR="004E58B2" w:rsidRPr="004E58B2" w:rsidRDefault="004E58B2" w:rsidP="004E58B2">
      <w:pPr>
        <w:numPr>
          <w:ilvl w:val="0"/>
          <w:numId w:val="1"/>
        </w:numPr>
        <w:spacing w:after="240" w:line="240" w:lineRule="auto"/>
        <w:ind w:left="567" w:hanging="567"/>
        <w:jc w:val="both"/>
        <w:rPr>
          <w:rFonts w:eastAsia="Times New Roman" w:cs="Times New Roman"/>
          <w:i/>
          <w:iCs/>
          <w:szCs w:val="24"/>
          <w:lang w:eastAsia="en-GB"/>
        </w:rPr>
      </w:pPr>
      <w:r w:rsidRPr="004E58B2">
        <w:rPr>
          <w:rFonts w:eastAsia="Times New Roman" w:cs="Times New Roman"/>
          <w:b/>
          <w:bCs/>
          <w:szCs w:val="24"/>
          <w:lang w:eastAsia="en-GB"/>
        </w:rPr>
        <w:t xml:space="preserve">Reference numbers: </w:t>
      </w:r>
      <w:r w:rsidRPr="004E58B2">
        <w:rPr>
          <w:rFonts w:eastAsia="Times New Roman" w:cs="Times New Roman"/>
          <w:szCs w:val="24"/>
          <w:lang w:eastAsia="en-GB"/>
        </w:rPr>
        <w:t xml:space="preserve">2021/2567 (RSP) / </w:t>
      </w:r>
      <w:bookmarkStart w:id="3" w:name="_GoBack"/>
      <w:r w:rsidRPr="004E58B2">
        <w:rPr>
          <w:rFonts w:eastAsia="Times New Roman" w:cs="Times New Roman"/>
          <w:szCs w:val="24"/>
          <w:lang w:eastAsia="en-GB"/>
        </w:rPr>
        <w:t xml:space="preserve">B9-0224/2021 </w:t>
      </w:r>
      <w:bookmarkEnd w:id="3"/>
      <w:r w:rsidRPr="004E58B2">
        <w:rPr>
          <w:rFonts w:eastAsia="Times New Roman" w:cs="Times New Roman"/>
          <w:szCs w:val="24"/>
          <w:lang w:eastAsia="en-GB"/>
        </w:rPr>
        <w:t>/ P9_TA-PROV(2021)0123</w:t>
      </w:r>
    </w:p>
    <w:p w:rsidR="004E58B2" w:rsidRPr="004E58B2" w:rsidRDefault="004E58B2" w:rsidP="004E58B2">
      <w:pPr>
        <w:numPr>
          <w:ilvl w:val="0"/>
          <w:numId w:val="1"/>
        </w:numPr>
        <w:spacing w:after="240" w:line="240" w:lineRule="auto"/>
        <w:ind w:left="567" w:hanging="567"/>
        <w:jc w:val="both"/>
        <w:rPr>
          <w:rFonts w:eastAsia="Times New Roman" w:cs="Times New Roman"/>
          <w:szCs w:val="24"/>
          <w:lang w:eastAsia="en-GB"/>
        </w:rPr>
      </w:pPr>
      <w:r w:rsidRPr="004E58B2">
        <w:rPr>
          <w:rFonts w:eastAsia="Times New Roman" w:cs="Times New Roman"/>
          <w:b/>
          <w:bCs/>
          <w:szCs w:val="24"/>
          <w:lang w:eastAsia="en-GB"/>
        </w:rPr>
        <w:t xml:space="preserve">Date of adoption of the resolution: </w:t>
      </w:r>
      <w:r w:rsidRPr="004E58B2">
        <w:rPr>
          <w:rFonts w:eastAsia="Times New Roman" w:cs="Times New Roman"/>
          <w:szCs w:val="24"/>
          <w:lang w:eastAsia="en-GB"/>
        </w:rPr>
        <w:t>27April 2021</w:t>
      </w:r>
    </w:p>
    <w:p w:rsidR="004E58B2" w:rsidRPr="004E58B2" w:rsidRDefault="004E58B2" w:rsidP="004E58B2">
      <w:pPr>
        <w:numPr>
          <w:ilvl w:val="0"/>
          <w:numId w:val="1"/>
        </w:numPr>
        <w:spacing w:after="240" w:line="240" w:lineRule="auto"/>
        <w:ind w:left="567" w:hanging="567"/>
        <w:jc w:val="both"/>
        <w:rPr>
          <w:rFonts w:eastAsia="Times New Roman" w:cs="Times New Roman"/>
          <w:i/>
          <w:iCs/>
          <w:szCs w:val="24"/>
          <w:lang w:eastAsia="en-GB"/>
        </w:rPr>
      </w:pPr>
      <w:r w:rsidRPr="004E58B2">
        <w:rPr>
          <w:rFonts w:eastAsia="Times New Roman" w:cs="Times New Roman"/>
          <w:b/>
          <w:bCs/>
          <w:szCs w:val="24"/>
          <w:lang w:eastAsia="en-GB"/>
        </w:rPr>
        <w:t xml:space="preserve">Competent Parliamentary Committee: </w:t>
      </w:r>
      <w:r w:rsidRPr="004E58B2">
        <w:rPr>
          <w:rFonts w:eastAsia="Times New Roman" w:cs="Times New Roman"/>
          <w:szCs w:val="24"/>
          <w:lang w:eastAsia="en-GB"/>
        </w:rPr>
        <w:t>Committee on Petitions (</w:t>
      </w:r>
      <w:proofErr w:type="spellStart"/>
      <w:r w:rsidRPr="004E58B2">
        <w:rPr>
          <w:rFonts w:eastAsia="Times New Roman" w:cs="Times New Roman"/>
          <w:szCs w:val="24"/>
          <w:lang w:eastAsia="en-GB"/>
        </w:rPr>
        <w:t>PETI</w:t>
      </w:r>
      <w:proofErr w:type="spellEnd"/>
      <w:r w:rsidRPr="004E58B2">
        <w:rPr>
          <w:rFonts w:eastAsia="Times New Roman" w:cs="Times New Roman"/>
          <w:szCs w:val="24"/>
          <w:lang w:eastAsia="en-GB"/>
        </w:rPr>
        <w:t>)</w:t>
      </w:r>
    </w:p>
    <w:p w:rsidR="004E58B2" w:rsidRPr="004E58B2" w:rsidRDefault="004E58B2" w:rsidP="004E58B2">
      <w:pPr>
        <w:widowControl w:val="0"/>
        <w:numPr>
          <w:ilvl w:val="0"/>
          <w:numId w:val="1"/>
        </w:numPr>
        <w:spacing w:after="240" w:line="240" w:lineRule="auto"/>
        <w:ind w:left="567" w:hanging="567"/>
        <w:jc w:val="both"/>
        <w:rPr>
          <w:rFonts w:eastAsia="Times New Roman" w:cs="Times New Roman"/>
          <w:szCs w:val="24"/>
          <w:lang w:eastAsia="en-GB"/>
        </w:rPr>
      </w:pPr>
      <w:r w:rsidRPr="004E58B2">
        <w:rPr>
          <w:rFonts w:eastAsia="Times New Roman" w:cs="Times New Roman"/>
          <w:b/>
          <w:bCs/>
          <w:szCs w:val="24"/>
          <w:lang w:eastAsia="en-GB"/>
        </w:rPr>
        <w:t>Brief analysis/ assessment of the resolution and requests made in it:</w:t>
      </w:r>
    </w:p>
    <w:p w:rsidR="004E58B2" w:rsidRPr="004E58B2" w:rsidRDefault="004E58B2" w:rsidP="004E58B2">
      <w:pPr>
        <w:widowControl w:val="0"/>
        <w:spacing w:after="120" w:line="240" w:lineRule="auto"/>
        <w:jc w:val="both"/>
        <w:rPr>
          <w:rFonts w:eastAsia="Times New Roman" w:cs="Times New Roman"/>
          <w:szCs w:val="24"/>
          <w:lang w:eastAsia="en-GB"/>
        </w:rPr>
      </w:pPr>
      <w:r w:rsidRPr="004E58B2">
        <w:rPr>
          <w:rFonts w:eastAsia="Times New Roman" w:cs="Times New Roman"/>
          <w:szCs w:val="24"/>
          <w:lang w:eastAsia="en-GB"/>
        </w:rPr>
        <w:t>The resolution highlights the potential threats to the marine environment and humans posed by underwater chemical munitions that are to be found in the Baltic Sea (amounting to approximately 50 000 tonnes of conventional and chemical weapons containing hazardous substances). It calls upon the EU, the Member States and the international community to cooperate and provide resources for appropriate actions to tackle the potential threats posed by underwater chemical munitions.</w:t>
      </w:r>
    </w:p>
    <w:p w:rsidR="004E58B2" w:rsidRPr="004E58B2" w:rsidRDefault="004E58B2" w:rsidP="004E58B2">
      <w:pPr>
        <w:widowControl w:val="0"/>
        <w:spacing w:after="120" w:line="240" w:lineRule="auto"/>
        <w:jc w:val="both"/>
        <w:rPr>
          <w:rFonts w:eastAsia="Times New Roman" w:cs="Times New Roman"/>
          <w:szCs w:val="24"/>
          <w:lang w:eastAsia="en-GB"/>
        </w:rPr>
      </w:pPr>
      <w:r w:rsidRPr="004E58B2">
        <w:rPr>
          <w:rFonts w:eastAsia="Times New Roman" w:cs="Times New Roman"/>
          <w:szCs w:val="24"/>
          <w:lang w:eastAsia="en-GB"/>
        </w:rPr>
        <w:t xml:space="preserve">In particular, the resolution calls on the Commission and the Joint Programming Committee of the Interreg Baltic Sea Region to secure adequate financing for research and actions required to resolve the dangers posed by the munitions dumped in the Baltic Sea. It also recalls the valuable work made by the Helsinki </w:t>
      </w:r>
      <w:r w:rsidRPr="004E58B2">
        <w:rPr>
          <w:rFonts w:eastAsia="Times New Roman" w:cs="Times New Roman"/>
          <w:color w:val="000000"/>
          <w:szCs w:val="24"/>
          <w:lang w:eastAsia="en-GB"/>
        </w:rPr>
        <w:t>Convention for the Protection of the Marine Environment of the Baltic Sea</w:t>
      </w:r>
      <w:r w:rsidRPr="004E58B2">
        <w:rPr>
          <w:rFonts w:eastAsia="Times New Roman" w:cs="Times New Roman"/>
          <w:szCs w:val="24"/>
          <w:lang w:eastAsia="en-GB"/>
        </w:rPr>
        <w:t xml:space="preserve"> (</w:t>
      </w:r>
      <w:proofErr w:type="spellStart"/>
      <w:r w:rsidRPr="004E58B2">
        <w:rPr>
          <w:rFonts w:eastAsia="Times New Roman" w:cs="Times New Roman"/>
          <w:szCs w:val="24"/>
          <w:lang w:eastAsia="en-GB"/>
        </w:rPr>
        <w:t>HELCOM</w:t>
      </w:r>
      <w:proofErr w:type="spellEnd"/>
      <w:r w:rsidRPr="004E58B2">
        <w:rPr>
          <w:rFonts w:eastAsia="Times New Roman" w:cs="Times New Roman"/>
          <w:szCs w:val="24"/>
          <w:lang w:eastAsia="en-GB"/>
        </w:rPr>
        <w:t xml:space="preserve">) and various Interreg projects for the Baltic Sea, such as </w:t>
      </w:r>
      <w:proofErr w:type="spellStart"/>
      <w:r w:rsidRPr="004E58B2">
        <w:rPr>
          <w:rFonts w:eastAsia="Times New Roman" w:cs="Times New Roman"/>
          <w:szCs w:val="24"/>
          <w:lang w:eastAsia="en-GB"/>
        </w:rPr>
        <w:t>CHEMSEA</w:t>
      </w:r>
      <w:proofErr w:type="spellEnd"/>
      <w:r w:rsidRPr="004E58B2">
        <w:rPr>
          <w:rFonts w:eastAsia="Times New Roman" w:cs="Times New Roman"/>
          <w:szCs w:val="24"/>
          <w:lang w:eastAsia="en-GB"/>
        </w:rPr>
        <w:t xml:space="preserve">, </w:t>
      </w:r>
      <w:proofErr w:type="spellStart"/>
      <w:r w:rsidRPr="004E58B2">
        <w:rPr>
          <w:rFonts w:eastAsia="Times New Roman" w:cs="Times New Roman"/>
          <w:szCs w:val="24"/>
          <w:lang w:eastAsia="en-GB"/>
        </w:rPr>
        <w:t>DAIMON</w:t>
      </w:r>
      <w:proofErr w:type="spellEnd"/>
      <w:r w:rsidRPr="004E58B2">
        <w:rPr>
          <w:rFonts w:eastAsia="Times New Roman" w:cs="Times New Roman"/>
          <w:szCs w:val="24"/>
          <w:lang w:eastAsia="en-GB"/>
        </w:rPr>
        <w:t xml:space="preserve"> and </w:t>
      </w:r>
      <w:proofErr w:type="spellStart"/>
      <w:r w:rsidRPr="004E58B2">
        <w:rPr>
          <w:rFonts w:eastAsia="Times New Roman" w:cs="Times New Roman"/>
          <w:szCs w:val="24"/>
          <w:lang w:eastAsia="en-GB"/>
        </w:rPr>
        <w:t>DAIMON</w:t>
      </w:r>
      <w:proofErr w:type="spellEnd"/>
      <w:r w:rsidRPr="004E58B2">
        <w:rPr>
          <w:rFonts w:eastAsia="Times New Roman" w:cs="Times New Roman"/>
          <w:szCs w:val="24"/>
          <w:lang w:eastAsia="en-GB"/>
        </w:rPr>
        <w:t xml:space="preserve"> 2 (</w:t>
      </w:r>
      <w:r w:rsidRPr="004E58B2">
        <w:rPr>
          <w:rFonts w:eastAsia="Times New Roman" w:cs="Times New Roman"/>
          <w:b/>
          <w:szCs w:val="24"/>
          <w:lang w:eastAsia="en-GB"/>
        </w:rPr>
        <w:t>paragraph 3</w:t>
      </w:r>
      <w:r w:rsidRPr="004E58B2">
        <w:rPr>
          <w:rFonts w:eastAsia="Times New Roman" w:cs="Times New Roman"/>
          <w:szCs w:val="24"/>
          <w:lang w:eastAsia="en-GB"/>
        </w:rPr>
        <w:t xml:space="preserve">). In that regard, it regrets the fact that none of the EUR 8.8 million allotted under the European Neighbourhood Instrument </w:t>
      </w:r>
      <w:proofErr w:type="gramStart"/>
      <w:r w:rsidRPr="004E58B2">
        <w:rPr>
          <w:rFonts w:eastAsia="Times New Roman" w:cs="Times New Roman"/>
          <w:szCs w:val="24"/>
          <w:lang w:eastAsia="en-GB"/>
        </w:rPr>
        <w:t>was used</w:t>
      </w:r>
      <w:proofErr w:type="gramEnd"/>
      <w:r w:rsidRPr="004E58B2">
        <w:rPr>
          <w:rFonts w:eastAsia="Times New Roman" w:cs="Times New Roman"/>
          <w:szCs w:val="24"/>
          <w:lang w:eastAsia="en-GB"/>
        </w:rPr>
        <w:t xml:space="preserve"> for the </w:t>
      </w:r>
      <w:proofErr w:type="spellStart"/>
      <w:r w:rsidRPr="004E58B2">
        <w:rPr>
          <w:rFonts w:eastAsia="Times New Roman" w:cs="Times New Roman"/>
          <w:szCs w:val="24"/>
          <w:lang w:eastAsia="en-GB"/>
        </w:rPr>
        <w:t>DAIMON</w:t>
      </w:r>
      <w:proofErr w:type="spellEnd"/>
      <w:r w:rsidRPr="004E58B2">
        <w:rPr>
          <w:rFonts w:eastAsia="Times New Roman" w:cs="Times New Roman"/>
          <w:szCs w:val="24"/>
          <w:lang w:eastAsia="en-GB"/>
        </w:rPr>
        <w:t xml:space="preserve"> or </w:t>
      </w:r>
      <w:proofErr w:type="spellStart"/>
      <w:r w:rsidRPr="004E58B2">
        <w:rPr>
          <w:rFonts w:eastAsia="Times New Roman" w:cs="Times New Roman"/>
          <w:szCs w:val="24"/>
          <w:lang w:eastAsia="en-GB"/>
        </w:rPr>
        <w:t>DAIMON</w:t>
      </w:r>
      <w:proofErr w:type="spellEnd"/>
      <w:r w:rsidRPr="004E58B2">
        <w:rPr>
          <w:rFonts w:eastAsia="Times New Roman" w:cs="Times New Roman"/>
          <w:szCs w:val="24"/>
          <w:lang w:eastAsia="en-GB"/>
        </w:rPr>
        <w:t xml:space="preserve"> 2 projects under the Interreg Baltic Sea Region Programme (</w:t>
      </w:r>
      <w:r w:rsidRPr="004E58B2">
        <w:rPr>
          <w:rFonts w:eastAsia="Times New Roman" w:cs="Times New Roman"/>
          <w:b/>
          <w:szCs w:val="24"/>
          <w:lang w:eastAsia="en-GB"/>
        </w:rPr>
        <w:t>paragraph 9</w:t>
      </w:r>
      <w:r w:rsidRPr="004E58B2">
        <w:rPr>
          <w:rFonts w:eastAsia="Times New Roman" w:cs="Times New Roman"/>
          <w:szCs w:val="24"/>
          <w:lang w:eastAsia="en-GB"/>
        </w:rPr>
        <w:t>).</w:t>
      </w:r>
    </w:p>
    <w:p w:rsidR="004E58B2" w:rsidRPr="004E58B2" w:rsidRDefault="004E58B2" w:rsidP="004E58B2">
      <w:pPr>
        <w:widowControl w:val="0"/>
        <w:spacing w:after="120" w:line="240" w:lineRule="auto"/>
        <w:jc w:val="both"/>
        <w:rPr>
          <w:rFonts w:eastAsia="Times New Roman" w:cs="Times New Roman"/>
          <w:szCs w:val="24"/>
          <w:lang w:eastAsia="en-GB"/>
        </w:rPr>
      </w:pPr>
      <w:proofErr w:type="gramStart"/>
      <w:r w:rsidRPr="004E58B2">
        <w:rPr>
          <w:rFonts w:eastAsia="Times New Roman" w:cs="Times New Roman"/>
          <w:szCs w:val="24"/>
          <w:lang w:eastAsia="en-GB"/>
        </w:rPr>
        <w:t>In terms of resources, the resolution calls on the Commission to engage all the relevant EU agencies and institutions, including the European Defence Agency, and to make sure that the problem of chemical residues and dumped munitions in the Baltic Sea will be reflected in all the relevant EU policies and programming processes, including the Marine Strategy Framework Directive and the Maritime Security Strategy Action Plan (</w:t>
      </w:r>
      <w:r w:rsidRPr="004E58B2">
        <w:rPr>
          <w:rFonts w:eastAsia="Times New Roman" w:cs="Times New Roman"/>
          <w:b/>
          <w:szCs w:val="24"/>
          <w:lang w:eastAsia="en-GB"/>
        </w:rPr>
        <w:t>paragraph 10</w:t>
      </w:r>
      <w:r w:rsidRPr="004E58B2">
        <w:rPr>
          <w:rFonts w:eastAsia="Times New Roman" w:cs="Times New Roman"/>
          <w:szCs w:val="24"/>
          <w:lang w:eastAsia="en-GB"/>
        </w:rPr>
        <w:t>).</w:t>
      </w:r>
      <w:proofErr w:type="gramEnd"/>
      <w:r w:rsidRPr="004E58B2">
        <w:rPr>
          <w:rFonts w:eastAsia="Times New Roman" w:cs="Times New Roman"/>
          <w:szCs w:val="24"/>
          <w:lang w:eastAsia="en-GB"/>
        </w:rPr>
        <w:t xml:space="preserve"> In order to enable the submission of projects covering regions affected by the same problem (the Adriatic and Ionian Seas, North Sea and Baltic Sea) and facilitate the exchange of experience and best practices, the resolution also calls on the Commission to ensure that this issue is included in its horizontal programmes (</w:t>
      </w:r>
      <w:r w:rsidRPr="004E58B2">
        <w:rPr>
          <w:rFonts w:eastAsia="Times New Roman" w:cs="Times New Roman"/>
          <w:b/>
          <w:szCs w:val="24"/>
          <w:lang w:eastAsia="en-GB"/>
        </w:rPr>
        <w:t>paragraph 11)</w:t>
      </w:r>
      <w:r w:rsidRPr="004E58B2">
        <w:rPr>
          <w:rFonts w:eastAsia="Times New Roman" w:cs="Times New Roman"/>
          <w:szCs w:val="24"/>
          <w:lang w:eastAsia="en-GB"/>
        </w:rPr>
        <w:t>.</w:t>
      </w:r>
    </w:p>
    <w:p w:rsidR="004E58B2" w:rsidRPr="004E58B2" w:rsidRDefault="004E58B2" w:rsidP="004E58B2">
      <w:pPr>
        <w:widowControl w:val="0"/>
        <w:spacing w:after="120" w:line="240" w:lineRule="auto"/>
        <w:jc w:val="both"/>
        <w:rPr>
          <w:rFonts w:eastAsia="Times New Roman" w:cs="Times New Roman"/>
          <w:szCs w:val="24"/>
          <w:lang w:eastAsia="en-GB"/>
        </w:rPr>
      </w:pPr>
      <w:r w:rsidRPr="004E58B2">
        <w:rPr>
          <w:rFonts w:eastAsia="Times New Roman" w:cs="Times New Roman"/>
          <w:szCs w:val="24"/>
          <w:lang w:eastAsia="en-GB"/>
        </w:rPr>
        <w:t>In view of tackling pollution, the resolution asks the Commission to deploy concerted efforts and to foster all types of regional, national and international cooperation, including through its partnership with NATO (</w:t>
      </w:r>
      <w:r w:rsidRPr="004E58B2">
        <w:rPr>
          <w:rFonts w:eastAsia="Times New Roman" w:cs="Times New Roman"/>
          <w:b/>
          <w:szCs w:val="24"/>
          <w:lang w:eastAsia="en-GB"/>
        </w:rPr>
        <w:t>paragraph 12</w:t>
      </w:r>
      <w:r w:rsidRPr="004E58B2">
        <w:rPr>
          <w:rFonts w:eastAsia="Times New Roman" w:cs="Times New Roman"/>
          <w:szCs w:val="24"/>
          <w:lang w:eastAsia="en-GB"/>
        </w:rPr>
        <w:t>).</w:t>
      </w:r>
    </w:p>
    <w:p w:rsidR="004E58B2" w:rsidRPr="004E58B2" w:rsidRDefault="004E58B2" w:rsidP="004E58B2">
      <w:pPr>
        <w:widowControl w:val="0"/>
        <w:spacing w:after="120" w:line="240" w:lineRule="auto"/>
        <w:jc w:val="both"/>
        <w:rPr>
          <w:rFonts w:eastAsia="Times New Roman" w:cs="Times New Roman"/>
          <w:szCs w:val="24"/>
          <w:lang w:eastAsia="en-GB"/>
        </w:rPr>
      </w:pPr>
      <w:proofErr w:type="gramStart"/>
      <w:r w:rsidRPr="004E58B2">
        <w:rPr>
          <w:rFonts w:eastAsia="Times New Roman" w:cs="Times New Roman"/>
          <w:szCs w:val="24"/>
          <w:lang w:eastAsia="en-GB"/>
        </w:rPr>
        <w:t xml:space="preserve">More specifically, to achieve its zero pollution ambition, the resolution calls on the Commission to establish an expert group with the Member States affected and other stakeholders and organisations, tasked with the following mandate: (i) studying and mapping the exact locations of contaminated areas; (ii) proposing suitable environmentally friendly and cost-effective solutions for monitoring and cleaning the pollution with the ultimate aim of removing or fully neutralising hazardous materials where extraction is impossible; (iii) developing reliable decision-making support tools; (iv) conducting an awareness-raising </w:t>
      </w:r>
      <w:r w:rsidRPr="004E58B2">
        <w:rPr>
          <w:rFonts w:eastAsia="Times New Roman" w:cs="Times New Roman"/>
          <w:szCs w:val="24"/>
          <w:lang w:eastAsia="en-GB"/>
        </w:rPr>
        <w:lastRenderedPageBreak/>
        <w:t>campaign to inform the groups affected (such as fishers, local residents, tourists and investors) of the potential health and economic risks; and (v) developing emergency response guidelines for environmental disasters (</w:t>
      </w:r>
      <w:r w:rsidRPr="004E58B2">
        <w:rPr>
          <w:rFonts w:eastAsia="Times New Roman" w:cs="Times New Roman"/>
          <w:b/>
          <w:szCs w:val="24"/>
          <w:lang w:eastAsia="en-GB"/>
        </w:rPr>
        <w:t>paragraph 8)</w:t>
      </w:r>
      <w:r w:rsidRPr="004E58B2">
        <w:rPr>
          <w:rFonts w:eastAsia="Times New Roman" w:cs="Times New Roman"/>
          <w:szCs w:val="24"/>
          <w:lang w:eastAsia="en-GB"/>
        </w:rPr>
        <w:t>.</w:t>
      </w:r>
      <w:proofErr w:type="gramEnd"/>
    </w:p>
    <w:p w:rsidR="004E58B2" w:rsidRPr="004E58B2" w:rsidRDefault="004E58B2" w:rsidP="004E58B2">
      <w:pPr>
        <w:widowControl w:val="0"/>
        <w:numPr>
          <w:ilvl w:val="0"/>
          <w:numId w:val="1"/>
        </w:numPr>
        <w:spacing w:after="240" w:line="240" w:lineRule="auto"/>
        <w:ind w:left="567" w:hanging="567"/>
        <w:jc w:val="both"/>
        <w:rPr>
          <w:rFonts w:eastAsia="Times New Roman" w:cs="Times New Roman"/>
          <w:b/>
          <w:bCs/>
          <w:szCs w:val="24"/>
          <w:lang w:eastAsia="en-GB"/>
        </w:rPr>
      </w:pPr>
      <w:r w:rsidRPr="004E58B2">
        <w:rPr>
          <w:rFonts w:eastAsia="Times New Roman" w:cs="Times New Roman"/>
          <w:b/>
          <w:bCs/>
          <w:szCs w:val="24"/>
          <w:lang w:eastAsia="en-GB"/>
        </w:rPr>
        <w:t>Response to the requests and overview of the action taken, or intended to be taken, by the Commission:</w:t>
      </w:r>
    </w:p>
    <w:p w:rsidR="004E58B2" w:rsidRPr="004E58B2" w:rsidRDefault="004E58B2" w:rsidP="004E58B2">
      <w:pPr>
        <w:spacing w:after="120" w:line="240" w:lineRule="auto"/>
        <w:jc w:val="both"/>
        <w:rPr>
          <w:rFonts w:eastAsia="Times New Roman" w:cs="Times New Roman"/>
          <w:color w:val="000000"/>
          <w:szCs w:val="27"/>
          <w:lang w:eastAsia="en-GB"/>
        </w:rPr>
      </w:pPr>
      <w:r w:rsidRPr="004E58B2">
        <w:rPr>
          <w:rFonts w:eastAsia="Times New Roman" w:cs="Times New Roman"/>
          <w:color w:val="000000"/>
          <w:szCs w:val="27"/>
          <w:lang w:eastAsia="en-GB"/>
        </w:rPr>
        <w:t xml:space="preserve">With respect to </w:t>
      </w:r>
      <w:r w:rsidRPr="004E58B2">
        <w:rPr>
          <w:rFonts w:eastAsia="Times New Roman" w:cs="Times New Roman"/>
          <w:b/>
          <w:color w:val="000000"/>
          <w:szCs w:val="27"/>
          <w:lang w:eastAsia="en-GB"/>
        </w:rPr>
        <w:t>paragraph 3</w:t>
      </w:r>
      <w:r w:rsidRPr="004E58B2">
        <w:rPr>
          <w:rFonts w:eastAsia="Times New Roman" w:cs="Times New Roman"/>
          <w:color w:val="000000"/>
          <w:szCs w:val="27"/>
          <w:lang w:eastAsia="en-GB"/>
        </w:rPr>
        <w:t xml:space="preserve">, the Commission would like to highlight that the Interreg Baltic Sea region programme </w:t>
      </w:r>
      <w:proofErr w:type="gramStart"/>
      <w:r w:rsidRPr="004E58B2">
        <w:rPr>
          <w:rFonts w:eastAsia="Times New Roman" w:cs="Times New Roman"/>
          <w:color w:val="000000"/>
          <w:szCs w:val="27"/>
          <w:lang w:eastAsia="en-GB"/>
        </w:rPr>
        <w:t>is implemented</w:t>
      </w:r>
      <w:proofErr w:type="gramEnd"/>
      <w:r w:rsidRPr="004E58B2">
        <w:rPr>
          <w:rFonts w:eastAsia="Times New Roman" w:cs="Times New Roman"/>
          <w:color w:val="000000"/>
          <w:szCs w:val="27"/>
          <w:lang w:eastAsia="en-GB"/>
        </w:rPr>
        <w:t xml:space="preserve"> under the principle of shared management, under which it is the responsibility of the Member States and the Joint Monitoring Committee´s (</w:t>
      </w:r>
      <w:proofErr w:type="spellStart"/>
      <w:r w:rsidRPr="004E58B2">
        <w:rPr>
          <w:rFonts w:eastAsia="Times New Roman" w:cs="Times New Roman"/>
          <w:color w:val="000000"/>
          <w:szCs w:val="27"/>
          <w:lang w:eastAsia="en-GB"/>
        </w:rPr>
        <w:t>JMC</w:t>
      </w:r>
      <w:proofErr w:type="spellEnd"/>
      <w:r w:rsidRPr="004E58B2">
        <w:rPr>
          <w:rFonts w:eastAsia="Times New Roman" w:cs="Times New Roman"/>
          <w:color w:val="000000"/>
          <w:szCs w:val="27"/>
          <w:lang w:eastAsia="en-GB"/>
        </w:rPr>
        <w:t>) to select the projects to be financed (e.g. through calls or other instruments). The Commission, in close collaboration with the Member States, negotiates and agrees the main priorities and objectives of each programme, and the relevant programme authorities ensure that the selected projects are in line with the programme objectives.</w:t>
      </w:r>
    </w:p>
    <w:p w:rsidR="004E58B2" w:rsidRPr="004E58B2" w:rsidRDefault="004E58B2" w:rsidP="004E58B2">
      <w:pPr>
        <w:spacing w:after="120" w:line="240" w:lineRule="auto"/>
        <w:jc w:val="both"/>
        <w:rPr>
          <w:rFonts w:eastAsia="Times New Roman" w:cs="Times New Roman"/>
          <w:color w:val="000000"/>
          <w:szCs w:val="27"/>
          <w:lang w:eastAsia="en-GB"/>
        </w:rPr>
      </w:pPr>
      <w:r w:rsidRPr="004E58B2">
        <w:rPr>
          <w:rFonts w:eastAsia="Times New Roman" w:cs="Times New Roman"/>
          <w:color w:val="000000"/>
          <w:szCs w:val="27"/>
          <w:lang w:eastAsia="en-GB"/>
        </w:rPr>
        <w:t xml:space="preserve">The 2021-2027 Baltic Sea region programme </w:t>
      </w:r>
      <w:proofErr w:type="gramStart"/>
      <w:r w:rsidRPr="004E58B2">
        <w:rPr>
          <w:rFonts w:eastAsia="Times New Roman" w:cs="Times New Roman"/>
          <w:color w:val="000000"/>
          <w:szCs w:val="27"/>
          <w:lang w:eastAsia="en-GB"/>
        </w:rPr>
        <w:t>has not yet been adopted</w:t>
      </w:r>
      <w:proofErr w:type="gramEnd"/>
      <w:r w:rsidRPr="004E58B2">
        <w:rPr>
          <w:rFonts w:eastAsia="Times New Roman" w:cs="Times New Roman"/>
          <w:color w:val="000000"/>
          <w:szCs w:val="27"/>
          <w:lang w:eastAsia="en-GB"/>
        </w:rPr>
        <w:t xml:space="preserve">, as the adoption of regulatory basis for Interreg programmes was delayed. However, the current informal draft of the programmes builds on the achievements of previous programmes and focuses on Policy Objective 2 on Greener Europe, under which the aim is </w:t>
      </w:r>
      <w:proofErr w:type="gramStart"/>
      <w:r w:rsidRPr="004E58B2">
        <w:rPr>
          <w:rFonts w:eastAsia="Times New Roman" w:cs="Times New Roman"/>
          <w:color w:val="000000"/>
          <w:szCs w:val="27"/>
          <w:lang w:eastAsia="en-GB"/>
        </w:rPr>
        <w:t>to also invest</w:t>
      </w:r>
      <w:proofErr w:type="gramEnd"/>
      <w:r w:rsidRPr="004E58B2">
        <w:rPr>
          <w:rFonts w:eastAsia="Times New Roman" w:cs="Times New Roman"/>
          <w:color w:val="000000"/>
          <w:szCs w:val="27"/>
          <w:lang w:eastAsia="en-GB"/>
        </w:rPr>
        <w:t xml:space="preserve"> in sustainable water management to make the Baltic Sea and the inland waters cleaner, and to enable sustainable use of marine resources adapting to the changing climate. Under this priority actions to introduce procedures to remove hazardous substances from the sea, including marine litter and hazardous submerged objects, </w:t>
      </w:r>
      <w:proofErr w:type="gramStart"/>
      <w:r w:rsidRPr="004E58B2">
        <w:rPr>
          <w:rFonts w:eastAsia="Times New Roman" w:cs="Times New Roman"/>
          <w:color w:val="000000"/>
          <w:szCs w:val="27"/>
          <w:lang w:eastAsia="en-GB"/>
        </w:rPr>
        <w:t>can also be financed</w:t>
      </w:r>
      <w:proofErr w:type="gramEnd"/>
      <w:r w:rsidRPr="004E58B2">
        <w:rPr>
          <w:rFonts w:eastAsia="Times New Roman" w:cs="Times New Roman"/>
          <w:color w:val="000000"/>
          <w:szCs w:val="27"/>
          <w:lang w:eastAsia="en-GB"/>
        </w:rPr>
        <w:t>.</w:t>
      </w:r>
    </w:p>
    <w:p w:rsidR="004E58B2" w:rsidRPr="004E58B2" w:rsidRDefault="004E58B2" w:rsidP="004E58B2">
      <w:pPr>
        <w:spacing w:after="120" w:line="240" w:lineRule="auto"/>
        <w:jc w:val="both"/>
        <w:rPr>
          <w:rFonts w:eastAsia="Times New Roman" w:cs="Times New Roman"/>
          <w:color w:val="000000"/>
          <w:szCs w:val="27"/>
          <w:lang w:eastAsia="en-GB"/>
        </w:rPr>
      </w:pPr>
      <w:r w:rsidRPr="004E58B2">
        <w:rPr>
          <w:rFonts w:eastAsia="Times New Roman" w:cs="Times New Roman"/>
          <w:color w:val="000000"/>
          <w:szCs w:val="27"/>
          <w:lang w:eastAsia="en-GB"/>
        </w:rPr>
        <w:t xml:space="preserve">The future Interreg Baltic Sea region programme will focus on further application of solutions and tools already developed in </w:t>
      </w:r>
      <w:proofErr w:type="spellStart"/>
      <w:r w:rsidRPr="004E58B2">
        <w:rPr>
          <w:rFonts w:eastAsia="Times New Roman" w:cs="Times New Roman"/>
          <w:color w:val="000000"/>
          <w:szCs w:val="27"/>
          <w:lang w:eastAsia="en-GB"/>
        </w:rPr>
        <w:t>CHEMSEA</w:t>
      </w:r>
      <w:proofErr w:type="spellEnd"/>
      <w:r w:rsidRPr="004E58B2">
        <w:rPr>
          <w:rFonts w:eastAsia="Times New Roman" w:cs="Times New Roman"/>
          <w:color w:val="000000"/>
          <w:szCs w:val="27"/>
          <w:lang w:eastAsia="en-GB"/>
        </w:rPr>
        <w:t xml:space="preserve">, </w:t>
      </w:r>
      <w:proofErr w:type="spellStart"/>
      <w:r w:rsidRPr="004E58B2">
        <w:rPr>
          <w:rFonts w:eastAsia="Times New Roman" w:cs="Times New Roman"/>
          <w:color w:val="000000"/>
          <w:szCs w:val="27"/>
          <w:lang w:eastAsia="en-GB"/>
        </w:rPr>
        <w:t>DAIMON</w:t>
      </w:r>
      <w:proofErr w:type="spellEnd"/>
      <w:r w:rsidRPr="004E58B2">
        <w:rPr>
          <w:rFonts w:eastAsia="Times New Roman" w:cs="Times New Roman"/>
          <w:color w:val="000000"/>
          <w:szCs w:val="27"/>
          <w:lang w:eastAsia="en-GB"/>
        </w:rPr>
        <w:t xml:space="preserve"> and </w:t>
      </w:r>
      <w:proofErr w:type="spellStart"/>
      <w:r w:rsidRPr="004E58B2">
        <w:rPr>
          <w:rFonts w:eastAsia="Times New Roman" w:cs="Times New Roman"/>
          <w:color w:val="000000"/>
          <w:szCs w:val="27"/>
          <w:lang w:eastAsia="en-GB"/>
        </w:rPr>
        <w:t>DAIMON</w:t>
      </w:r>
      <w:proofErr w:type="spellEnd"/>
      <w:r w:rsidRPr="004E58B2">
        <w:rPr>
          <w:rFonts w:eastAsia="Times New Roman" w:cs="Times New Roman"/>
          <w:color w:val="000000"/>
          <w:szCs w:val="27"/>
          <w:lang w:eastAsia="en-GB"/>
        </w:rPr>
        <w:t xml:space="preserve"> 2 projects by national and regional authorities and with other sources of funding. In addition, the “project platform” instrument of the Interreg Baltic Sea region programme 2021-2027 can provide means to support research and actions also related to the issue of resolving the dangers posed by the munitions dumped in the Baltic Sea, by linking thematically related projects from various programmes, bundling their results and facilitating a streamlined access to knowledge. The aim is to help users looking for results in a specific thematic area and to create synergies across EU funds, projects and research areas.</w:t>
      </w:r>
    </w:p>
    <w:p w:rsidR="004E58B2" w:rsidRPr="004E58B2" w:rsidRDefault="004E58B2" w:rsidP="004E58B2">
      <w:pPr>
        <w:spacing w:after="120" w:line="240" w:lineRule="auto"/>
        <w:jc w:val="both"/>
        <w:rPr>
          <w:rFonts w:eastAsia="Times New Roman" w:cs="Times New Roman"/>
          <w:color w:val="000000"/>
          <w:szCs w:val="24"/>
          <w:lang w:eastAsia="en-GB"/>
        </w:rPr>
      </w:pPr>
      <w:r w:rsidRPr="004E58B2">
        <w:rPr>
          <w:rFonts w:eastAsia="Times New Roman" w:cs="Times New Roman"/>
          <w:color w:val="000000"/>
          <w:szCs w:val="27"/>
          <w:lang w:eastAsia="en-GB"/>
        </w:rPr>
        <w:t>With respect to</w:t>
      </w:r>
      <w:r w:rsidRPr="004E58B2">
        <w:rPr>
          <w:rFonts w:eastAsia="Times New Roman" w:cs="Times New Roman"/>
          <w:b/>
          <w:color w:val="000000"/>
          <w:szCs w:val="27"/>
          <w:lang w:eastAsia="en-GB"/>
        </w:rPr>
        <w:t xml:space="preserve"> paragraph 10</w:t>
      </w:r>
      <w:r w:rsidRPr="004E58B2">
        <w:rPr>
          <w:rFonts w:eastAsia="Times New Roman" w:cs="Times New Roman"/>
          <w:color w:val="000000"/>
          <w:szCs w:val="27"/>
          <w:lang w:eastAsia="en-GB"/>
        </w:rPr>
        <w:t>, the Commission would like to highlight</w:t>
      </w:r>
      <w:r w:rsidRPr="004E58B2">
        <w:rPr>
          <w:rFonts w:eastAsia="Times New Roman" w:cs="Times New Roman"/>
          <w:color w:val="000000"/>
          <w:szCs w:val="24"/>
          <w:lang w:eastAsia="en-GB"/>
        </w:rPr>
        <w:t xml:space="preserve"> that the issue of dumped chemicals and munitions in the marine environment </w:t>
      </w:r>
      <w:proofErr w:type="gramStart"/>
      <w:r w:rsidRPr="004E58B2">
        <w:rPr>
          <w:rFonts w:eastAsia="Times New Roman" w:cs="Times New Roman"/>
          <w:color w:val="000000"/>
          <w:szCs w:val="24"/>
          <w:lang w:eastAsia="en-GB"/>
        </w:rPr>
        <w:t>is tackled</w:t>
      </w:r>
      <w:proofErr w:type="gramEnd"/>
      <w:r w:rsidRPr="004E58B2">
        <w:rPr>
          <w:rFonts w:eastAsia="Times New Roman" w:cs="Times New Roman"/>
          <w:color w:val="000000"/>
          <w:szCs w:val="24"/>
          <w:lang w:eastAsia="en-GB"/>
        </w:rPr>
        <w:t xml:space="preserve"> under the EU </w:t>
      </w:r>
      <w:r w:rsidRPr="004E58B2">
        <w:rPr>
          <w:rFonts w:eastAsia="Times New Roman" w:cs="Times New Roman"/>
          <w:szCs w:val="24"/>
          <w:lang w:eastAsia="en-GB"/>
        </w:rPr>
        <w:t>Maritime Security Strategy Action Plan (</w:t>
      </w:r>
      <w:proofErr w:type="spellStart"/>
      <w:r w:rsidRPr="004E58B2">
        <w:rPr>
          <w:rFonts w:eastAsia="Times New Roman" w:cs="Times New Roman"/>
          <w:szCs w:val="24"/>
          <w:lang w:eastAsia="en-GB"/>
        </w:rPr>
        <w:t>EUMSS</w:t>
      </w:r>
      <w:proofErr w:type="spellEnd"/>
      <w:r w:rsidRPr="004E58B2">
        <w:rPr>
          <w:rFonts w:eastAsia="Times New Roman" w:cs="Times New Roman"/>
          <w:szCs w:val="24"/>
          <w:lang w:eastAsia="en-GB"/>
        </w:rPr>
        <w:t xml:space="preserve"> AP). Through this plan, the Commission promotes exercises and training programmes to optimise the disposal and, where possible, the elimination of sea-dumped chemical munitions and unexploded ordnances, and to improve the emergency procedures in the case of accidental recovery of such munitions. Furthermore, in January 2021, the European Commission launched a specific study to map the dumped munitions, to improve coordination in monitoring and tackling them, to determine a set of common procedures and response models in dealing with accidental munition recovery and to identify best practices for removal, thereby limiting harmful impacts to the marine environment. The study </w:t>
      </w:r>
      <w:proofErr w:type="gramStart"/>
      <w:r w:rsidRPr="004E58B2">
        <w:rPr>
          <w:rFonts w:eastAsia="Times New Roman" w:cs="Times New Roman"/>
          <w:szCs w:val="24"/>
          <w:lang w:eastAsia="en-GB"/>
        </w:rPr>
        <w:t>will be completed</w:t>
      </w:r>
      <w:proofErr w:type="gramEnd"/>
      <w:r w:rsidRPr="004E58B2">
        <w:rPr>
          <w:rFonts w:eastAsia="Times New Roman" w:cs="Times New Roman"/>
          <w:szCs w:val="24"/>
          <w:lang w:eastAsia="en-GB"/>
        </w:rPr>
        <w:t xml:space="preserve"> by the end of 2021.</w:t>
      </w:r>
    </w:p>
    <w:p w:rsidR="004E58B2" w:rsidRPr="004E58B2" w:rsidRDefault="004E58B2" w:rsidP="004E58B2">
      <w:pPr>
        <w:spacing w:after="120" w:line="240" w:lineRule="auto"/>
        <w:jc w:val="both"/>
        <w:rPr>
          <w:rFonts w:eastAsia="Times New Roman" w:cs="Times New Roman"/>
          <w:i/>
          <w:szCs w:val="20"/>
          <w:lang w:val="en-US" w:eastAsia="en-GB"/>
        </w:rPr>
      </w:pPr>
      <w:r w:rsidRPr="004E58B2">
        <w:rPr>
          <w:rFonts w:eastAsia="Times New Roman" w:cs="Times New Roman"/>
          <w:color w:val="000000"/>
          <w:szCs w:val="24"/>
          <w:lang w:eastAsia="en-GB"/>
        </w:rPr>
        <w:t>In addition, under the Marine Strategy Framework Directive</w:t>
      </w:r>
      <w:r w:rsidRPr="004E58B2">
        <w:rPr>
          <w:rFonts w:eastAsia="Times New Roman" w:cs="Times New Roman"/>
          <w:szCs w:val="24"/>
          <w:vertAlign w:val="superscript"/>
          <w:lang w:eastAsia="en-GB"/>
        </w:rPr>
        <w:footnoteReference w:id="1"/>
      </w:r>
      <w:r w:rsidRPr="004E58B2">
        <w:rPr>
          <w:rFonts w:eastAsia="Times New Roman" w:cs="Times New Roman"/>
          <w:color w:val="000000"/>
          <w:szCs w:val="24"/>
          <w:lang w:eastAsia="en-GB"/>
        </w:rPr>
        <w:t xml:space="preserve"> (</w:t>
      </w:r>
      <w:proofErr w:type="spellStart"/>
      <w:r w:rsidRPr="004E58B2">
        <w:rPr>
          <w:rFonts w:eastAsia="Times New Roman" w:cs="Times New Roman"/>
          <w:color w:val="000000"/>
          <w:szCs w:val="24"/>
          <w:lang w:eastAsia="en-GB"/>
        </w:rPr>
        <w:t>MSFD</w:t>
      </w:r>
      <w:proofErr w:type="spellEnd"/>
      <w:r w:rsidRPr="004E58B2">
        <w:rPr>
          <w:rFonts w:eastAsia="Times New Roman" w:cs="Times New Roman"/>
          <w:color w:val="000000"/>
          <w:szCs w:val="24"/>
          <w:lang w:eastAsia="en-GB"/>
        </w:rPr>
        <w:t xml:space="preserve">), dumped chemicals and munitions are considered as a potential source of chemical contamination and marine litter in the marine environment, which thus has to </w:t>
      </w:r>
      <w:proofErr w:type="gramStart"/>
      <w:r w:rsidRPr="004E58B2">
        <w:rPr>
          <w:rFonts w:eastAsia="Times New Roman" w:cs="Times New Roman"/>
          <w:color w:val="000000"/>
          <w:szCs w:val="24"/>
          <w:lang w:eastAsia="en-GB"/>
        </w:rPr>
        <w:t>be monitored</w:t>
      </w:r>
      <w:proofErr w:type="gramEnd"/>
      <w:r w:rsidRPr="004E58B2">
        <w:rPr>
          <w:rFonts w:eastAsia="Times New Roman" w:cs="Times New Roman"/>
          <w:color w:val="000000"/>
          <w:szCs w:val="24"/>
          <w:lang w:eastAsia="en-GB"/>
        </w:rPr>
        <w:t xml:space="preserve"> by the Member States and taken into account in their marine strategies, including in the definition of their programmes of </w:t>
      </w:r>
      <w:r w:rsidRPr="004E58B2">
        <w:rPr>
          <w:rFonts w:eastAsia="Times New Roman" w:cs="Times New Roman"/>
          <w:color w:val="000000"/>
          <w:szCs w:val="24"/>
          <w:lang w:eastAsia="en-GB"/>
        </w:rPr>
        <w:lastRenderedPageBreak/>
        <w:t>measures</w:t>
      </w:r>
      <w:r w:rsidRPr="004E58B2">
        <w:rPr>
          <w:rFonts w:eastAsia="Times New Roman" w:cs="Times New Roman"/>
          <w:color w:val="000000"/>
          <w:szCs w:val="24"/>
          <w:vertAlign w:val="superscript"/>
          <w:lang w:eastAsia="en-GB"/>
        </w:rPr>
        <w:footnoteReference w:id="2"/>
      </w:r>
      <w:r w:rsidRPr="004E58B2">
        <w:rPr>
          <w:rFonts w:eastAsia="Times New Roman" w:cs="Times New Roman"/>
          <w:color w:val="000000"/>
          <w:szCs w:val="24"/>
          <w:lang w:eastAsia="en-GB"/>
        </w:rPr>
        <w:t>. In particular, it is necessary to: i) monitor the chemical pollution of the dumping areas, ii) estimate the status of chemical ammunition and containers; iii) further surveying threats of this pollution to the environment. The recently adopted Zero pollution action plan</w:t>
      </w:r>
      <w:r w:rsidRPr="004E58B2">
        <w:rPr>
          <w:rFonts w:eastAsia="Times New Roman" w:cs="Times New Roman"/>
          <w:color w:val="000000"/>
          <w:szCs w:val="24"/>
          <w:vertAlign w:val="superscript"/>
          <w:lang w:eastAsia="en-GB"/>
        </w:rPr>
        <w:footnoteReference w:id="3"/>
      </w:r>
      <w:r w:rsidRPr="004E58B2">
        <w:rPr>
          <w:rFonts w:eastAsia="Times New Roman" w:cs="Times New Roman"/>
          <w:color w:val="000000"/>
          <w:szCs w:val="24"/>
          <w:lang w:eastAsia="en-GB"/>
        </w:rPr>
        <w:t xml:space="preserve"> (</w:t>
      </w:r>
      <w:proofErr w:type="spellStart"/>
      <w:r w:rsidRPr="004E58B2">
        <w:rPr>
          <w:rFonts w:eastAsia="Times New Roman" w:cs="Times New Roman"/>
          <w:color w:val="000000"/>
          <w:szCs w:val="24"/>
          <w:lang w:eastAsia="en-GB"/>
        </w:rPr>
        <w:t>ZPAP</w:t>
      </w:r>
      <w:proofErr w:type="spellEnd"/>
      <w:r w:rsidRPr="004E58B2">
        <w:rPr>
          <w:rFonts w:eastAsia="Times New Roman" w:cs="Times New Roman"/>
          <w:color w:val="000000"/>
          <w:szCs w:val="24"/>
          <w:lang w:eastAsia="en-GB"/>
        </w:rPr>
        <w:t>) also provides a supporting framework to address this issue by proposing a new integrated approach to better prevent, remedy and monitor pollution from marine waters.</w:t>
      </w:r>
    </w:p>
    <w:p w:rsidR="004E58B2" w:rsidRPr="004E58B2" w:rsidRDefault="004E58B2" w:rsidP="004E58B2">
      <w:pPr>
        <w:spacing w:after="120" w:line="240" w:lineRule="auto"/>
        <w:jc w:val="both"/>
        <w:rPr>
          <w:rFonts w:eastAsia="Times New Roman" w:cs="Times New Roman"/>
          <w:color w:val="000000"/>
          <w:szCs w:val="24"/>
          <w:lang w:eastAsia="en-GB"/>
        </w:rPr>
      </w:pPr>
      <w:r w:rsidRPr="004E58B2">
        <w:rPr>
          <w:rFonts w:eastAsia="Times New Roman" w:cs="Times New Roman"/>
          <w:color w:val="000000"/>
          <w:szCs w:val="24"/>
          <w:lang w:eastAsia="en-GB"/>
        </w:rPr>
        <w:t xml:space="preserve">With respect to </w:t>
      </w:r>
      <w:r w:rsidRPr="004E58B2">
        <w:rPr>
          <w:rFonts w:eastAsia="Times New Roman" w:cs="Times New Roman"/>
          <w:b/>
          <w:color w:val="000000"/>
          <w:szCs w:val="24"/>
          <w:lang w:eastAsia="en-GB"/>
        </w:rPr>
        <w:t>paragraph 11</w:t>
      </w:r>
      <w:r w:rsidRPr="004E58B2">
        <w:rPr>
          <w:rFonts w:eastAsia="Times New Roman" w:cs="Times New Roman"/>
          <w:color w:val="000000"/>
          <w:szCs w:val="24"/>
          <w:lang w:eastAsia="en-GB"/>
        </w:rPr>
        <w:t xml:space="preserve"> of the resolution, the Commission agrees that cooperation at regional level is of particular importance to tackle this issue in a coherent manner between the Member States and neighbouring countries sharing the same marine waters, and to develop international standards and best practices. In this regard, cooperation on submerged weapons and munitions is already taking place between the Baltic Sea EU Member States and Russia through the relevant regional sea convention – the Baltic Marine Environment Protection Commission (</w:t>
      </w:r>
      <w:proofErr w:type="spellStart"/>
      <w:r w:rsidRPr="004E58B2">
        <w:rPr>
          <w:rFonts w:eastAsia="Times New Roman" w:cs="Times New Roman"/>
          <w:color w:val="000000"/>
          <w:szCs w:val="24"/>
          <w:lang w:eastAsia="en-GB"/>
        </w:rPr>
        <w:t>HELCOM</w:t>
      </w:r>
      <w:proofErr w:type="spellEnd"/>
      <w:r w:rsidRPr="004E58B2">
        <w:rPr>
          <w:rFonts w:eastAsia="Times New Roman" w:cs="Times New Roman"/>
          <w:color w:val="000000"/>
          <w:szCs w:val="24"/>
          <w:lang w:eastAsia="en-GB"/>
        </w:rPr>
        <w:t>). Its technical group ‘Submerged’ in particular aims to map, monitor and if possible clean up dumping sites for the protection of human health and the marine environment</w:t>
      </w:r>
      <w:r w:rsidRPr="004E58B2">
        <w:rPr>
          <w:rFonts w:eastAsia="Times New Roman" w:cs="Times New Roman"/>
          <w:color w:val="000000"/>
          <w:szCs w:val="24"/>
          <w:vertAlign w:val="superscript"/>
          <w:lang w:eastAsia="en-GB"/>
        </w:rPr>
        <w:footnoteReference w:id="4"/>
      </w:r>
      <w:r w:rsidRPr="004E58B2">
        <w:rPr>
          <w:rFonts w:eastAsia="Times New Roman" w:cs="Times New Roman"/>
          <w:color w:val="000000"/>
          <w:szCs w:val="24"/>
          <w:lang w:eastAsia="en-GB"/>
        </w:rPr>
        <w:t xml:space="preserve">. As a contracting party to this Convention, the European Union, represented by the Commission, has traditionally supported those efforts. The adoption of the </w:t>
      </w:r>
      <w:proofErr w:type="spellStart"/>
      <w:r w:rsidRPr="004E58B2">
        <w:rPr>
          <w:rFonts w:eastAsia="Times New Roman" w:cs="Times New Roman"/>
          <w:color w:val="000000"/>
          <w:szCs w:val="24"/>
          <w:lang w:eastAsia="en-GB"/>
        </w:rPr>
        <w:t>HELCOM</w:t>
      </w:r>
      <w:proofErr w:type="spellEnd"/>
      <w:r w:rsidRPr="004E58B2">
        <w:rPr>
          <w:rFonts w:eastAsia="Times New Roman" w:cs="Times New Roman"/>
          <w:color w:val="000000"/>
          <w:szCs w:val="24"/>
          <w:lang w:eastAsia="en-GB"/>
        </w:rPr>
        <w:t xml:space="preserve"> updated Baltic Sea Action Plan (</w:t>
      </w:r>
      <w:proofErr w:type="spellStart"/>
      <w:r w:rsidRPr="004E58B2">
        <w:rPr>
          <w:rFonts w:eastAsia="Times New Roman" w:cs="Times New Roman"/>
          <w:color w:val="000000"/>
          <w:szCs w:val="24"/>
          <w:lang w:eastAsia="en-GB"/>
        </w:rPr>
        <w:t>BSAP</w:t>
      </w:r>
      <w:proofErr w:type="spellEnd"/>
      <w:r w:rsidRPr="004E58B2">
        <w:rPr>
          <w:rFonts w:eastAsia="Times New Roman" w:cs="Times New Roman"/>
          <w:color w:val="000000"/>
          <w:szCs w:val="24"/>
          <w:lang w:eastAsia="en-GB"/>
        </w:rPr>
        <w:t xml:space="preserve">), in October 2021 at the next </w:t>
      </w:r>
      <w:proofErr w:type="spellStart"/>
      <w:r w:rsidRPr="004E58B2">
        <w:rPr>
          <w:rFonts w:eastAsia="Times New Roman" w:cs="Times New Roman"/>
          <w:color w:val="000000"/>
          <w:szCs w:val="24"/>
          <w:lang w:eastAsia="en-GB"/>
        </w:rPr>
        <w:t>HELCOM</w:t>
      </w:r>
      <w:proofErr w:type="spellEnd"/>
      <w:r w:rsidRPr="004E58B2">
        <w:rPr>
          <w:rFonts w:eastAsia="Times New Roman" w:cs="Times New Roman"/>
          <w:color w:val="000000"/>
          <w:szCs w:val="24"/>
          <w:lang w:eastAsia="en-GB"/>
        </w:rPr>
        <w:t xml:space="preserve"> Ministerial Meeting, should contribute to strengthen those efforts, with specific actions related to this issue. </w:t>
      </w:r>
      <w:proofErr w:type="gramStart"/>
      <w:r w:rsidRPr="004E58B2">
        <w:rPr>
          <w:rFonts w:eastAsia="Times New Roman" w:cs="Times New Roman"/>
          <w:color w:val="000000"/>
          <w:szCs w:val="24"/>
          <w:lang w:eastAsia="en-GB"/>
        </w:rPr>
        <w:t>Strong commitments were also taken at “Our Baltic” Conference</w:t>
      </w:r>
      <w:r w:rsidRPr="004E58B2">
        <w:rPr>
          <w:rFonts w:eastAsia="Times New Roman" w:cs="Times New Roman"/>
          <w:color w:val="000000"/>
          <w:szCs w:val="24"/>
          <w:vertAlign w:val="superscript"/>
          <w:lang w:eastAsia="en-GB"/>
        </w:rPr>
        <w:footnoteReference w:id="5"/>
      </w:r>
      <w:r w:rsidRPr="004E58B2">
        <w:rPr>
          <w:rFonts w:eastAsia="Times New Roman" w:cs="Times New Roman"/>
          <w:color w:val="000000"/>
          <w:szCs w:val="24"/>
          <w:lang w:eastAsia="en-GB"/>
        </w:rPr>
        <w:t xml:space="preserve"> in September 2020 by the Ministers of the Environment, Fisheries</w:t>
      </w:r>
      <w:proofErr w:type="gramEnd"/>
      <w:r w:rsidRPr="004E58B2">
        <w:rPr>
          <w:rFonts w:eastAsia="Times New Roman" w:cs="Times New Roman"/>
          <w:color w:val="000000"/>
          <w:szCs w:val="24"/>
          <w:lang w:eastAsia="en-GB"/>
        </w:rPr>
        <w:t xml:space="preserve"> and Agriculture of the Baltic Sea EU Member States, to achieve a clean and healthy Baltic Sea, notably by addressing all types of pollution from hazardous substances included dumped chemicals buried in the sea.</w:t>
      </w:r>
    </w:p>
    <w:p w:rsidR="004E58B2" w:rsidRPr="004E58B2" w:rsidRDefault="004E58B2" w:rsidP="004E58B2">
      <w:pPr>
        <w:spacing w:after="120" w:line="240" w:lineRule="auto"/>
        <w:jc w:val="both"/>
        <w:rPr>
          <w:rFonts w:eastAsia="Times New Roman" w:cs="Times New Roman"/>
          <w:color w:val="000000"/>
          <w:szCs w:val="24"/>
          <w:lang w:eastAsia="en-GB"/>
        </w:rPr>
      </w:pPr>
      <w:r w:rsidRPr="004E58B2">
        <w:rPr>
          <w:rFonts w:eastAsia="Times New Roman" w:cs="Times New Roman"/>
          <w:color w:val="000000"/>
          <w:szCs w:val="24"/>
          <w:lang w:eastAsia="en-GB"/>
        </w:rPr>
        <w:t xml:space="preserve">With respect to the suggestion made in </w:t>
      </w:r>
      <w:r w:rsidRPr="004E58B2">
        <w:rPr>
          <w:rFonts w:eastAsia="Times New Roman" w:cs="Times New Roman"/>
          <w:b/>
          <w:color w:val="000000"/>
          <w:szCs w:val="24"/>
          <w:lang w:eastAsia="en-GB"/>
        </w:rPr>
        <w:t>paragraph 8</w:t>
      </w:r>
      <w:r w:rsidRPr="004E58B2">
        <w:rPr>
          <w:rFonts w:eastAsia="Times New Roman" w:cs="Times New Roman"/>
          <w:color w:val="000000"/>
          <w:szCs w:val="24"/>
          <w:lang w:eastAsia="en-GB"/>
        </w:rPr>
        <w:t xml:space="preserve"> to establish a dedicated expert group with a clear mandate for action, the Commission believes that work should continue to </w:t>
      </w:r>
      <w:proofErr w:type="gramStart"/>
      <w:r w:rsidRPr="004E58B2">
        <w:rPr>
          <w:rFonts w:eastAsia="Times New Roman" w:cs="Times New Roman"/>
          <w:color w:val="000000"/>
          <w:szCs w:val="24"/>
          <w:lang w:eastAsia="en-GB"/>
        </w:rPr>
        <w:t>be carried out</w:t>
      </w:r>
      <w:proofErr w:type="gramEnd"/>
      <w:r w:rsidRPr="004E58B2">
        <w:rPr>
          <w:rFonts w:eastAsia="Times New Roman" w:cs="Times New Roman"/>
          <w:color w:val="000000"/>
          <w:szCs w:val="24"/>
          <w:lang w:eastAsia="en-GB"/>
        </w:rPr>
        <w:t xml:space="preserve"> within the regional context described above, also to include Russia as an important partner necessary to addressing this issue.</w:t>
      </w:r>
    </w:p>
    <w:p w:rsidR="004E58B2" w:rsidRPr="004E58B2" w:rsidRDefault="004E58B2" w:rsidP="004E58B2">
      <w:pPr>
        <w:spacing w:after="120" w:line="240" w:lineRule="auto"/>
        <w:contextualSpacing/>
        <w:jc w:val="both"/>
        <w:rPr>
          <w:rFonts w:eastAsia="Times New Roman" w:cs="Times New Roman"/>
          <w:b/>
          <w:bCs/>
          <w:i/>
          <w:iCs/>
          <w:szCs w:val="24"/>
          <w:lang w:eastAsia="en-GB"/>
        </w:rPr>
      </w:pPr>
      <w:proofErr w:type="gramStart"/>
      <w:r w:rsidRPr="004E58B2">
        <w:rPr>
          <w:rFonts w:eastAsia="Times New Roman" w:cs="Times New Roman"/>
          <w:color w:val="000000"/>
          <w:szCs w:val="20"/>
          <w:lang w:eastAsia="en-GB"/>
        </w:rPr>
        <w:t xml:space="preserve">Finally, with respect to </w:t>
      </w:r>
      <w:r w:rsidRPr="004E58B2">
        <w:rPr>
          <w:rFonts w:eastAsia="Times New Roman" w:cs="Times New Roman"/>
          <w:b/>
          <w:color w:val="000000"/>
          <w:szCs w:val="20"/>
          <w:lang w:eastAsia="en-GB"/>
        </w:rPr>
        <w:t>paragraph 12</w:t>
      </w:r>
      <w:r w:rsidRPr="004E58B2">
        <w:rPr>
          <w:rFonts w:eastAsia="Times New Roman" w:cs="Times New Roman"/>
          <w:color w:val="000000"/>
          <w:szCs w:val="20"/>
          <w:lang w:eastAsia="en-GB"/>
        </w:rPr>
        <w:t xml:space="preserve"> related to international cooperation, the Commission would like to point out that this issue has been addressed in many different fora, such as the United Nations Environment Programme (UNEP), the London Protocol of the International Maritime Organization (IMO) as well as the United Nations General Assembly, which adopted a resolution 68/208 on 20 December 2013 relating to “Cooperative measures to assess and increase awareness of environmental effects related to waste originating from chemical munitions dumped at sea”.</w:t>
      </w:r>
      <w:proofErr w:type="gramEnd"/>
      <w:r w:rsidRPr="004E58B2">
        <w:rPr>
          <w:rFonts w:eastAsia="Times New Roman" w:cs="Times New Roman"/>
          <w:color w:val="000000"/>
          <w:szCs w:val="20"/>
          <w:lang w:eastAsia="en-GB"/>
        </w:rPr>
        <w:t xml:space="preserve"> </w:t>
      </w:r>
      <w:proofErr w:type="gramStart"/>
      <w:r w:rsidRPr="004E58B2">
        <w:rPr>
          <w:rFonts w:eastAsia="Times New Roman" w:cs="Times New Roman"/>
          <w:color w:val="000000"/>
          <w:szCs w:val="20"/>
          <w:lang w:eastAsia="en-GB"/>
        </w:rPr>
        <w:t xml:space="preserve">Through the </w:t>
      </w:r>
      <w:proofErr w:type="spellStart"/>
      <w:r w:rsidRPr="004E58B2">
        <w:rPr>
          <w:rFonts w:eastAsia="Times New Roman" w:cs="Times New Roman"/>
          <w:color w:val="000000"/>
          <w:szCs w:val="20"/>
          <w:lang w:eastAsia="en-GB"/>
        </w:rPr>
        <w:t>EUMSS</w:t>
      </w:r>
      <w:proofErr w:type="spellEnd"/>
      <w:r w:rsidRPr="004E58B2">
        <w:rPr>
          <w:rFonts w:eastAsia="Times New Roman" w:cs="Times New Roman"/>
          <w:color w:val="000000"/>
          <w:szCs w:val="20"/>
          <w:lang w:eastAsia="en-GB"/>
        </w:rPr>
        <w:t xml:space="preserve"> AP, the Commission is m</w:t>
      </w:r>
      <w:r w:rsidRPr="004E58B2">
        <w:rPr>
          <w:rFonts w:eastAsia="Calibri" w:cs="Times New Roman"/>
          <w:bCs/>
          <w:szCs w:val="24"/>
          <w:lang w:eastAsia="en-GB"/>
        </w:rPr>
        <w:t>ainstreaming</w:t>
      </w:r>
      <w:r w:rsidRPr="004E58B2">
        <w:rPr>
          <w:rFonts w:eastAsia="Times New Roman" w:cs="Times New Roman"/>
          <w:bCs/>
          <w:szCs w:val="24"/>
          <w:lang w:eastAsia="en-GB"/>
        </w:rPr>
        <w:t xml:space="preserve"> maritime security into bilateral agendas with international and regional organisations, e.g. the United Nations (UN) system, including through the EU-UN Strategic Partnership, the North Atlantic Treaty Organisation (NATO), the Organisation for Security and Cooperation in Europe (</w:t>
      </w:r>
      <w:proofErr w:type="spellStart"/>
      <w:r w:rsidRPr="004E58B2">
        <w:rPr>
          <w:rFonts w:eastAsia="Times New Roman" w:cs="Times New Roman"/>
          <w:bCs/>
          <w:szCs w:val="24"/>
          <w:lang w:eastAsia="en-GB"/>
        </w:rPr>
        <w:t>OSCE</w:t>
      </w:r>
      <w:proofErr w:type="spellEnd"/>
      <w:r w:rsidRPr="004E58B2">
        <w:rPr>
          <w:rFonts w:eastAsia="Times New Roman" w:cs="Times New Roman"/>
          <w:bCs/>
          <w:szCs w:val="24"/>
          <w:lang w:eastAsia="en-GB"/>
        </w:rPr>
        <w:t>), the Organisation for the Prohibition of Chemical Weapons (</w:t>
      </w:r>
      <w:proofErr w:type="spellStart"/>
      <w:r w:rsidRPr="004E58B2">
        <w:rPr>
          <w:rFonts w:eastAsia="Times New Roman" w:cs="Times New Roman"/>
          <w:bCs/>
          <w:szCs w:val="24"/>
          <w:lang w:eastAsia="en-GB"/>
        </w:rPr>
        <w:t>OPCW</w:t>
      </w:r>
      <w:proofErr w:type="spellEnd"/>
      <w:r w:rsidRPr="004E58B2">
        <w:rPr>
          <w:rFonts w:eastAsia="Times New Roman" w:cs="Times New Roman"/>
          <w:bCs/>
          <w:szCs w:val="24"/>
          <w:lang w:eastAsia="en-GB"/>
        </w:rPr>
        <w:t>), the International Maritime Organisation (IMO), as well as with third countries.</w:t>
      </w:r>
      <w:proofErr w:type="gramEnd"/>
      <w:r w:rsidRPr="004E58B2">
        <w:rPr>
          <w:rFonts w:eastAsia="Times New Roman" w:cs="Times New Roman"/>
          <w:bCs/>
          <w:szCs w:val="24"/>
          <w:lang w:eastAsia="en-GB"/>
        </w:rPr>
        <w:t xml:space="preserve"> </w:t>
      </w:r>
      <w:r w:rsidRPr="004E58B2">
        <w:rPr>
          <w:rFonts w:eastAsia="Times New Roman" w:cs="Times New Roman"/>
          <w:color w:val="000000"/>
          <w:szCs w:val="20"/>
          <w:lang w:eastAsia="en-GB"/>
        </w:rPr>
        <w:t xml:space="preserve">Specifically, in the context of unexploded munitions at sea, the </w:t>
      </w:r>
      <w:proofErr w:type="spellStart"/>
      <w:r w:rsidRPr="004E58B2">
        <w:rPr>
          <w:rFonts w:eastAsia="Times New Roman" w:cs="Times New Roman"/>
          <w:color w:val="000000"/>
          <w:szCs w:val="20"/>
          <w:lang w:eastAsia="en-GB"/>
        </w:rPr>
        <w:t>EUMSS</w:t>
      </w:r>
      <w:proofErr w:type="spellEnd"/>
      <w:r w:rsidRPr="004E58B2">
        <w:rPr>
          <w:rFonts w:eastAsia="Times New Roman" w:cs="Times New Roman"/>
          <w:color w:val="000000"/>
          <w:szCs w:val="20"/>
          <w:lang w:eastAsia="en-GB"/>
        </w:rPr>
        <w:t xml:space="preserve"> AP promotes cooperation with regional organisations such as </w:t>
      </w:r>
      <w:proofErr w:type="spellStart"/>
      <w:r w:rsidRPr="004E58B2">
        <w:rPr>
          <w:rFonts w:eastAsia="Times New Roman" w:cs="Times New Roman"/>
          <w:color w:val="000000"/>
          <w:szCs w:val="20"/>
          <w:lang w:eastAsia="en-GB"/>
        </w:rPr>
        <w:t>HELCOM</w:t>
      </w:r>
      <w:proofErr w:type="spellEnd"/>
      <w:r w:rsidRPr="004E58B2">
        <w:rPr>
          <w:rFonts w:eastAsia="Times New Roman" w:cs="Times New Roman"/>
          <w:color w:val="000000"/>
          <w:szCs w:val="20"/>
          <w:lang w:eastAsia="en-GB"/>
        </w:rPr>
        <w:t>, to optimise the disposal and the elimination of sea-dumped chemical munitions and unexploded ordnances, to improve relevant emergency procedures in the case of accidental recovery, and to contribute to an EU database of incidents and reporting systems</w:t>
      </w:r>
      <w:r w:rsidRPr="004E58B2">
        <w:rPr>
          <w:rFonts w:eastAsia="Times New Roman" w:cs="Times New Roman"/>
          <w:bCs/>
          <w:szCs w:val="24"/>
          <w:lang w:eastAsia="en-GB"/>
        </w:rPr>
        <w:t>.</w:t>
      </w:r>
    </w:p>
    <w:p w:rsidR="00F36993" w:rsidRDefault="00F36993"/>
    <w:sectPr w:rsidR="00F3699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B2" w:rsidRDefault="004E58B2" w:rsidP="004E58B2">
      <w:pPr>
        <w:spacing w:after="0" w:line="240" w:lineRule="auto"/>
      </w:pPr>
      <w:r>
        <w:separator/>
      </w:r>
    </w:p>
  </w:endnote>
  <w:endnote w:type="continuationSeparator" w:id="0">
    <w:p w:rsidR="004E58B2" w:rsidRDefault="004E58B2" w:rsidP="004E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B2" w:rsidRDefault="004E58B2" w:rsidP="004E58B2">
      <w:pPr>
        <w:spacing w:after="0" w:line="240" w:lineRule="auto"/>
      </w:pPr>
      <w:r>
        <w:separator/>
      </w:r>
    </w:p>
  </w:footnote>
  <w:footnote w:type="continuationSeparator" w:id="0">
    <w:p w:rsidR="004E58B2" w:rsidRDefault="004E58B2" w:rsidP="004E58B2">
      <w:pPr>
        <w:spacing w:after="0" w:line="240" w:lineRule="auto"/>
      </w:pPr>
      <w:r>
        <w:continuationSeparator/>
      </w:r>
    </w:p>
  </w:footnote>
  <w:footnote w:id="1">
    <w:p w:rsidR="004E58B2" w:rsidRPr="00662046" w:rsidRDefault="004E58B2" w:rsidP="004E58B2">
      <w:pPr>
        <w:pStyle w:val="NormalWeb"/>
        <w:spacing w:after="0"/>
        <w:ind w:left="357" w:hanging="357"/>
        <w:jc w:val="both"/>
        <w:rPr>
          <w:sz w:val="20"/>
          <w:szCs w:val="20"/>
        </w:rPr>
      </w:pPr>
      <w:r w:rsidRPr="00662046">
        <w:rPr>
          <w:rStyle w:val="FootnoteReference"/>
          <w:sz w:val="20"/>
          <w:szCs w:val="20"/>
        </w:rPr>
        <w:footnoteRef/>
      </w:r>
      <w:r w:rsidRPr="00662046">
        <w:rPr>
          <w:sz w:val="20"/>
          <w:szCs w:val="20"/>
        </w:rPr>
        <w:t xml:space="preserve"> </w:t>
      </w:r>
      <w:r>
        <w:rPr>
          <w:sz w:val="20"/>
          <w:szCs w:val="20"/>
        </w:rPr>
        <w:tab/>
      </w:r>
      <w:r w:rsidRPr="00662046">
        <w:rPr>
          <w:sz w:val="20"/>
          <w:szCs w:val="20"/>
        </w:rPr>
        <w:t xml:space="preserve">Directive 2008/56/EC of the European Parliament and of the Council of 17 June 2008 establishing a framework for community action in the field of marine environmental policy (Marine Strategy Framework Directive), </w:t>
      </w:r>
      <w:proofErr w:type="spellStart"/>
      <w:r>
        <w:rPr>
          <w:iCs/>
          <w:sz w:val="20"/>
          <w:szCs w:val="20"/>
        </w:rPr>
        <w:t>OJ</w:t>
      </w:r>
      <w:proofErr w:type="spellEnd"/>
      <w:r>
        <w:rPr>
          <w:iCs/>
          <w:sz w:val="20"/>
          <w:szCs w:val="20"/>
        </w:rPr>
        <w:t xml:space="preserve"> L 164, 25.6.2008, p. 19–40</w:t>
      </w:r>
    </w:p>
  </w:footnote>
  <w:footnote w:id="2">
    <w:p w:rsidR="004E58B2" w:rsidRPr="00411378" w:rsidRDefault="004E58B2" w:rsidP="004E58B2">
      <w:pPr>
        <w:pStyle w:val="FootnoteText"/>
      </w:pPr>
      <w:r>
        <w:rPr>
          <w:rStyle w:val="FootnoteReference"/>
        </w:rPr>
        <w:footnoteRef/>
      </w:r>
      <w:r>
        <w:t xml:space="preserve"> </w:t>
      </w:r>
      <w:r>
        <w:tab/>
      </w:r>
      <w:r w:rsidRPr="00411378">
        <w:t>COM(2018)562</w:t>
      </w:r>
    </w:p>
  </w:footnote>
  <w:footnote w:id="3">
    <w:p w:rsidR="004E58B2" w:rsidRPr="00411378" w:rsidRDefault="004E58B2" w:rsidP="004E58B2">
      <w:pPr>
        <w:pStyle w:val="FootnoteText"/>
      </w:pPr>
      <w:r w:rsidRPr="00411378">
        <w:rPr>
          <w:rStyle w:val="FootnoteReference"/>
        </w:rPr>
        <w:footnoteRef/>
      </w:r>
      <w:r w:rsidRPr="00411378">
        <w:t xml:space="preserve"> </w:t>
      </w:r>
      <w:r>
        <w:tab/>
      </w:r>
      <w:r w:rsidRPr="00411378">
        <w:t xml:space="preserve">Communication from the Commission to the European Parliament, the Council, the European Economy and social committee of the regions. </w:t>
      </w:r>
      <w:proofErr w:type="gramStart"/>
      <w:r w:rsidRPr="00411378">
        <w:t>COM(</w:t>
      </w:r>
      <w:proofErr w:type="gramEnd"/>
      <w:r w:rsidRPr="00411378">
        <w:t xml:space="preserve">2021) 400. Pathway to a Healthy Planet for All EU Action Plan: 'Towards Zero Pollution for Air, Water and Soil' </w:t>
      </w:r>
      <w:hyperlink r:id="rId1" w:history="1">
        <w:r w:rsidRPr="00411378">
          <w:t>communication_en.pdf (europa.eu)</w:t>
        </w:r>
      </w:hyperlink>
    </w:p>
  </w:footnote>
  <w:footnote w:id="4">
    <w:p w:rsidR="004E58B2" w:rsidRPr="001F3448" w:rsidRDefault="004E58B2" w:rsidP="004E58B2">
      <w:pPr>
        <w:pStyle w:val="FootnoteText"/>
        <w:rPr>
          <w:color w:val="0000FF"/>
          <w:u w:val="single"/>
        </w:rPr>
      </w:pPr>
      <w:r w:rsidRPr="00411378">
        <w:rPr>
          <w:rStyle w:val="FootnoteReference"/>
        </w:rPr>
        <w:footnoteRef/>
      </w:r>
      <w:r w:rsidRPr="00411378">
        <w:t xml:space="preserve"> </w:t>
      </w:r>
      <w:r>
        <w:tab/>
      </w:r>
      <w:r w:rsidRPr="00411378">
        <w:rPr>
          <w:color w:val="000000"/>
        </w:rPr>
        <w:t xml:space="preserve">Cf. 2013 report, including recommendations for action </w:t>
      </w:r>
      <w:hyperlink r:id="rId2" w:history="1">
        <w:r w:rsidRPr="001F3448">
          <w:rPr>
            <w:color w:val="0000FF"/>
            <w:u w:val="single"/>
          </w:rPr>
          <w:t>http://helcom.fi/Lists/Publications/BSEP142.pdf</w:t>
        </w:r>
      </w:hyperlink>
    </w:p>
  </w:footnote>
  <w:footnote w:id="5">
    <w:p w:rsidR="004E58B2" w:rsidRPr="00411378" w:rsidRDefault="004E58B2" w:rsidP="004E58B2">
      <w:pPr>
        <w:pStyle w:val="FootnoteText"/>
      </w:pPr>
      <w:r w:rsidRPr="00411378">
        <w:rPr>
          <w:rStyle w:val="FootnoteReference"/>
        </w:rPr>
        <w:footnoteRef/>
      </w:r>
      <w:r w:rsidRPr="00411378">
        <w:t xml:space="preserve"> </w:t>
      </w:r>
      <w:r>
        <w:tab/>
      </w:r>
      <w:hyperlink r:id="rId3" w:history="1">
        <w:r w:rsidRPr="00411378">
          <w:rPr>
            <w:color w:val="0000FF"/>
            <w:u w:val="single"/>
          </w:rPr>
          <w:t>Our Baltic Ministerial Declaration DRAFT v0 (europa.eu)</w:t>
        </w:r>
      </w:hyperlink>
      <w:r>
        <w:t>, in particular paragraph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17CB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B2"/>
    <w:rsid w:val="004E58B2"/>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F546E-FEBA-4BFA-A670-CBB293CA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8B2"/>
    <w:rPr>
      <w:sz w:val="20"/>
      <w:szCs w:val="20"/>
    </w:rPr>
  </w:style>
  <w:style w:type="paragraph" w:styleId="NormalWeb">
    <w:name w:val="Normal (Web)"/>
    <w:basedOn w:val="Normal"/>
    <w:uiPriority w:val="99"/>
    <w:semiHidden/>
    <w:unhideWhenUsed/>
    <w:rsid w:val="004E58B2"/>
    <w:rPr>
      <w:rFonts w:cs="Times New Roman"/>
      <w:szCs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4E58B2"/>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E58B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default/files/ministerial_declaration_our_baltic_conference.pdf" TargetMode="External"/><Relationship Id="rId2" Type="http://schemas.openxmlformats.org/officeDocument/2006/relationships/hyperlink" Target="http://helcom.fi/Lists/Publications/BSEP142.pdf" TargetMode="External"/><Relationship Id="rId1" Type="http://schemas.openxmlformats.org/officeDocument/2006/relationships/hyperlink" Target="https://ec.europa.eu/environment/pdf/zero-pollution-action-plan/communic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9072</Characters>
  <Application>Microsoft Office Word</Application>
  <DocSecurity>0</DocSecurity>
  <Lines>127</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2021-07-28T08:14:00Z</dcterms:created>
  <dcterms:modified xsi:type="dcterms:W3CDTF">2021-07-28T08:15:00Z</dcterms:modified>
</cp:coreProperties>
</file>