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E6" w:rsidRPr="00083D99" w:rsidRDefault="001626E6" w:rsidP="001626E6">
      <w:pPr>
        <w:spacing w:after="600"/>
        <w:jc w:val="center"/>
        <w:rPr>
          <w:rFonts w:ascii="Times New Roman" w:hAnsi="Times New Roman"/>
          <w:b/>
          <w:bCs/>
          <w:szCs w:val="24"/>
        </w:rPr>
      </w:pPr>
      <w:bookmarkStart w:id="0" w:name="AI"/>
      <w:bookmarkStart w:id="1" w:name="DEP"/>
      <w:r w:rsidRPr="00BF0980">
        <w:rPr>
          <w:rFonts w:ascii="Times New Roman" w:hAnsi="Times New Roman"/>
          <w:b/>
          <w:bCs/>
          <w:szCs w:val="24"/>
        </w:rPr>
        <w:t xml:space="preserve">Follow up to the </w:t>
      </w:r>
      <w:r w:rsidRPr="00BF0980">
        <w:rPr>
          <w:rFonts w:ascii="Times New Roman" w:hAnsi="Times New Roman"/>
          <w:b/>
          <w:szCs w:val="24"/>
        </w:rPr>
        <w:t xml:space="preserve">European Parliament non-legislative </w:t>
      </w:r>
      <w:r w:rsidRPr="00F36CEC">
        <w:rPr>
          <w:rFonts w:ascii="Times New Roman" w:hAnsi="Times New Roman"/>
          <w:b/>
          <w:szCs w:val="24"/>
        </w:rPr>
        <w:t>resolution</w:t>
      </w:r>
      <w:r w:rsidRPr="00F36CEC">
        <w:rPr>
          <w:rFonts w:ascii="Times New Roman" w:hAnsi="Times New Roman"/>
          <w:b/>
          <w:noProof/>
          <w:szCs w:val="24"/>
        </w:rPr>
        <w:t xml:space="preserve"> </w:t>
      </w:r>
      <w:r w:rsidRPr="005C1C79">
        <w:rPr>
          <w:rFonts w:ascii="Times New Roman" w:hAnsi="Times New Roman"/>
          <w:b/>
          <w:bCs/>
          <w:szCs w:val="24"/>
          <w:shd w:val="clear" w:color="auto" w:fill="FFFFFF"/>
        </w:rPr>
        <w:t xml:space="preserve">on shaping the digital future of Europe: removing barriers to the functioning of the digital single market </w:t>
      </w:r>
      <w:r>
        <w:rPr>
          <w:rFonts w:ascii="Times New Roman" w:hAnsi="Times New Roman"/>
          <w:b/>
          <w:bCs/>
          <w:szCs w:val="24"/>
          <w:shd w:val="clear" w:color="auto" w:fill="FFFFFF"/>
        </w:rPr>
        <w:br/>
      </w:r>
      <w:r w:rsidRPr="005C1C79">
        <w:rPr>
          <w:rFonts w:ascii="Times New Roman" w:hAnsi="Times New Roman"/>
          <w:b/>
          <w:bCs/>
          <w:szCs w:val="24"/>
          <w:shd w:val="clear" w:color="auto" w:fill="FFFFFF"/>
        </w:rPr>
        <w:t>and improving the use of AI for European consumers</w:t>
      </w:r>
      <w:bookmarkEnd w:id="0"/>
    </w:p>
    <w:bookmarkEnd w:id="1"/>
    <w:p w:rsidR="001626E6" w:rsidRPr="00425669" w:rsidRDefault="001626E6" w:rsidP="001626E6">
      <w:pPr>
        <w:numPr>
          <w:ilvl w:val="0"/>
          <w:numId w:val="1"/>
        </w:numPr>
        <w:ind w:left="567" w:hanging="567"/>
        <w:rPr>
          <w:rFonts w:ascii="Times New Roman" w:hAnsi="Times New Roman"/>
          <w:b/>
          <w:bCs/>
          <w:szCs w:val="24"/>
          <w:lang w:val="fr-BE"/>
        </w:rPr>
      </w:pPr>
      <w:r w:rsidRPr="00425669">
        <w:rPr>
          <w:rFonts w:ascii="Times New Roman" w:hAnsi="Times New Roman"/>
          <w:b/>
          <w:bCs/>
          <w:szCs w:val="24"/>
          <w:lang w:val="fr-BE"/>
        </w:rPr>
        <w:t>Rapporteur:</w:t>
      </w:r>
      <w:r w:rsidRPr="00425669">
        <w:rPr>
          <w:rFonts w:ascii="Times New Roman" w:hAnsi="Times New Roman"/>
          <w:color w:val="1E1E1F"/>
          <w:szCs w:val="24"/>
          <w:shd w:val="clear" w:color="auto" w:fill="FFFFFF"/>
          <w:lang w:val="fr-BE"/>
        </w:rPr>
        <w:t xml:space="preserve"> </w:t>
      </w:r>
      <w:r w:rsidRPr="00425669">
        <w:rPr>
          <w:rFonts w:ascii="Times New Roman" w:hAnsi="Times New Roman"/>
          <w:bCs/>
          <w:szCs w:val="24"/>
          <w:lang w:val="fr-BE"/>
        </w:rPr>
        <w:t>Deirdre CLUNE (EPP / IE)</w:t>
      </w:r>
    </w:p>
    <w:p w:rsidR="001626E6" w:rsidRPr="00BF0980" w:rsidRDefault="001626E6" w:rsidP="001626E6">
      <w:pPr>
        <w:numPr>
          <w:ilvl w:val="0"/>
          <w:numId w:val="1"/>
        </w:numPr>
        <w:ind w:left="567" w:hanging="567"/>
        <w:rPr>
          <w:rFonts w:ascii="Times New Roman" w:hAnsi="Times New Roman"/>
          <w:i/>
          <w:iCs/>
          <w:szCs w:val="24"/>
        </w:rPr>
      </w:pPr>
      <w:r w:rsidRPr="00BF0980">
        <w:rPr>
          <w:rFonts w:ascii="Times New Roman" w:hAnsi="Times New Roman"/>
          <w:b/>
          <w:bCs/>
          <w:szCs w:val="24"/>
        </w:rPr>
        <w:t xml:space="preserve">Reference numbers: </w:t>
      </w:r>
      <w:r w:rsidRPr="00BF0980">
        <w:rPr>
          <w:rFonts w:ascii="Times New Roman" w:hAnsi="Times New Roman"/>
          <w:szCs w:val="24"/>
        </w:rPr>
        <w:t>20</w:t>
      </w:r>
      <w:r>
        <w:rPr>
          <w:rFonts w:ascii="Times New Roman" w:hAnsi="Times New Roman"/>
          <w:szCs w:val="24"/>
        </w:rPr>
        <w:t>20</w:t>
      </w:r>
      <w:r w:rsidRPr="00BF0980">
        <w:rPr>
          <w:rFonts w:ascii="Times New Roman" w:hAnsi="Times New Roman"/>
          <w:szCs w:val="24"/>
        </w:rPr>
        <w:t>/2</w:t>
      </w:r>
      <w:r>
        <w:rPr>
          <w:rFonts w:ascii="Times New Roman" w:hAnsi="Times New Roman"/>
          <w:szCs w:val="24"/>
        </w:rPr>
        <w:t>216</w:t>
      </w:r>
      <w:r w:rsidRPr="00BF0980">
        <w:rPr>
          <w:rFonts w:ascii="Times New Roman" w:hAnsi="Times New Roman"/>
          <w:szCs w:val="24"/>
        </w:rPr>
        <w:t xml:space="preserve"> (</w:t>
      </w:r>
      <w:r>
        <w:rPr>
          <w:rFonts w:ascii="Times New Roman" w:hAnsi="Times New Roman"/>
          <w:szCs w:val="24"/>
        </w:rPr>
        <w:t xml:space="preserve">INI) / </w:t>
      </w:r>
      <w:bookmarkStart w:id="2" w:name="_GoBack"/>
      <w:r>
        <w:rPr>
          <w:rFonts w:ascii="Times New Roman" w:hAnsi="Times New Roman"/>
          <w:szCs w:val="24"/>
        </w:rPr>
        <w:t>A</w:t>
      </w:r>
      <w:r w:rsidRPr="00BF0980">
        <w:rPr>
          <w:rFonts w:ascii="Times New Roman" w:hAnsi="Times New Roman"/>
          <w:szCs w:val="24"/>
        </w:rPr>
        <w:t>9-0</w:t>
      </w:r>
      <w:r>
        <w:rPr>
          <w:rFonts w:ascii="Times New Roman" w:hAnsi="Times New Roman"/>
          <w:szCs w:val="24"/>
        </w:rPr>
        <w:t xml:space="preserve">149/2021 </w:t>
      </w:r>
      <w:bookmarkEnd w:id="2"/>
      <w:r>
        <w:rPr>
          <w:rFonts w:ascii="Times New Roman" w:hAnsi="Times New Roman"/>
          <w:szCs w:val="24"/>
        </w:rPr>
        <w:t>/ P9_TA-PROV(2021</w:t>
      </w:r>
      <w:r w:rsidRPr="00BF0980">
        <w:rPr>
          <w:rFonts w:ascii="Times New Roman" w:hAnsi="Times New Roman"/>
          <w:szCs w:val="24"/>
        </w:rPr>
        <w:t>)0</w:t>
      </w:r>
      <w:r>
        <w:rPr>
          <w:rFonts w:ascii="Times New Roman" w:hAnsi="Times New Roman"/>
          <w:szCs w:val="24"/>
        </w:rPr>
        <w:t>261</w:t>
      </w:r>
    </w:p>
    <w:p w:rsidR="001626E6" w:rsidRPr="00BF0980" w:rsidRDefault="001626E6" w:rsidP="001626E6">
      <w:pPr>
        <w:numPr>
          <w:ilvl w:val="0"/>
          <w:numId w:val="1"/>
        </w:numPr>
        <w:ind w:left="567" w:hanging="567"/>
        <w:rPr>
          <w:rFonts w:ascii="Times New Roman" w:hAnsi="Times New Roman"/>
          <w:szCs w:val="24"/>
        </w:rPr>
      </w:pPr>
      <w:r w:rsidRPr="00BF0980">
        <w:rPr>
          <w:rFonts w:ascii="Times New Roman" w:hAnsi="Times New Roman"/>
          <w:b/>
          <w:bCs/>
          <w:szCs w:val="24"/>
        </w:rPr>
        <w:t xml:space="preserve">Date of adoption of the resolution: </w:t>
      </w:r>
      <w:r>
        <w:rPr>
          <w:rFonts w:ascii="Times New Roman" w:hAnsi="Times New Roman"/>
          <w:szCs w:val="24"/>
        </w:rPr>
        <w:t>20 May</w:t>
      </w:r>
      <w:r w:rsidRPr="00BF0980">
        <w:rPr>
          <w:rFonts w:ascii="Times New Roman" w:hAnsi="Times New Roman"/>
          <w:szCs w:val="24"/>
        </w:rPr>
        <w:t xml:space="preserve"> 202</w:t>
      </w:r>
      <w:r>
        <w:rPr>
          <w:rFonts w:ascii="Times New Roman" w:hAnsi="Times New Roman"/>
          <w:szCs w:val="24"/>
        </w:rPr>
        <w:t>1</w:t>
      </w:r>
    </w:p>
    <w:p w:rsidR="001626E6" w:rsidRPr="00BF0980" w:rsidRDefault="001626E6" w:rsidP="001626E6">
      <w:pPr>
        <w:numPr>
          <w:ilvl w:val="0"/>
          <w:numId w:val="1"/>
        </w:numPr>
        <w:ind w:left="567" w:hanging="567"/>
        <w:rPr>
          <w:rFonts w:ascii="Times New Roman" w:hAnsi="Times New Roman"/>
          <w:i/>
          <w:iCs/>
          <w:szCs w:val="24"/>
        </w:rPr>
      </w:pPr>
      <w:r w:rsidRPr="00BF0980">
        <w:rPr>
          <w:rFonts w:ascii="Times New Roman" w:hAnsi="Times New Roman"/>
          <w:b/>
          <w:bCs/>
          <w:szCs w:val="24"/>
        </w:rPr>
        <w:t>Competent Parliamentary Committee:</w:t>
      </w:r>
      <w:r>
        <w:rPr>
          <w:rFonts w:ascii="Times New Roman" w:hAnsi="Times New Roman"/>
          <w:b/>
          <w:bCs/>
          <w:szCs w:val="24"/>
        </w:rPr>
        <w:t xml:space="preserve"> </w:t>
      </w:r>
      <w:r w:rsidRPr="00B2623A">
        <w:rPr>
          <w:rFonts w:ascii="Times New Roman" w:hAnsi="Times New Roman"/>
        </w:rPr>
        <w:t>Committee o</w:t>
      </w:r>
      <w:r>
        <w:rPr>
          <w:rFonts w:ascii="Times New Roman" w:hAnsi="Times New Roman"/>
        </w:rPr>
        <w:t>n Internal Market and Consumer Protection (IMCO)</w:t>
      </w:r>
    </w:p>
    <w:p w:rsidR="001626E6" w:rsidRPr="00505459" w:rsidRDefault="001626E6" w:rsidP="001626E6">
      <w:pPr>
        <w:widowControl w:val="0"/>
        <w:numPr>
          <w:ilvl w:val="0"/>
          <w:numId w:val="1"/>
        </w:numPr>
        <w:ind w:left="567" w:hanging="567"/>
        <w:rPr>
          <w:rFonts w:ascii="Times New Roman" w:hAnsi="Times New Roman"/>
          <w:szCs w:val="24"/>
        </w:rPr>
      </w:pPr>
      <w:r w:rsidRPr="00BF0980">
        <w:rPr>
          <w:rFonts w:ascii="Times New Roman" w:hAnsi="Times New Roman"/>
          <w:b/>
          <w:bCs/>
          <w:szCs w:val="24"/>
        </w:rPr>
        <w:t>Brief analysis/ assessment of the resolution and requests made in it:</w:t>
      </w:r>
    </w:p>
    <w:p w:rsidR="001626E6" w:rsidRPr="00943AB4" w:rsidRDefault="001626E6" w:rsidP="001626E6">
      <w:pPr>
        <w:widowControl w:val="0"/>
        <w:spacing w:after="120"/>
        <w:rPr>
          <w:rFonts w:ascii="Times New Roman" w:hAnsi="Times New Roman"/>
          <w:szCs w:val="24"/>
        </w:rPr>
      </w:pPr>
      <w:r w:rsidRPr="00D9228B">
        <w:rPr>
          <w:rFonts w:ascii="Times New Roman" w:hAnsi="Times New Roman"/>
          <w:lang w:val="en-IE"/>
        </w:rPr>
        <w:t xml:space="preserve">The resolution presents the position of the European Parliament on the functioning of the digital single market and the use of Artificial Intelligence (AI) for European consumers.  </w:t>
      </w:r>
      <w:r>
        <w:rPr>
          <w:rFonts w:ascii="Times New Roman" w:hAnsi="Times New Roman"/>
          <w:lang w:val="en-IE"/>
        </w:rPr>
        <w:t>It</w:t>
      </w:r>
      <w:r w:rsidRPr="00D9228B">
        <w:rPr>
          <w:rFonts w:ascii="Times New Roman" w:hAnsi="Times New Roman"/>
          <w:lang w:val="en-IE"/>
        </w:rPr>
        <w:t xml:space="preserve"> calls on the Commission to</w:t>
      </w:r>
      <w:r w:rsidRPr="00D9228B">
        <w:rPr>
          <w:rFonts w:ascii="Times New Roman" w:hAnsi="Times New Roman"/>
        </w:rPr>
        <w:t xml:space="preserve"> avoid the fragmentation of the digital single market, </w:t>
      </w:r>
      <w:r>
        <w:rPr>
          <w:rFonts w:ascii="Times New Roman" w:hAnsi="Times New Roman"/>
        </w:rPr>
        <w:t xml:space="preserve">to </w:t>
      </w:r>
      <w:r w:rsidRPr="00D9228B">
        <w:rPr>
          <w:rFonts w:ascii="Times New Roman" w:hAnsi="Times New Roman"/>
        </w:rPr>
        <w:t xml:space="preserve">remove any existing unjustified barriers and administrative requirements and </w:t>
      </w:r>
      <w:r>
        <w:rPr>
          <w:rFonts w:ascii="Times New Roman" w:hAnsi="Times New Roman"/>
        </w:rPr>
        <w:t xml:space="preserve">to </w:t>
      </w:r>
      <w:r w:rsidRPr="00D9228B">
        <w:rPr>
          <w:rFonts w:ascii="Times New Roman" w:hAnsi="Times New Roman"/>
        </w:rPr>
        <w:t>support innovation</w:t>
      </w:r>
      <w:r w:rsidRPr="005B5A67">
        <w:rPr>
          <w:rFonts w:ascii="Times New Roman" w:hAnsi="Times New Roman"/>
        </w:rPr>
        <w:t xml:space="preserve">, especially for small- and medium-sized </w:t>
      </w:r>
      <w:r w:rsidRPr="001772B0">
        <w:rPr>
          <w:rFonts w:ascii="Times New Roman" w:hAnsi="Times New Roman"/>
        </w:rPr>
        <w:t>enterprises (SMEs</w:t>
      </w:r>
      <w:r w:rsidRPr="004C0EAE">
        <w:rPr>
          <w:rFonts w:ascii="Times New Roman" w:hAnsi="Times New Roman"/>
        </w:rPr>
        <w:t xml:space="preserve">). </w:t>
      </w:r>
      <w:r>
        <w:rPr>
          <w:rFonts w:ascii="Times New Roman" w:hAnsi="Times New Roman"/>
        </w:rPr>
        <w:t>The resolution</w:t>
      </w:r>
      <w:r w:rsidRPr="004C0EAE">
        <w:rPr>
          <w:rFonts w:ascii="Times New Roman" w:hAnsi="Times New Roman"/>
        </w:rPr>
        <w:t xml:space="preserve"> further calls </w:t>
      </w:r>
      <w:r w:rsidRPr="004C0EAE">
        <w:rPr>
          <w:rFonts w:ascii="Times New Roman" w:hAnsi="Times New Roman"/>
          <w:lang w:val="en-IE"/>
        </w:rPr>
        <w:t>on the Commission to support sustainable technology in the realisation of the Green Deal</w:t>
      </w:r>
      <w:r>
        <w:rPr>
          <w:rFonts w:ascii="Times New Roman" w:hAnsi="Times New Roman"/>
          <w:lang w:val="en-IE"/>
        </w:rPr>
        <w:t>.</w:t>
      </w:r>
      <w:r w:rsidRPr="00D9228B">
        <w:rPr>
          <w:rFonts w:ascii="Times New Roman" w:hAnsi="Times New Roman"/>
          <w:lang w:val="en-IE"/>
        </w:rPr>
        <w:t xml:space="preserve"> </w:t>
      </w:r>
      <w:r>
        <w:rPr>
          <w:rFonts w:ascii="Times New Roman" w:hAnsi="Times New Roman"/>
          <w:lang w:val="en-IE"/>
        </w:rPr>
        <w:t>It</w:t>
      </w:r>
      <w:r w:rsidRPr="00D9228B">
        <w:rPr>
          <w:rFonts w:ascii="Times New Roman" w:hAnsi="Times New Roman"/>
          <w:lang w:val="en-IE"/>
        </w:rPr>
        <w:t xml:space="preserve"> stresses the necessity of </w:t>
      </w:r>
      <w:r w:rsidRPr="005B5A67">
        <w:rPr>
          <w:rFonts w:ascii="Times New Roman" w:hAnsi="Times New Roman"/>
          <w:lang w:val="en-IE"/>
        </w:rPr>
        <w:t>the Digital Europe Programme</w:t>
      </w:r>
      <w:r w:rsidRPr="001772B0">
        <w:rPr>
          <w:rFonts w:ascii="Times New Roman" w:hAnsi="Times New Roman"/>
          <w:lang w:val="en-IE"/>
        </w:rPr>
        <w:t>, the</w:t>
      </w:r>
      <w:r w:rsidRPr="004C0EAE">
        <w:rPr>
          <w:rFonts w:ascii="Times New Roman" w:hAnsi="Times New Roman"/>
          <w:lang w:val="en-IE"/>
        </w:rPr>
        <w:t xml:space="preserve"> Horizon Europe programme and the Connecting Europe Facility for the digital transformation of Europe, and </w:t>
      </w:r>
      <w:r>
        <w:rPr>
          <w:rFonts w:ascii="Times New Roman" w:hAnsi="Times New Roman"/>
          <w:lang w:val="en-IE"/>
        </w:rPr>
        <w:t>calls for</w:t>
      </w:r>
      <w:r w:rsidRPr="004C0EAE">
        <w:rPr>
          <w:rFonts w:ascii="Times New Roman" w:hAnsi="Times New Roman"/>
          <w:lang w:val="en-IE"/>
        </w:rPr>
        <w:t xml:space="preserve"> the</w:t>
      </w:r>
      <w:r>
        <w:rPr>
          <w:rFonts w:ascii="Times New Roman" w:hAnsi="Times New Roman"/>
          <w:lang w:val="en-IE"/>
        </w:rPr>
        <w:t>ir</w:t>
      </w:r>
      <w:r w:rsidRPr="004C0EAE">
        <w:rPr>
          <w:rFonts w:ascii="Times New Roman" w:hAnsi="Times New Roman"/>
          <w:lang w:val="en-IE"/>
        </w:rPr>
        <w:t xml:space="preserve"> timely deployment. T</w:t>
      </w:r>
      <w:r w:rsidRPr="00D9228B">
        <w:rPr>
          <w:rFonts w:ascii="Times New Roman" w:hAnsi="Times New Roman"/>
          <w:lang w:val="en-IE"/>
        </w:rPr>
        <w:t xml:space="preserve">he resolution also </w:t>
      </w:r>
      <w:r>
        <w:rPr>
          <w:rFonts w:ascii="Times New Roman" w:hAnsi="Times New Roman"/>
          <w:lang w:val="en-IE"/>
        </w:rPr>
        <w:t>recommends</w:t>
      </w:r>
      <w:r w:rsidRPr="00D9228B">
        <w:rPr>
          <w:rFonts w:ascii="Times New Roman" w:hAnsi="Times New Roman"/>
          <w:lang w:val="en-IE"/>
        </w:rPr>
        <w:t xml:space="preserve"> a </w:t>
      </w:r>
      <w:r w:rsidRPr="00D9228B">
        <w:rPr>
          <w:rFonts w:ascii="Times New Roman" w:hAnsi="Times New Roman"/>
        </w:rPr>
        <w:t xml:space="preserve">comprehensive European approach to foster investments in technology in the EU. </w:t>
      </w:r>
      <w:r>
        <w:rPr>
          <w:rFonts w:ascii="Times New Roman" w:hAnsi="Times New Roman"/>
        </w:rPr>
        <w:t>The resolution</w:t>
      </w:r>
      <w:r w:rsidRPr="005B5A67">
        <w:rPr>
          <w:rFonts w:ascii="Times New Roman" w:hAnsi="Times New Roman"/>
        </w:rPr>
        <w:t xml:space="preserve"> is supportive of the objective set forth by the Commission to increase the availability and sharing of non-personal data and highlights the importance of high-quality datasets </w:t>
      </w:r>
      <w:proofErr w:type="gramStart"/>
      <w:r w:rsidRPr="005B5A67">
        <w:rPr>
          <w:rFonts w:ascii="Times New Roman" w:hAnsi="Times New Roman"/>
        </w:rPr>
        <w:t>to fully unlock</w:t>
      </w:r>
      <w:proofErr w:type="gramEnd"/>
      <w:r w:rsidRPr="005B5A67">
        <w:rPr>
          <w:rFonts w:ascii="Times New Roman" w:hAnsi="Times New Roman"/>
        </w:rPr>
        <w:t xml:space="preserve"> the potential of </w:t>
      </w:r>
      <w:r w:rsidRPr="00D9228B">
        <w:rPr>
          <w:rFonts w:ascii="Times New Roman" w:hAnsi="Times New Roman"/>
        </w:rPr>
        <w:t xml:space="preserve">the Green Deal. It </w:t>
      </w:r>
      <w:r>
        <w:rPr>
          <w:rFonts w:ascii="Times New Roman" w:hAnsi="Times New Roman"/>
        </w:rPr>
        <w:t>is also concerned with</w:t>
      </w:r>
      <w:r w:rsidRPr="00D9228B">
        <w:rPr>
          <w:rFonts w:ascii="Times New Roman" w:hAnsi="Times New Roman"/>
        </w:rPr>
        <w:t xml:space="preserve"> SME</w:t>
      </w:r>
      <w:r>
        <w:rPr>
          <w:rFonts w:ascii="Times New Roman" w:hAnsi="Times New Roman"/>
        </w:rPr>
        <w:t xml:space="preserve"> access to data,</w:t>
      </w:r>
      <w:r w:rsidRPr="00D9228B">
        <w:rPr>
          <w:rFonts w:ascii="Times New Roman" w:hAnsi="Times New Roman"/>
        </w:rPr>
        <w:t xml:space="preserve"> in particular non-personal data</w:t>
      </w:r>
      <w:r>
        <w:rPr>
          <w:rFonts w:ascii="Times New Roman" w:hAnsi="Times New Roman"/>
        </w:rPr>
        <w:t>, based on voluntary processes and in compliance with relevant legislation</w:t>
      </w:r>
      <w:r w:rsidRPr="00D9228B">
        <w:rPr>
          <w:rFonts w:ascii="Times New Roman" w:hAnsi="Times New Roman"/>
        </w:rPr>
        <w:t>. The resolution welcomes the new EU’s Cybersecurity Strategy for the Digital Decade. It argues that the current legal framework does not provide for general mandatory cybersecurity requirements for products or services and calls for a ‘whole-of-society’ approach towards cybersecurity. The resolution also takes note of the proposals for a Digital Services Act and for a Digital Markets Act and considers that both should guarantee a high level of consumer protection and the improvement of users’ rights, trust and safety online,</w:t>
      </w:r>
      <w:r w:rsidRPr="005B5A67">
        <w:rPr>
          <w:rFonts w:ascii="Times New Roman" w:hAnsi="Times New Roman"/>
        </w:rPr>
        <w:t xml:space="preserve"> while supporting innovation. With regard to </w:t>
      </w:r>
      <w:r w:rsidRPr="00D9228B">
        <w:rPr>
          <w:rFonts w:ascii="Times New Roman" w:hAnsi="Times New Roman"/>
        </w:rPr>
        <w:t>AI, the Parliament welcomes the Commission’s White Paper and calls for a common EU regulatory framework that is human-centric, risk-based, clear</w:t>
      </w:r>
      <w:r>
        <w:rPr>
          <w:rFonts w:ascii="Times New Roman" w:hAnsi="Times New Roman"/>
        </w:rPr>
        <w:t xml:space="preserve">, </w:t>
      </w:r>
      <w:proofErr w:type="gramStart"/>
      <w:r w:rsidRPr="00D9228B">
        <w:rPr>
          <w:rFonts w:ascii="Times New Roman" w:hAnsi="Times New Roman"/>
        </w:rPr>
        <w:t>future</w:t>
      </w:r>
      <w:proofErr w:type="gramEnd"/>
      <w:r w:rsidRPr="00D9228B">
        <w:rPr>
          <w:rFonts w:ascii="Times New Roman" w:hAnsi="Times New Roman"/>
        </w:rPr>
        <w:t>-proof</w:t>
      </w:r>
      <w:r>
        <w:rPr>
          <w:rFonts w:ascii="Times New Roman" w:hAnsi="Times New Roman"/>
        </w:rPr>
        <w:t xml:space="preserve">, </w:t>
      </w:r>
      <w:r w:rsidRPr="00D9228B">
        <w:rPr>
          <w:rFonts w:ascii="Times New Roman" w:hAnsi="Times New Roman"/>
        </w:rPr>
        <w:t xml:space="preserve">in </w:t>
      </w:r>
      <w:r w:rsidRPr="00D9228B">
        <w:rPr>
          <w:rFonts w:ascii="Times New Roman" w:hAnsi="Times New Roman"/>
          <w:lang w:val="en-IE"/>
        </w:rPr>
        <w:t xml:space="preserve">full respect of fundamental rights, </w:t>
      </w:r>
      <w:r>
        <w:rPr>
          <w:rFonts w:ascii="Times New Roman" w:hAnsi="Times New Roman"/>
          <w:lang w:val="en-IE"/>
        </w:rPr>
        <w:t xml:space="preserve">that </w:t>
      </w:r>
      <w:r w:rsidRPr="00D9228B">
        <w:rPr>
          <w:rFonts w:ascii="Times New Roman" w:hAnsi="Times New Roman"/>
          <w:lang w:val="en-IE"/>
        </w:rPr>
        <w:t>ensure</w:t>
      </w:r>
      <w:r>
        <w:rPr>
          <w:rFonts w:ascii="Times New Roman" w:hAnsi="Times New Roman"/>
          <w:lang w:val="en-IE"/>
        </w:rPr>
        <w:t>s</w:t>
      </w:r>
      <w:r w:rsidRPr="00D9228B">
        <w:rPr>
          <w:rFonts w:ascii="Times New Roman" w:hAnsi="Times New Roman"/>
          <w:lang w:val="en-IE"/>
        </w:rPr>
        <w:t xml:space="preserve"> consumer </w:t>
      </w:r>
      <w:r>
        <w:rPr>
          <w:rFonts w:ascii="Times New Roman" w:hAnsi="Times New Roman"/>
          <w:lang w:val="en-IE"/>
        </w:rPr>
        <w:t xml:space="preserve">and </w:t>
      </w:r>
      <w:r w:rsidRPr="00D9228B">
        <w:rPr>
          <w:rFonts w:ascii="Times New Roman" w:hAnsi="Times New Roman"/>
          <w:lang w:val="en-IE"/>
        </w:rPr>
        <w:t>data protection and security</w:t>
      </w:r>
      <w:r>
        <w:rPr>
          <w:rFonts w:ascii="Times New Roman" w:hAnsi="Times New Roman"/>
          <w:lang w:val="en-IE"/>
        </w:rPr>
        <w:t>,</w:t>
      </w:r>
      <w:r w:rsidRPr="00D9228B">
        <w:rPr>
          <w:rFonts w:ascii="Times New Roman" w:hAnsi="Times New Roman"/>
          <w:lang w:val="en-IE"/>
        </w:rPr>
        <w:t xml:space="preserve"> and </w:t>
      </w:r>
      <w:r>
        <w:rPr>
          <w:rFonts w:ascii="Times New Roman" w:hAnsi="Times New Roman"/>
          <w:lang w:val="en-IE"/>
        </w:rPr>
        <w:t xml:space="preserve">that </w:t>
      </w:r>
      <w:r w:rsidRPr="00D9228B">
        <w:rPr>
          <w:rFonts w:ascii="Times New Roman" w:hAnsi="Times New Roman"/>
          <w:lang w:val="en-IE"/>
        </w:rPr>
        <w:t>foster</w:t>
      </w:r>
      <w:r>
        <w:rPr>
          <w:rFonts w:ascii="Times New Roman" w:hAnsi="Times New Roman"/>
          <w:lang w:val="en-IE"/>
        </w:rPr>
        <w:t>s</w:t>
      </w:r>
      <w:r w:rsidRPr="00D9228B">
        <w:rPr>
          <w:rFonts w:ascii="Times New Roman" w:hAnsi="Times New Roman"/>
          <w:lang w:val="en-IE"/>
        </w:rPr>
        <w:t xml:space="preserve"> innovation</w:t>
      </w:r>
      <w:r w:rsidRPr="00D9228B">
        <w:rPr>
          <w:rFonts w:ascii="Times New Roman" w:hAnsi="Times New Roman"/>
        </w:rPr>
        <w:t xml:space="preserve">. Acknowledging </w:t>
      </w:r>
      <w:r>
        <w:rPr>
          <w:rFonts w:ascii="Times New Roman" w:hAnsi="Times New Roman"/>
        </w:rPr>
        <w:t>certain</w:t>
      </w:r>
      <w:r w:rsidRPr="00D9228B">
        <w:rPr>
          <w:rFonts w:ascii="Times New Roman" w:hAnsi="Times New Roman"/>
        </w:rPr>
        <w:t xml:space="preserve"> risks associated to AI, the resolution stresses the need for adequate human control, transparency, explicability and basic consumer education on AI. While the Parliament considers that the use of AI in high-risk context</w:t>
      </w:r>
      <w:r>
        <w:rPr>
          <w:rFonts w:ascii="Times New Roman" w:hAnsi="Times New Roman"/>
        </w:rPr>
        <w:t>s</w:t>
      </w:r>
      <w:r w:rsidRPr="00D9228B">
        <w:rPr>
          <w:rFonts w:ascii="Times New Roman" w:hAnsi="Times New Roman"/>
        </w:rPr>
        <w:t xml:space="preserve"> should be limited to specific purposes, it also voices concerns about overly complex regulatory burden</w:t>
      </w:r>
      <w:r w:rsidRPr="005B5A67">
        <w:rPr>
          <w:rFonts w:ascii="Times New Roman" w:hAnsi="Times New Roman"/>
        </w:rPr>
        <w:t>s</w:t>
      </w:r>
      <w:r w:rsidRPr="001772B0">
        <w:rPr>
          <w:rFonts w:ascii="Times New Roman" w:hAnsi="Times New Roman"/>
        </w:rPr>
        <w:t>.</w:t>
      </w:r>
    </w:p>
    <w:p w:rsidR="001626E6" w:rsidRDefault="001626E6" w:rsidP="001626E6">
      <w:pPr>
        <w:widowControl w:val="0"/>
        <w:numPr>
          <w:ilvl w:val="0"/>
          <w:numId w:val="1"/>
        </w:numPr>
        <w:ind w:left="567" w:hanging="567"/>
        <w:rPr>
          <w:rFonts w:ascii="Times New Roman" w:hAnsi="Times New Roman"/>
          <w:b/>
          <w:bCs/>
          <w:szCs w:val="24"/>
        </w:rPr>
      </w:pPr>
      <w:r w:rsidRPr="00BF0980">
        <w:rPr>
          <w:rFonts w:ascii="Times New Roman" w:hAnsi="Times New Roman"/>
          <w:b/>
          <w:bCs/>
          <w:szCs w:val="24"/>
        </w:rPr>
        <w:t>Response to the requests and overview of the action taken, or intended to be taken, by the Commission:</w:t>
      </w:r>
    </w:p>
    <w:p w:rsidR="001626E6" w:rsidRPr="007F0DFF" w:rsidRDefault="001626E6" w:rsidP="001626E6">
      <w:pPr>
        <w:widowControl w:val="0"/>
        <w:spacing w:after="120"/>
        <w:rPr>
          <w:rFonts w:ascii="Times New Roman" w:hAnsi="Times New Roman"/>
          <w:b/>
          <w:bCs/>
        </w:rPr>
      </w:pPr>
      <w:r w:rsidRPr="0072172C">
        <w:rPr>
          <w:rStyle w:val="BoldItalic"/>
        </w:rPr>
        <w:t>Part 1: removing barriers to the functioning of the digital single market</w:t>
      </w:r>
    </w:p>
    <w:p w:rsidR="001626E6" w:rsidRPr="007F0DFF" w:rsidRDefault="001626E6" w:rsidP="001626E6">
      <w:pPr>
        <w:widowControl w:val="0"/>
        <w:spacing w:after="120"/>
        <w:rPr>
          <w:rFonts w:ascii="Times New Roman" w:hAnsi="Times New Roman"/>
        </w:rPr>
      </w:pPr>
      <w:r w:rsidRPr="000301E2">
        <w:rPr>
          <w:rFonts w:ascii="Times New Roman" w:hAnsi="Times New Roman"/>
        </w:rPr>
        <w:t xml:space="preserve">The Commission </w:t>
      </w:r>
      <w:r w:rsidRPr="00D9228B">
        <w:rPr>
          <w:rFonts w:ascii="Times New Roman" w:hAnsi="Times New Roman"/>
        </w:rPr>
        <w:t>agrees with the Parliament on the importance that Europe has a strong vision for Europe’s digital transformation by 2030</w:t>
      </w:r>
      <w:r>
        <w:rPr>
          <w:rFonts w:ascii="Times New Roman" w:hAnsi="Times New Roman"/>
        </w:rPr>
        <w:t>, including as regards the digital single market. It</w:t>
      </w:r>
      <w:r w:rsidRPr="00D9228B">
        <w:rPr>
          <w:rFonts w:ascii="Times New Roman" w:hAnsi="Times New Roman"/>
        </w:rPr>
        <w:t xml:space="preserve"> refers the Parliament to its</w:t>
      </w:r>
      <w:r>
        <w:rPr>
          <w:rFonts w:ascii="Times New Roman" w:hAnsi="Times New Roman"/>
        </w:rPr>
        <w:t xml:space="preserve"> c</w:t>
      </w:r>
      <w:r w:rsidRPr="00E52552">
        <w:rPr>
          <w:rFonts w:ascii="Times New Roman" w:hAnsi="Times New Roman"/>
        </w:rPr>
        <w:t>ommunication</w:t>
      </w:r>
      <w:r>
        <w:rPr>
          <w:rFonts w:ascii="Times New Roman" w:hAnsi="Times New Roman"/>
        </w:rPr>
        <w:t>s</w:t>
      </w:r>
      <w:r w:rsidRPr="00E52552">
        <w:rPr>
          <w:rFonts w:ascii="Times New Roman" w:hAnsi="Times New Roman"/>
        </w:rPr>
        <w:t xml:space="preserve"> on ‘Shaping Europe's digital future’ </w:t>
      </w:r>
      <w:r w:rsidRPr="00E52552">
        <w:rPr>
          <w:rFonts w:ascii="Times New Roman" w:hAnsi="Times New Roman"/>
        </w:rPr>
        <w:lastRenderedPageBreak/>
        <w:t xml:space="preserve">(the ‘Digital Strategy’, </w:t>
      </w:r>
      <w:proofErr w:type="gramStart"/>
      <w:r w:rsidRPr="00E52552">
        <w:rPr>
          <w:rFonts w:ascii="Times New Roman" w:hAnsi="Times New Roman"/>
        </w:rPr>
        <w:t>COM(</w:t>
      </w:r>
      <w:proofErr w:type="gramEnd"/>
      <w:r w:rsidRPr="00E52552">
        <w:rPr>
          <w:rFonts w:ascii="Times New Roman" w:hAnsi="Times New Roman"/>
        </w:rPr>
        <w:t>2020) 67 final)</w:t>
      </w:r>
      <w:r>
        <w:rPr>
          <w:rFonts w:ascii="Times New Roman" w:hAnsi="Times New Roman"/>
        </w:rPr>
        <w:t xml:space="preserve"> and on a </w:t>
      </w:r>
      <w:r w:rsidRPr="00D9228B">
        <w:rPr>
          <w:rFonts w:ascii="Times New Roman" w:hAnsi="Times New Roman"/>
        </w:rPr>
        <w:t>‘2030 Digital Compass: the European way for the Digital Decade’ (the ‘Digital Decade Communication’, COM(2021) 118 final).</w:t>
      </w:r>
    </w:p>
    <w:p w:rsidR="001626E6" w:rsidRPr="000301E2" w:rsidRDefault="001626E6" w:rsidP="001626E6">
      <w:pPr>
        <w:widowControl w:val="0"/>
        <w:spacing w:after="120"/>
        <w:rPr>
          <w:rFonts w:ascii="Times New Roman" w:hAnsi="Times New Roman"/>
        </w:rPr>
      </w:pPr>
      <w:proofErr w:type="gramStart"/>
      <w:r w:rsidRPr="008C1110">
        <w:rPr>
          <w:rFonts w:ascii="Times New Roman" w:hAnsi="Times New Roman"/>
        </w:rPr>
        <w:t>T</w:t>
      </w:r>
      <w:r>
        <w:rPr>
          <w:rFonts w:ascii="Times New Roman" w:hAnsi="Times New Roman"/>
        </w:rPr>
        <w:t>he latter c</w:t>
      </w:r>
      <w:r w:rsidRPr="008C1110">
        <w:rPr>
          <w:rFonts w:ascii="Times New Roman" w:hAnsi="Times New Roman"/>
        </w:rPr>
        <w:t>ommunication includes</w:t>
      </w:r>
      <w:r>
        <w:rPr>
          <w:rFonts w:ascii="Times New Roman" w:hAnsi="Times New Roman"/>
        </w:rPr>
        <w:t>, inter alia,</w:t>
      </w:r>
      <w:r w:rsidRPr="008C1110">
        <w:rPr>
          <w:rFonts w:ascii="Times New Roman" w:hAnsi="Times New Roman"/>
        </w:rPr>
        <w:t xml:space="preserve"> the objectives of having, by 2030, 75 % of European enterprises taking up cloud computing services, big data and </w:t>
      </w:r>
      <w:r>
        <w:rPr>
          <w:rFonts w:ascii="Times New Roman" w:hAnsi="Times New Roman"/>
        </w:rPr>
        <w:t>AI</w:t>
      </w:r>
      <w:r w:rsidRPr="008C1110">
        <w:rPr>
          <w:rFonts w:ascii="Times New Roman" w:hAnsi="Times New Roman"/>
        </w:rPr>
        <w:t xml:space="preserve">, more than 90 % of SMEs reaching at least a basic level of digital intensity and Europe </w:t>
      </w:r>
      <w:r>
        <w:rPr>
          <w:rFonts w:ascii="Times New Roman" w:hAnsi="Times New Roman"/>
        </w:rPr>
        <w:t xml:space="preserve">to </w:t>
      </w:r>
      <w:r w:rsidRPr="008C1110">
        <w:rPr>
          <w:rFonts w:ascii="Times New Roman" w:hAnsi="Times New Roman"/>
        </w:rPr>
        <w:t>grow the pipeline of its innovative scale</w:t>
      </w:r>
      <w:r>
        <w:rPr>
          <w:rFonts w:ascii="Times New Roman" w:hAnsi="Times New Roman"/>
        </w:rPr>
        <w:t>-</w:t>
      </w:r>
      <w:r w:rsidRPr="008C1110">
        <w:rPr>
          <w:rFonts w:ascii="Times New Roman" w:hAnsi="Times New Roman"/>
        </w:rPr>
        <w:t xml:space="preserve">ups and </w:t>
      </w:r>
      <w:r>
        <w:rPr>
          <w:rFonts w:ascii="Times New Roman" w:hAnsi="Times New Roman"/>
        </w:rPr>
        <w:t xml:space="preserve">to </w:t>
      </w:r>
      <w:r w:rsidRPr="008C1110">
        <w:rPr>
          <w:rFonts w:ascii="Times New Roman" w:hAnsi="Times New Roman"/>
        </w:rPr>
        <w:t>improve their access to finance, leading to doubling the number of unicorns in Europe</w:t>
      </w:r>
      <w:r>
        <w:rPr>
          <w:rFonts w:ascii="Times New Roman" w:hAnsi="Times New Roman"/>
        </w:rPr>
        <w:t xml:space="preserve"> (</w:t>
      </w:r>
      <w:r w:rsidRPr="00514A0D">
        <w:rPr>
          <w:rFonts w:ascii="Times New Roman" w:hAnsi="Times New Roman"/>
          <w:b/>
        </w:rPr>
        <w:t>paragraph 2</w:t>
      </w:r>
      <w:r>
        <w:rPr>
          <w:rFonts w:ascii="Times New Roman" w:hAnsi="Times New Roman"/>
        </w:rPr>
        <w:t>)</w:t>
      </w:r>
      <w:r w:rsidRPr="008C1110">
        <w:rPr>
          <w:rFonts w:ascii="Times New Roman" w:hAnsi="Times New Roman"/>
        </w:rPr>
        <w:t>.</w:t>
      </w:r>
      <w:proofErr w:type="gramEnd"/>
      <w:r w:rsidRPr="008C1110">
        <w:rPr>
          <w:rFonts w:ascii="Times New Roman" w:hAnsi="Times New Roman"/>
        </w:rPr>
        <w:t xml:space="preserve"> </w:t>
      </w:r>
      <w:r w:rsidRPr="00B1606A">
        <w:rPr>
          <w:rFonts w:ascii="Times New Roman" w:hAnsi="Times New Roman"/>
        </w:rPr>
        <w:t xml:space="preserve">The </w:t>
      </w:r>
      <w:r>
        <w:rPr>
          <w:rFonts w:ascii="Times New Roman" w:hAnsi="Times New Roman"/>
        </w:rPr>
        <w:t xml:space="preserve">Commission’s </w:t>
      </w:r>
      <w:r w:rsidRPr="00B1606A">
        <w:rPr>
          <w:rFonts w:ascii="Times New Roman" w:hAnsi="Times New Roman"/>
        </w:rPr>
        <w:t xml:space="preserve">SME </w:t>
      </w:r>
      <w:r>
        <w:rPr>
          <w:rFonts w:ascii="Times New Roman" w:hAnsi="Times New Roman"/>
        </w:rPr>
        <w:t>S</w:t>
      </w:r>
      <w:r w:rsidRPr="00B1606A">
        <w:rPr>
          <w:rFonts w:ascii="Times New Roman" w:hAnsi="Times New Roman"/>
        </w:rPr>
        <w:t>trategy</w:t>
      </w:r>
      <w:r>
        <w:rPr>
          <w:rFonts w:ascii="Times New Roman" w:hAnsi="Times New Roman"/>
        </w:rPr>
        <w:t xml:space="preserve"> (COM(2020) 103 final)</w:t>
      </w:r>
      <w:r w:rsidRPr="00B1606A">
        <w:rPr>
          <w:rFonts w:ascii="Times New Roman" w:hAnsi="Times New Roman"/>
        </w:rPr>
        <w:t xml:space="preserve"> </w:t>
      </w:r>
      <w:r>
        <w:rPr>
          <w:rFonts w:ascii="Times New Roman" w:hAnsi="Times New Roman"/>
        </w:rPr>
        <w:t xml:space="preserve">also </w:t>
      </w:r>
      <w:r w:rsidRPr="00B1606A">
        <w:rPr>
          <w:rFonts w:ascii="Times New Roman" w:hAnsi="Times New Roman"/>
        </w:rPr>
        <w:t xml:space="preserve">supports European SMEs in becoming more digital, </w:t>
      </w:r>
      <w:r>
        <w:rPr>
          <w:rFonts w:ascii="Times New Roman" w:hAnsi="Times New Roman"/>
        </w:rPr>
        <w:t>including, for example,</w:t>
      </w:r>
      <w:r w:rsidRPr="00B1606A">
        <w:rPr>
          <w:rFonts w:ascii="Times New Roman" w:hAnsi="Times New Roman"/>
        </w:rPr>
        <w:t xml:space="preserve"> </w:t>
      </w:r>
      <w:r>
        <w:rPr>
          <w:rFonts w:ascii="Times New Roman" w:hAnsi="Times New Roman"/>
        </w:rPr>
        <w:t xml:space="preserve">with </w:t>
      </w:r>
      <w:r w:rsidRPr="00B1606A">
        <w:rPr>
          <w:rFonts w:ascii="Times New Roman" w:hAnsi="Times New Roman"/>
        </w:rPr>
        <w:t xml:space="preserve">the network of </w:t>
      </w:r>
      <w:r>
        <w:rPr>
          <w:rFonts w:ascii="Times New Roman" w:hAnsi="Times New Roman"/>
        </w:rPr>
        <w:t xml:space="preserve">European </w:t>
      </w:r>
      <w:r w:rsidRPr="00B1606A">
        <w:rPr>
          <w:rFonts w:ascii="Times New Roman" w:hAnsi="Times New Roman"/>
        </w:rPr>
        <w:t>Digital Innovation Hubs</w:t>
      </w:r>
      <w:r>
        <w:rPr>
          <w:rFonts w:ascii="Times New Roman" w:hAnsi="Times New Roman"/>
        </w:rPr>
        <w:t xml:space="preserve"> (see also under </w:t>
      </w:r>
      <w:r w:rsidRPr="000301E2">
        <w:rPr>
          <w:rFonts w:ascii="Times New Roman" w:hAnsi="Times New Roman"/>
          <w:b/>
          <w:bCs/>
        </w:rPr>
        <w:t>paragraph 18</w:t>
      </w:r>
      <w:r>
        <w:rPr>
          <w:rFonts w:ascii="Times New Roman" w:hAnsi="Times New Roman"/>
        </w:rPr>
        <w:t>, further below), as well as</w:t>
      </w:r>
      <w:r w:rsidRPr="00B1606A">
        <w:rPr>
          <w:rFonts w:ascii="Times New Roman" w:hAnsi="Times New Roman"/>
        </w:rPr>
        <w:t xml:space="preserve"> Digital Crash Courses for SME employees </w:t>
      </w:r>
      <w:r>
        <w:rPr>
          <w:rFonts w:ascii="Times New Roman" w:hAnsi="Times New Roman"/>
        </w:rPr>
        <w:t>and</w:t>
      </w:r>
      <w:r w:rsidRPr="00B1606A">
        <w:rPr>
          <w:rFonts w:ascii="Times New Roman" w:hAnsi="Times New Roman"/>
        </w:rPr>
        <w:t xml:space="preserve"> a </w:t>
      </w:r>
      <w:r>
        <w:rPr>
          <w:rFonts w:ascii="Times New Roman" w:hAnsi="Times New Roman"/>
        </w:rPr>
        <w:t>‘</w:t>
      </w:r>
      <w:r w:rsidRPr="00B1606A">
        <w:rPr>
          <w:rFonts w:ascii="Times New Roman" w:hAnsi="Times New Roman"/>
        </w:rPr>
        <w:t>digital volunteers</w:t>
      </w:r>
      <w:r>
        <w:rPr>
          <w:rFonts w:ascii="Times New Roman" w:hAnsi="Times New Roman"/>
        </w:rPr>
        <w:t>’</w:t>
      </w:r>
      <w:r w:rsidRPr="00B1606A">
        <w:rPr>
          <w:rFonts w:ascii="Times New Roman" w:hAnsi="Times New Roman"/>
        </w:rPr>
        <w:t xml:space="preserve"> programme </w:t>
      </w:r>
      <w:r>
        <w:rPr>
          <w:rFonts w:ascii="Times New Roman" w:hAnsi="Times New Roman"/>
        </w:rPr>
        <w:t>matching</w:t>
      </w:r>
      <w:r w:rsidRPr="00B1606A">
        <w:rPr>
          <w:rFonts w:ascii="Times New Roman" w:hAnsi="Times New Roman"/>
        </w:rPr>
        <w:t xml:space="preserve"> young skilled people and experienced seniors.</w:t>
      </w:r>
      <w:r>
        <w:rPr>
          <w:rFonts w:ascii="Times New Roman" w:hAnsi="Times New Roman"/>
        </w:rPr>
        <w:t xml:space="preserve"> Concerning the call for a ‘fitness check’, t</w:t>
      </w:r>
      <w:r w:rsidRPr="00B1606A">
        <w:rPr>
          <w:rFonts w:ascii="Times New Roman" w:hAnsi="Times New Roman"/>
        </w:rPr>
        <w:t xml:space="preserve">he Commission already </w:t>
      </w:r>
      <w:proofErr w:type="gramStart"/>
      <w:r w:rsidRPr="00B1606A">
        <w:rPr>
          <w:rFonts w:ascii="Times New Roman" w:hAnsi="Times New Roman"/>
        </w:rPr>
        <w:t>systematically</w:t>
      </w:r>
      <w:proofErr w:type="gramEnd"/>
      <w:r w:rsidRPr="00B1606A">
        <w:rPr>
          <w:rFonts w:ascii="Times New Roman" w:hAnsi="Times New Roman"/>
        </w:rPr>
        <w:t xml:space="preserve"> reviews how newly proposed legislation affect</w:t>
      </w:r>
      <w:r>
        <w:rPr>
          <w:rFonts w:ascii="Times New Roman" w:hAnsi="Times New Roman"/>
        </w:rPr>
        <w:t>s</w:t>
      </w:r>
      <w:r w:rsidRPr="00B1606A">
        <w:rPr>
          <w:rFonts w:ascii="Times New Roman" w:hAnsi="Times New Roman"/>
        </w:rPr>
        <w:t xml:space="preserve"> SMEs. This review</w:t>
      </w:r>
      <w:r>
        <w:rPr>
          <w:rFonts w:ascii="Times New Roman" w:hAnsi="Times New Roman"/>
        </w:rPr>
        <w:t>, referred to as ‘the SME test’,</w:t>
      </w:r>
      <w:r w:rsidRPr="00B1606A">
        <w:rPr>
          <w:rFonts w:ascii="Times New Roman" w:hAnsi="Times New Roman"/>
        </w:rPr>
        <w:t xml:space="preserve"> is </w:t>
      </w:r>
      <w:r>
        <w:rPr>
          <w:rFonts w:ascii="Times New Roman" w:hAnsi="Times New Roman"/>
        </w:rPr>
        <w:t>mandatory for all</w:t>
      </w:r>
      <w:r w:rsidRPr="00B1606A">
        <w:rPr>
          <w:rFonts w:ascii="Times New Roman" w:hAnsi="Times New Roman"/>
        </w:rPr>
        <w:t xml:space="preserve"> impact assessment process</w:t>
      </w:r>
      <w:r>
        <w:rPr>
          <w:rFonts w:ascii="Times New Roman" w:hAnsi="Times New Roman"/>
        </w:rPr>
        <w:t>es that precede legislative proposals</w:t>
      </w:r>
      <w:r w:rsidRPr="00B1606A">
        <w:rPr>
          <w:rFonts w:ascii="Times New Roman" w:hAnsi="Times New Roman"/>
        </w:rPr>
        <w:t>.</w:t>
      </w:r>
    </w:p>
    <w:p w:rsidR="001626E6" w:rsidRPr="000301E2" w:rsidRDefault="001626E6" w:rsidP="001626E6">
      <w:pPr>
        <w:widowControl w:val="0"/>
        <w:spacing w:after="120"/>
        <w:rPr>
          <w:rFonts w:ascii="Times New Roman" w:hAnsi="Times New Roman"/>
        </w:rPr>
      </w:pPr>
      <w:r w:rsidRPr="00D9228B">
        <w:rPr>
          <w:rFonts w:ascii="Times New Roman" w:hAnsi="Times New Roman"/>
        </w:rPr>
        <w:t xml:space="preserve">Concerning </w:t>
      </w:r>
      <w:r w:rsidRPr="00D9228B">
        <w:rPr>
          <w:rFonts w:ascii="Times New Roman" w:hAnsi="Times New Roman"/>
          <w:b/>
          <w:bCs/>
        </w:rPr>
        <w:t>paragraph 6</w:t>
      </w:r>
      <w:r w:rsidRPr="00D9228B">
        <w:rPr>
          <w:rFonts w:ascii="Times New Roman" w:hAnsi="Times New Roman"/>
        </w:rPr>
        <w:t xml:space="preserve">, the Commission set out its views on the matter in its Digital Strategy and in the Digital Decade Communication. In particular, the Digital Strategy announced ‘initiatives to achieve climate-neutral, highly energy-efficient and sustainable data centres by no later than 2030’. To meet this goal, the Commission will rely on a mix of existing instruments, including the </w:t>
      </w:r>
      <w:proofErr w:type="spellStart"/>
      <w:r w:rsidRPr="00D9228B">
        <w:rPr>
          <w:rFonts w:ascii="Times New Roman" w:hAnsi="Times New Roman"/>
        </w:rPr>
        <w:t>Ecodesign</w:t>
      </w:r>
      <w:proofErr w:type="spellEnd"/>
      <w:r w:rsidRPr="00D9228B">
        <w:rPr>
          <w:rFonts w:ascii="Times New Roman" w:hAnsi="Times New Roman"/>
        </w:rPr>
        <w:t xml:space="preserve"> Regulation on servers and data storage products</w:t>
      </w:r>
      <w:r>
        <w:rPr>
          <w:rFonts w:ascii="Times New Roman" w:hAnsi="Times New Roman"/>
        </w:rPr>
        <w:t xml:space="preserve"> ((</w:t>
      </w:r>
      <w:r w:rsidRPr="00AD2EDD">
        <w:rPr>
          <w:rFonts w:ascii="Times New Roman" w:hAnsi="Times New Roman"/>
        </w:rPr>
        <w:t>EU) 2019/424</w:t>
      </w:r>
      <w:r>
        <w:rPr>
          <w:rFonts w:ascii="Times New Roman" w:hAnsi="Times New Roman"/>
        </w:rPr>
        <w:t>)</w:t>
      </w:r>
      <w:r w:rsidRPr="00D9228B">
        <w:rPr>
          <w:rFonts w:ascii="Times New Roman" w:hAnsi="Times New Roman"/>
        </w:rPr>
        <w:t>, the EU Code of Conduct on Data Centre Energy Efficiency, the EU Green Public Procurement criteria for data centres, server rooms and cloud services</w:t>
      </w:r>
      <w:r>
        <w:rPr>
          <w:rFonts w:ascii="Times New Roman" w:hAnsi="Times New Roman"/>
        </w:rPr>
        <w:t xml:space="preserve">. </w:t>
      </w:r>
      <w:proofErr w:type="gramStart"/>
      <w:r>
        <w:rPr>
          <w:rFonts w:ascii="Times New Roman" w:hAnsi="Times New Roman"/>
        </w:rPr>
        <w:t>As part of the ‘Fit for 55’ package, t</w:t>
      </w:r>
      <w:r w:rsidRPr="00D9228B">
        <w:rPr>
          <w:rFonts w:ascii="Times New Roman" w:hAnsi="Times New Roman"/>
        </w:rPr>
        <w:t xml:space="preserve">he Commission </w:t>
      </w:r>
      <w:r>
        <w:rPr>
          <w:rFonts w:ascii="Times New Roman" w:hAnsi="Times New Roman"/>
        </w:rPr>
        <w:t xml:space="preserve">proposed to revise </w:t>
      </w:r>
      <w:r w:rsidRPr="00D9228B">
        <w:rPr>
          <w:rFonts w:ascii="Times New Roman" w:hAnsi="Times New Roman"/>
        </w:rPr>
        <w:t>the Energy Efficiency Directive (2012/27/EU)</w:t>
      </w:r>
      <w:r>
        <w:rPr>
          <w:rFonts w:ascii="Times New Roman" w:hAnsi="Times New Roman"/>
        </w:rPr>
        <w:t xml:space="preserve">, which </w:t>
      </w:r>
      <w:r w:rsidRPr="00D9228B">
        <w:rPr>
          <w:rFonts w:ascii="Times New Roman" w:hAnsi="Times New Roman"/>
        </w:rPr>
        <w:t>aims to set measures for the recovery of waste heat</w:t>
      </w:r>
      <w:r>
        <w:rPr>
          <w:rFonts w:ascii="Times New Roman" w:hAnsi="Times New Roman"/>
        </w:rPr>
        <w:t>, strengthen the provisions for the energy management and energy audits by large energy consumers like data centres and propose a scheme for a transparent reporting of the data centres’ sustainability.</w:t>
      </w:r>
      <w:proofErr w:type="gramEnd"/>
      <w:r>
        <w:rPr>
          <w:rFonts w:ascii="Times New Roman" w:hAnsi="Times New Roman"/>
        </w:rPr>
        <w:t xml:space="preserve"> The Commission</w:t>
      </w:r>
      <w:r w:rsidRPr="00D9228B">
        <w:rPr>
          <w:rFonts w:ascii="Times New Roman" w:hAnsi="Times New Roman"/>
        </w:rPr>
        <w:t xml:space="preserve"> </w:t>
      </w:r>
      <w:r>
        <w:rPr>
          <w:rFonts w:ascii="Times New Roman" w:hAnsi="Times New Roman"/>
        </w:rPr>
        <w:t xml:space="preserve">also adopted </w:t>
      </w:r>
      <w:r w:rsidRPr="00D9228B">
        <w:rPr>
          <w:rFonts w:ascii="Times New Roman" w:hAnsi="Times New Roman"/>
        </w:rPr>
        <w:t>a delegated act related to the Taxonomy Regulation (</w:t>
      </w:r>
      <w:r w:rsidRPr="005B5A67">
        <w:rPr>
          <w:rFonts w:ascii="Times New Roman" w:hAnsi="Times New Roman"/>
        </w:rPr>
        <w:t>(EU)</w:t>
      </w:r>
      <w:r w:rsidRPr="001772B0">
        <w:rPr>
          <w:rFonts w:ascii="Times New Roman" w:hAnsi="Times New Roman"/>
        </w:rPr>
        <w:t xml:space="preserve"> </w:t>
      </w:r>
      <w:r>
        <w:rPr>
          <w:rFonts w:ascii="Times New Roman" w:hAnsi="Times New Roman"/>
        </w:rPr>
        <w:t> </w:t>
      </w:r>
      <w:r w:rsidRPr="001772B0">
        <w:rPr>
          <w:rFonts w:ascii="Times New Roman" w:hAnsi="Times New Roman"/>
        </w:rPr>
        <w:t xml:space="preserve">020/852), </w:t>
      </w:r>
      <w:r w:rsidRPr="00D9228B">
        <w:rPr>
          <w:rFonts w:ascii="Times New Roman" w:hAnsi="Times New Roman"/>
        </w:rPr>
        <w:t>which sets the framework for investments to be qualified as sustainable</w:t>
      </w:r>
      <w:r>
        <w:rPr>
          <w:rFonts w:ascii="Times New Roman" w:hAnsi="Times New Roman"/>
        </w:rPr>
        <w:t xml:space="preserve">, </w:t>
      </w:r>
      <w:r w:rsidRPr="00D9228B">
        <w:rPr>
          <w:rFonts w:ascii="Times New Roman" w:hAnsi="Times New Roman"/>
        </w:rPr>
        <w:t>covers data centres</w:t>
      </w:r>
      <w:r>
        <w:rPr>
          <w:rFonts w:ascii="Times New Roman" w:hAnsi="Times New Roman"/>
        </w:rPr>
        <w:t xml:space="preserve"> and is currently subject to the scrutiny of the Parliament and of the Council</w:t>
      </w:r>
      <w:r w:rsidRPr="00D9228B">
        <w:rPr>
          <w:rFonts w:ascii="Times New Roman" w:hAnsi="Times New Roman"/>
        </w:rPr>
        <w:t xml:space="preserve">. </w:t>
      </w:r>
      <w:proofErr w:type="gramStart"/>
      <w:r>
        <w:rPr>
          <w:rFonts w:ascii="Times New Roman" w:hAnsi="Times New Roman"/>
        </w:rPr>
        <w:t>Concerning the management of</w:t>
      </w:r>
      <w:r w:rsidRPr="00D9228B">
        <w:rPr>
          <w:rFonts w:ascii="Times New Roman" w:hAnsi="Times New Roman"/>
        </w:rPr>
        <w:t xml:space="preserve"> </w:t>
      </w:r>
      <w:r w:rsidRPr="004C5199">
        <w:rPr>
          <w:rFonts w:ascii="Times New Roman" w:hAnsi="Times New Roman"/>
        </w:rPr>
        <w:t>networks and services needs in the context of an integrated energy system</w:t>
      </w:r>
      <w:r>
        <w:rPr>
          <w:rFonts w:ascii="Times New Roman" w:hAnsi="Times New Roman"/>
        </w:rPr>
        <w:t>, t</w:t>
      </w:r>
      <w:r w:rsidRPr="004C5199">
        <w:rPr>
          <w:rFonts w:ascii="Times New Roman" w:hAnsi="Times New Roman"/>
        </w:rPr>
        <w:t>he Communication on an Action Plan on the Digitalisation of the Energy Sector (PLAN/2021/11398) aims at supporting the reduction of the carbon footprint of Information and Communication Technolog</w:t>
      </w:r>
      <w:r>
        <w:rPr>
          <w:rFonts w:ascii="Times New Roman" w:hAnsi="Times New Roman"/>
        </w:rPr>
        <w:t>y</w:t>
      </w:r>
      <w:r w:rsidRPr="004C5199">
        <w:rPr>
          <w:rFonts w:ascii="Times New Roman" w:hAnsi="Times New Roman"/>
        </w:rPr>
        <w:t xml:space="preserve"> (ICT) solutions, </w:t>
      </w:r>
      <w:r>
        <w:rPr>
          <w:rFonts w:ascii="Times New Roman" w:hAnsi="Times New Roman"/>
        </w:rPr>
        <w:t>with</w:t>
      </w:r>
      <w:r w:rsidRPr="004C5199">
        <w:rPr>
          <w:rFonts w:ascii="Times New Roman" w:hAnsi="Times New Roman"/>
        </w:rPr>
        <w:t xml:space="preserve"> measures that increase </w:t>
      </w:r>
      <w:r w:rsidRPr="00756CF3">
        <w:rPr>
          <w:rFonts w:ascii="Times New Roman" w:hAnsi="Times New Roman"/>
        </w:rPr>
        <w:t>energy efficiency, reuse waste heat, and promote the use of renewable energy sources.</w:t>
      </w:r>
      <w:proofErr w:type="gramEnd"/>
      <w:r w:rsidRPr="00756CF3">
        <w:rPr>
          <w:rFonts w:ascii="Times New Roman" w:hAnsi="Times New Roman"/>
        </w:rPr>
        <w:t xml:space="preserve"> Furthermore, funding from various programmes (Horizon Europe, the Connecting Europe Facility, Digital Europe, </w:t>
      </w:r>
      <w:proofErr w:type="spellStart"/>
      <w:r w:rsidRPr="00756CF3">
        <w:rPr>
          <w:rFonts w:ascii="Times New Roman" w:hAnsi="Times New Roman"/>
        </w:rPr>
        <w:t>InvestEU</w:t>
      </w:r>
      <w:proofErr w:type="spellEnd"/>
      <w:r w:rsidRPr="00756CF3">
        <w:rPr>
          <w:rFonts w:ascii="Times New Roman" w:hAnsi="Times New Roman"/>
        </w:rPr>
        <w:t xml:space="preserve">, the Recovery and Resilience Facility) </w:t>
      </w:r>
      <w:proofErr w:type="gramStart"/>
      <w:r w:rsidRPr="00756CF3">
        <w:rPr>
          <w:rFonts w:ascii="Times New Roman" w:hAnsi="Times New Roman"/>
        </w:rPr>
        <w:t>can also be directed</w:t>
      </w:r>
      <w:proofErr w:type="gramEnd"/>
      <w:r w:rsidRPr="00756CF3">
        <w:rPr>
          <w:rFonts w:ascii="Times New Roman" w:hAnsi="Times New Roman"/>
        </w:rPr>
        <w:t xml:space="preserve"> towards the greening of data centres.</w:t>
      </w:r>
      <w:r w:rsidRPr="00FF0A25">
        <w:rPr>
          <w:rFonts w:ascii="Times New Roman" w:hAnsi="Times New Roman"/>
        </w:rPr>
        <w:t xml:space="preserve"> The Commission is also </w:t>
      </w:r>
      <w:r w:rsidRPr="00BE4A79">
        <w:rPr>
          <w:rFonts w:ascii="Times New Roman" w:hAnsi="Times New Roman"/>
        </w:rPr>
        <w:t>currently conducting a study to address the lack of commonly accepted definitions and methods to assess the energy-efficiency, climate-neutrality and overall sustainability of data centres. The study will be useful for development of a common measurement framework to assess progress in achieving the Digital Strategy goal of having climate neutral, highly energy-efficient and sustainable data centres by no later than 2030, as well as proposing policy options to meet those goals. AI is also prominent in Cluster</w:t>
      </w:r>
      <w:r>
        <w:rPr>
          <w:rFonts w:ascii="Times New Roman" w:hAnsi="Times New Roman"/>
        </w:rPr>
        <w:t>s</w:t>
      </w:r>
      <w:r w:rsidRPr="00BE4A79">
        <w:rPr>
          <w:rFonts w:ascii="Times New Roman" w:hAnsi="Times New Roman"/>
        </w:rPr>
        <w:t xml:space="preserve"> 4 (‘Digital, Industry and Space’), but also</w:t>
      </w:r>
      <w:r>
        <w:rPr>
          <w:rFonts w:ascii="Times New Roman" w:hAnsi="Times New Roman"/>
        </w:rPr>
        <w:t xml:space="preserve"> </w:t>
      </w:r>
      <w:proofErr w:type="gramStart"/>
      <w:r w:rsidRPr="00BE4A79">
        <w:rPr>
          <w:rFonts w:ascii="Times New Roman" w:hAnsi="Times New Roman"/>
        </w:rPr>
        <w:t>5</w:t>
      </w:r>
      <w:proofErr w:type="gramEnd"/>
      <w:r w:rsidRPr="00BE4A79">
        <w:rPr>
          <w:rFonts w:ascii="Times New Roman" w:hAnsi="Times New Roman"/>
        </w:rPr>
        <w:t xml:space="preserve"> (‘Climate, Energy and Mobility’) and 6 (‘Food, </w:t>
      </w:r>
      <w:proofErr w:type="spellStart"/>
      <w:r w:rsidRPr="00BE4A79">
        <w:rPr>
          <w:rFonts w:ascii="Times New Roman" w:hAnsi="Times New Roman"/>
        </w:rPr>
        <w:t>Bioeconomy</w:t>
      </w:r>
      <w:proofErr w:type="spellEnd"/>
      <w:r w:rsidRPr="00BE4A79">
        <w:rPr>
          <w:rFonts w:ascii="Times New Roman" w:hAnsi="Times New Roman"/>
        </w:rPr>
        <w:t xml:space="preserve">, Natural Resources, Agriculture and Environment’) of the Horizon Europe programme, in ways that can contribute to the Green Deal objectives. </w:t>
      </w:r>
      <w:r w:rsidRPr="00FF0A25">
        <w:rPr>
          <w:rFonts w:ascii="Times New Roman" w:hAnsi="Times New Roman"/>
        </w:rPr>
        <w:t xml:space="preserve">The Digital Europe </w:t>
      </w:r>
      <w:r w:rsidRPr="00BE4A79">
        <w:rPr>
          <w:rFonts w:ascii="Times New Roman" w:hAnsi="Times New Roman"/>
        </w:rPr>
        <w:t xml:space="preserve">Programme can fund the testing and experimentation of AI-based solutions in sectors such as manufacturing, </w:t>
      </w:r>
      <w:proofErr w:type="spellStart"/>
      <w:r w:rsidRPr="00BE4A79">
        <w:rPr>
          <w:rFonts w:ascii="Times New Roman" w:hAnsi="Times New Roman"/>
        </w:rPr>
        <w:t>agri</w:t>
      </w:r>
      <w:proofErr w:type="spellEnd"/>
      <w:r w:rsidRPr="00BE4A79">
        <w:rPr>
          <w:rFonts w:ascii="Times New Roman" w:hAnsi="Times New Roman"/>
        </w:rPr>
        <w:t>-food, smart cities and communities. Moreover, the funding support from both funding programmes for edge AI developments and optimised AI chips with very low power consumption</w:t>
      </w:r>
      <w:r w:rsidRPr="00756CF3">
        <w:rPr>
          <w:rFonts w:ascii="Times New Roman" w:hAnsi="Times New Roman"/>
        </w:rPr>
        <w:t xml:space="preserve"> </w:t>
      </w:r>
      <w:proofErr w:type="gramStart"/>
      <w:r w:rsidRPr="00756CF3">
        <w:rPr>
          <w:rFonts w:ascii="Times New Roman" w:hAnsi="Times New Roman"/>
        </w:rPr>
        <w:t>is expected</w:t>
      </w:r>
      <w:proofErr w:type="gramEnd"/>
      <w:r w:rsidRPr="00756CF3">
        <w:rPr>
          <w:rFonts w:ascii="Times New Roman" w:hAnsi="Times New Roman"/>
        </w:rPr>
        <w:t xml:space="preserve"> to contribute to greener AI as well. Finally, a</w:t>
      </w:r>
      <w:r w:rsidRPr="00FF0A25">
        <w:rPr>
          <w:rFonts w:ascii="Times New Roman" w:hAnsi="Times New Roman"/>
        </w:rPr>
        <w:t>s announced in its SME Strategy</w:t>
      </w:r>
      <w:r w:rsidRPr="00BE4A79">
        <w:rPr>
          <w:rFonts w:ascii="Times New Roman" w:hAnsi="Times New Roman"/>
        </w:rPr>
        <w:t xml:space="preserve">, the Commission will launch a green tech </w:t>
      </w:r>
      <w:r w:rsidRPr="00BE4A79">
        <w:rPr>
          <w:rFonts w:ascii="Times New Roman" w:hAnsi="Times New Roman"/>
        </w:rPr>
        <w:lastRenderedPageBreak/>
        <w:t>investment</w:t>
      </w:r>
      <w:r w:rsidRPr="00D9228B">
        <w:rPr>
          <w:rFonts w:ascii="Times New Roman" w:hAnsi="Times New Roman"/>
        </w:rPr>
        <w:t xml:space="preserve"> initiative to pool funding from the EU, </w:t>
      </w:r>
      <w:r>
        <w:rPr>
          <w:rFonts w:ascii="Times New Roman" w:hAnsi="Times New Roman"/>
        </w:rPr>
        <w:t xml:space="preserve">the </w:t>
      </w:r>
      <w:r w:rsidRPr="00D9228B">
        <w:rPr>
          <w:rFonts w:ascii="Times New Roman" w:hAnsi="Times New Roman"/>
        </w:rPr>
        <w:t>Member States and the private sector to increase access to equity finance for innovative SMEs and start-ups that develop and adopt green tech solutions.</w:t>
      </w:r>
    </w:p>
    <w:p w:rsidR="001626E6" w:rsidRPr="000301E2" w:rsidRDefault="001626E6" w:rsidP="001626E6">
      <w:pPr>
        <w:widowControl w:val="0"/>
        <w:spacing w:after="120"/>
        <w:rPr>
          <w:rFonts w:ascii="Times New Roman" w:hAnsi="Times New Roman"/>
        </w:rPr>
      </w:pPr>
      <w:r>
        <w:rPr>
          <w:rFonts w:ascii="Times New Roman" w:hAnsi="Times New Roman"/>
        </w:rPr>
        <w:t>T</w:t>
      </w:r>
      <w:r w:rsidRPr="00D9228B">
        <w:rPr>
          <w:rFonts w:ascii="Times New Roman" w:hAnsi="Times New Roman"/>
        </w:rPr>
        <w:t>he Commission fully agrees with the Parliament that the success of the Green Deal relies, inter alia, on the accessibility of interoperable data</w:t>
      </w:r>
      <w:r>
        <w:rPr>
          <w:rFonts w:ascii="Times New Roman" w:hAnsi="Times New Roman"/>
        </w:rPr>
        <w:t xml:space="preserve"> (</w:t>
      </w:r>
      <w:r w:rsidRPr="00514A0D">
        <w:rPr>
          <w:rFonts w:ascii="Times New Roman" w:hAnsi="Times New Roman"/>
          <w:b/>
        </w:rPr>
        <w:t>paragraph 7</w:t>
      </w:r>
      <w:r>
        <w:rPr>
          <w:rFonts w:ascii="Times New Roman" w:hAnsi="Times New Roman"/>
        </w:rPr>
        <w:t>)</w:t>
      </w:r>
      <w:r w:rsidRPr="00D9228B">
        <w:rPr>
          <w:rFonts w:ascii="Times New Roman" w:hAnsi="Times New Roman"/>
        </w:rPr>
        <w:t xml:space="preserve">. The latter, combined with digital infrastructure (e.g. supercomputers, cloud, </w:t>
      </w:r>
      <w:proofErr w:type="gramStart"/>
      <w:r w:rsidRPr="00D9228B">
        <w:rPr>
          <w:rFonts w:ascii="Times New Roman" w:hAnsi="Times New Roman"/>
        </w:rPr>
        <w:t>ultra</w:t>
      </w:r>
      <w:proofErr w:type="gramEnd"/>
      <w:r w:rsidRPr="00D9228B">
        <w:rPr>
          <w:rFonts w:ascii="Times New Roman" w:hAnsi="Times New Roman"/>
        </w:rPr>
        <w:t xml:space="preserve">-fast networks) and AI solutions, can facilitate evidence-based decisions and </w:t>
      </w:r>
      <w:r>
        <w:rPr>
          <w:rFonts w:ascii="Times New Roman" w:hAnsi="Times New Roman"/>
        </w:rPr>
        <w:t>the understanding and addressing of</w:t>
      </w:r>
      <w:r w:rsidRPr="00D9228B">
        <w:rPr>
          <w:rFonts w:ascii="Times New Roman" w:hAnsi="Times New Roman"/>
        </w:rPr>
        <w:t xml:space="preserve"> environmental challenges. A Common European Green Deal data space, announced by the Data Strategy (COM(2020) 66 final) in February 2020, will use the potential of high-value datasets in support of the Green Deal priority actions on climate change, </w:t>
      </w:r>
      <w:r>
        <w:rPr>
          <w:rFonts w:ascii="Times New Roman" w:hAnsi="Times New Roman"/>
        </w:rPr>
        <w:t xml:space="preserve">the </w:t>
      </w:r>
      <w:r w:rsidRPr="00D9228B">
        <w:rPr>
          <w:rFonts w:ascii="Times New Roman" w:hAnsi="Times New Roman"/>
        </w:rPr>
        <w:t>circular economy, zero-pollution, biodiversity, deforestation and compliance assurance.</w:t>
      </w:r>
    </w:p>
    <w:p w:rsidR="001626E6" w:rsidRPr="000301E2" w:rsidRDefault="001626E6" w:rsidP="001626E6">
      <w:pPr>
        <w:widowControl w:val="0"/>
        <w:spacing w:after="120"/>
        <w:rPr>
          <w:rFonts w:ascii="Times New Roman" w:hAnsi="Times New Roman"/>
        </w:rPr>
      </w:pPr>
      <w:r w:rsidRPr="00D9228B">
        <w:rPr>
          <w:rFonts w:ascii="Times New Roman" w:hAnsi="Times New Roman"/>
        </w:rPr>
        <w:t>The Commission recognises the need for a balanced, future-proof and evidence-based approach to legislation (</w:t>
      </w:r>
      <w:r w:rsidRPr="000301E2">
        <w:rPr>
          <w:rFonts w:ascii="Times New Roman" w:hAnsi="Times New Roman"/>
          <w:b/>
          <w:bCs/>
        </w:rPr>
        <w:t>paragraph 9</w:t>
      </w:r>
      <w:r w:rsidRPr="00D9228B">
        <w:rPr>
          <w:rFonts w:ascii="Times New Roman" w:hAnsi="Times New Roman"/>
        </w:rPr>
        <w:t xml:space="preserve">). </w:t>
      </w:r>
      <w:proofErr w:type="gramStart"/>
      <w:r w:rsidRPr="00D9228B">
        <w:rPr>
          <w:rFonts w:ascii="Times New Roman" w:hAnsi="Times New Roman"/>
        </w:rPr>
        <w:t xml:space="preserve">It refers the Parliament to its Communication on Better Regulation (COM(2021) 219), which </w:t>
      </w:r>
      <w:r w:rsidRPr="001767CA">
        <w:rPr>
          <w:rFonts w:ascii="Times New Roman" w:hAnsi="Times New Roman"/>
        </w:rPr>
        <w:t xml:space="preserve">foresees, among others, a more streamlined, inclusive and simpler consultation system, a ‘one in, one out’ approach to minimise burdens for citizens and businesses, the mainstreaming of the United Nations Sustainable Development Goals, </w:t>
      </w:r>
      <w:r>
        <w:rPr>
          <w:rFonts w:ascii="Times New Roman" w:hAnsi="Times New Roman"/>
        </w:rPr>
        <w:t xml:space="preserve">the </w:t>
      </w:r>
      <w:r w:rsidRPr="001767CA">
        <w:rPr>
          <w:rFonts w:ascii="Times New Roman" w:hAnsi="Times New Roman"/>
        </w:rPr>
        <w:t>improv</w:t>
      </w:r>
      <w:r>
        <w:rPr>
          <w:rFonts w:ascii="Times New Roman" w:hAnsi="Times New Roman"/>
        </w:rPr>
        <w:t>ement of</w:t>
      </w:r>
      <w:r w:rsidRPr="001767CA">
        <w:rPr>
          <w:rFonts w:ascii="Times New Roman" w:hAnsi="Times New Roman"/>
        </w:rPr>
        <w:t xml:space="preserve"> the way in which better regulation addresses and supports sustainability and digital transformation, and the integration of strategic foresight into policymaking.</w:t>
      </w:r>
      <w:proofErr w:type="gramEnd"/>
    </w:p>
    <w:p w:rsidR="001626E6" w:rsidRPr="000301E2" w:rsidRDefault="001626E6" w:rsidP="001626E6">
      <w:pPr>
        <w:widowControl w:val="0"/>
        <w:spacing w:after="120"/>
        <w:rPr>
          <w:rFonts w:ascii="Times New Roman" w:hAnsi="Times New Roman"/>
        </w:rPr>
      </w:pPr>
      <w:r w:rsidRPr="00680FF0">
        <w:rPr>
          <w:rFonts w:ascii="Times New Roman" w:hAnsi="Times New Roman"/>
        </w:rPr>
        <w:t xml:space="preserve">Concerning </w:t>
      </w:r>
      <w:r w:rsidRPr="00680FF0">
        <w:rPr>
          <w:rFonts w:ascii="Times New Roman" w:hAnsi="Times New Roman"/>
          <w:b/>
          <w:bCs/>
        </w:rPr>
        <w:t>paragraph 12</w:t>
      </w:r>
      <w:r w:rsidRPr="00680FF0">
        <w:rPr>
          <w:rFonts w:ascii="Times New Roman" w:hAnsi="Times New Roman"/>
        </w:rPr>
        <w:t xml:space="preserve">, the Commission refers the Parliament to the Digital Strategy and the Digital Decade Communication and to its recent proposal for a regulation on a horizontal regulatory framework for AI (‘AI Act’, </w:t>
      </w:r>
      <w:proofErr w:type="gramStart"/>
      <w:r w:rsidRPr="00680FF0">
        <w:rPr>
          <w:rFonts w:ascii="Times New Roman" w:hAnsi="Times New Roman"/>
        </w:rPr>
        <w:t>COM(</w:t>
      </w:r>
      <w:proofErr w:type="gramEnd"/>
      <w:r w:rsidRPr="00680FF0">
        <w:rPr>
          <w:rFonts w:ascii="Times New Roman" w:hAnsi="Times New Roman"/>
        </w:rPr>
        <w:t>2021) 206 final). Its principal objective is to facilitate the protection of safety</w:t>
      </w:r>
      <w:r>
        <w:rPr>
          <w:rFonts w:ascii="Times New Roman" w:hAnsi="Times New Roman"/>
        </w:rPr>
        <w:t xml:space="preserve"> and </w:t>
      </w:r>
      <w:r w:rsidRPr="00680FF0">
        <w:rPr>
          <w:rFonts w:ascii="Times New Roman" w:hAnsi="Times New Roman"/>
        </w:rPr>
        <w:t xml:space="preserve">fundamental rights </w:t>
      </w:r>
      <w:r>
        <w:rPr>
          <w:rFonts w:ascii="Times New Roman" w:hAnsi="Times New Roman"/>
        </w:rPr>
        <w:t>of people</w:t>
      </w:r>
      <w:r w:rsidRPr="00680FF0">
        <w:rPr>
          <w:rFonts w:ascii="Times New Roman" w:hAnsi="Times New Roman"/>
        </w:rPr>
        <w:t xml:space="preserve">, and to ensure the proper functioning of the single market by creating harmonised rules for the development and use of trustworthy AI in the Union. In this context, the Commission agrees that SMEs should be at the centre of European initiatives aiming to support innovation and believes that the regulatory framework on AI should not disproportionately affect their competitiveness (as indicated in </w:t>
      </w:r>
      <w:r w:rsidRPr="00680FF0">
        <w:rPr>
          <w:rFonts w:ascii="Times New Roman" w:hAnsi="Times New Roman"/>
          <w:b/>
          <w:bCs/>
        </w:rPr>
        <w:t>paragraph 17</w:t>
      </w:r>
      <w:r w:rsidRPr="00680FF0">
        <w:rPr>
          <w:rFonts w:ascii="Times New Roman" w:hAnsi="Times New Roman"/>
        </w:rPr>
        <w:t xml:space="preserve">). The Commission notes that the AI Act proposal provides legal certainty and that rules </w:t>
      </w:r>
      <w:proofErr w:type="gramStart"/>
      <w:r w:rsidRPr="00680FF0">
        <w:rPr>
          <w:rFonts w:ascii="Times New Roman" w:hAnsi="Times New Roman"/>
        </w:rPr>
        <w:t>are intended</w:t>
      </w:r>
      <w:proofErr w:type="gramEnd"/>
      <w:r w:rsidRPr="00680FF0">
        <w:rPr>
          <w:rFonts w:ascii="Times New Roman" w:hAnsi="Times New Roman"/>
        </w:rPr>
        <w:t xml:space="preserve"> to apply only where strictly needed and in a way that minimises the burden for economic operators, with a light governance structure (</w:t>
      </w:r>
      <w:r>
        <w:rPr>
          <w:rFonts w:ascii="Times New Roman" w:hAnsi="Times New Roman"/>
          <w:b/>
          <w:bCs/>
        </w:rPr>
        <w:t>paragraph </w:t>
      </w:r>
      <w:r w:rsidRPr="00680FF0">
        <w:rPr>
          <w:rFonts w:ascii="Times New Roman" w:hAnsi="Times New Roman"/>
          <w:b/>
          <w:bCs/>
        </w:rPr>
        <w:t>88</w:t>
      </w:r>
      <w:r w:rsidRPr="00680FF0">
        <w:rPr>
          <w:rFonts w:ascii="Times New Roman" w:hAnsi="Times New Roman"/>
        </w:rPr>
        <w:t>). The AI Act proposal addresses risks, while shielding from diverging national regulations other systems that are not posing high risks to safety or fundamental rights. It enhances the uptake of AI by increasing users’ trust, legal certainty as well as by providing for special tools and measures to support small-scale providers and users.</w:t>
      </w:r>
    </w:p>
    <w:p w:rsidR="001626E6" w:rsidRPr="000301E2" w:rsidRDefault="001626E6" w:rsidP="001626E6">
      <w:pPr>
        <w:widowControl w:val="0"/>
        <w:spacing w:after="120"/>
        <w:rPr>
          <w:rFonts w:ascii="Times New Roman" w:hAnsi="Times New Roman"/>
        </w:rPr>
      </w:pPr>
      <w:r w:rsidRPr="00D9228B">
        <w:rPr>
          <w:rFonts w:ascii="Times New Roman" w:hAnsi="Times New Roman"/>
        </w:rPr>
        <w:t>The Communications on ‘EU law: Better results through better application’ (</w:t>
      </w:r>
      <w:proofErr w:type="gramStart"/>
      <w:r w:rsidRPr="00D9228B">
        <w:rPr>
          <w:rFonts w:ascii="Times New Roman" w:hAnsi="Times New Roman"/>
        </w:rPr>
        <w:t>C(</w:t>
      </w:r>
      <w:proofErr w:type="gramEnd"/>
      <w:r w:rsidRPr="00D9228B">
        <w:rPr>
          <w:rFonts w:ascii="Times New Roman" w:hAnsi="Times New Roman"/>
        </w:rPr>
        <w:t>2016) 8600) and on the ‘Long term action plan for better implementation and enforcement of single market rules’ (‘Single Market Action Plan’, COM(2020) 94 final) provide the framework for the strategic enforcement policy of EU law (</w:t>
      </w:r>
      <w:r w:rsidRPr="000301E2">
        <w:rPr>
          <w:rFonts w:ascii="Times New Roman" w:hAnsi="Times New Roman"/>
          <w:b/>
          <w:bCs/>
        </w:rPr>
        <w:t>paragraph 13</w:t>
      </w:r>
      <w:r w:rsidRPr="00D9228B">
        <w:rPr>
          <w:rFonts w:ascii="Times New Roman" w:hAnsi="Times New Roman"/>
        </w:rPr>
        <w:t xml:space="preserve">) and a proactive dialogue with </w:t>
      </w:r>
      <w:r>
        <w:rPr>
          <w:rFonts w:ascii="Times New Roman" w:hAnsi="Times New Roman"/>
        </w:rPr>
        <w:t xml:space="preserve">the </w:t>
      </w:r>
      <w:r w:rsidRPr="00D9228B">
        <w:rPr>
          <w:rFonts w:ascii="Times New Roman" w:hAnsi="Times New Roman"/>
        </w:rPr>
        <w:t xml:space="preserve">Member States. </w:t>
      </w:r>
      <w:r>
        <w:rPr>
          <w:rFonts w:ascii="Times New Roman" w:hAnsi="Times New Roman"/>
        </w:rPr>
        <w:t>As stated in the former c</w:t>
      </w:r>
      <w:r w:rsidRPr="00061DD0">
        <w:rPr>
          <w:rFonts w:ascii="Times New Roman" w:hAnsi="Times New Roman"/>
        </w:rPr>
        <w:t xml:space="preserve">ommunication, the Commission believes it important to use its discretionary power in a strategic way to focus and prioritise its enforcement efforts on the most important breaches of EU law affecting the interests of EU citizens and businesses. </w:t>
      </w:r>
      <w:proofErr w:type="gramStart"/>
      <w:r w:rsidRPr="00061DD0">
        <w:rPr>
          <w:rFonts w:ascii="Times New Roman" w:hAnsi="Times New Roman"/>
        </w:rPr>
        <w:t>As stated in the Single Market Action Plan, the Commission agrees with the Parliament that the effective enforcement of single market rules requires collaboration at all levels of governance in the EU, starting from local and regional a</w:t>
      </w:r>
      <w:r>
        <w:rPr>
          <w:rFonts w:ascii="Times New Roman" w:hAnsi="Times New Roman"/>
        </w:rPr>
        <w:t>dministrations</w:t>
      </w:r>
      <w:r w:rsidRPr="00061DD0">
        <w:rPr>
          <w:rFonts w:ascii="Times New Roman" w:hAnsi="Times New Roman"/>
        </w:rPr>
        <w:t xml:space="preserve"> and courts, all the way </w:t>
      </w:r>
      <w:r>
        <w:rPr>
          <w:rFonts w:ascii="Times New Roman" w:hAnsi="Times New Roman"/>
        </w:rPr>
        <w:t xml:space="preserve">up </w:t>
      </w:r>
      <w:r w:rsidRPr="00061DD0">
        <w:rPr>
          <w:rFonts w:ascii="Times New Roman" w:hAnsi="Times New Roman"/>
        </w:rPr>
        <w:t>to the European level</w:t>
      </w:r>
      <w:r>
        <w:rPr>
          <w:rFonts w:ascii="Times New Roman" w:hAnsi="Times New Roman"/>
        </w:rPr>
        <w:t>,</w:t>
      </w:r>
      <w:r w:rsidRPr="00061DD0">
        <w:rPr>
          <w:rFonts w:ascii="Times New Roman" w:hAnsi="Times New Roman"/>
        </w:rPr>
        <w:t xml:space="preserve"> and that it is crucial that </w:t>
      </w:r>
      <w:r>
        <w:rPr>
          <w:rFonts w:ascii="Times New Roman" w:hAnsi="Times New Roman"/>
        </w:rPr>
        <w:t xml:space="preserve">the </w:t>
      </w:r>
      <w:r w:rsidRPr="00061DD0">
        <w:rPr>
          <w:rFonts w:ascii="Times New Roman" w:hAnsi="Times New Roman"/>
        </w:rPr>
        <w:t xml:space="preserve">Member States and </w:t>
      </w:r>
      <w:r>
        <w:rPr>
          <w:rFonts w:ascii="Times New Roman" w:hAnsi="Times New Roman"/>
        </w:rPr>
        <w:t xml:space="preserve">the </w:t>
      </w:r>
      <w:r w:rsidRPr="00061DD0">
        <w:rPr>
          <w:rFonts w:ascii="Times New Roman" w:hAnsi="Times New Roman"/>
        </w:rPr>
        <w:t>Commission support each other in their respective roles to live up to their shared responsibility.</w:t>
      </w:r>
      <w:proofErr w:type="gramEnd"/>
      <w:r w:rsidRPr="00061DD0">
        <w:rPr>
          <w:rFonts w:ascii="Times New Roman" w:hAnsi="Times New Roman"/>
        </w:rPr>
        <w:t xml:space="preserve"> </w:t>
      </w:r>
      <w:r w:rsidRPr="00D9228B">
        <w:rPr>
          <w:rFonts w:ascii="Times New Roman" w:hAnsi="Times New Roman"/>
        </w:rPr>
        <w:t>To strengthen such cooperation</w:t>
      </w:r>
      <w:r>
        <w:rPr>
          <w:rFonts w:ascii="Times New Roman" w:hAnsi="Times New Roman"/>
        </w:rPr>
        <w:t>,</w:t>
      </w:r>
      <w:r w:rsidRPr="00D9228B">
        <w:rPr>
          <w:rFonts w:ascii="Times New Roman" w:hAnsi="Times New Roman"/>
        </w:rPr>
        <w:t xml:space="preserve"> the Commission set up a joint Single Market Enforcement Task-Force in April 2020, which is composed of </w:t>
      </w:r>
      <w:r>
        <w:rPr>
          <w:rFonts w:ascii="Times New Roman" w:hAnsi="Times New Roman"/>
        </w:rPr>
        <w:t xml:space="preserve">the </w:t>
      </w:r>
      <w:r w:rsidRPr="00D9228B">
        <w:rPr>
          <w:rFonts w:ascii="Times New Roman" w:hAnsi="Times New Roman"/>
        </w:rPr>
        <w:t xml:space="preserve">Member States and the Commission. </w:t>
      </w:r>
      <w:r>
        <w:rPr>
          <w:rFonts w:ascii="Times New Roman" w:hAnsi="Times New Roman"/>
        </w:rPr>
        <w:t>As of July 2021, t</w:t>
      </w:r>
      <w:r w:rsidRPr="00C33BB5">
        <w:rPr>
          <w:rFonts w:ascii="Times New Roman" w:hAnsi="Times New Roman"/>
        </w:rPr>
        <w:t xml:space="preserve">he Task Force had </w:t>
      </w:r>
      <w:r>
        <w:rPr>
          <w:rFonts w:ascii="Times New Roman" w:hAnsi="Times New Roman"/>
        </w:rPr>
        <w:t>met seven times, the last one</w:t>
      </w:r>
      <w:r w:rsidRPr="00C33BB5">
        <w:rPr>
          <w:rFonts w:ascii="Times New Roman" w:hAnsi="Times New Roman"/>
        </w:rPr>
        <w:t xml:space="preserve"> in June 2021, </w:t>
      </w:r>
      <w:r w:rsidRPr="00C33BB5">
        <w:rPr>
          <w:rFonts w:ascii="Times New Roman" w:hAnsi="Times New Roman"/>
        </w:rPr>
        <w:lastRenderedPageBreak/>
        <w:t xml:space="preserve">where it discussed progress on the work </w:t>
      </w:r>
      <w:r>
        <w:rPr>
          <w:rFonts w:ascii="Times New Roman" w:hAnsi="Times New Roman"/>
        </w:rPr>
        <w:t>to remove</w:t>
      </w:r>
      <w:r w:rsidRPr="00C33BB5">
        <w:rPr>
          <w:rFonts w:ascii="Times New Roman" w:hAnsi="Times New Roman"/>
        </w:rPr>
        <w:t xml:space="preserve"> some of the most pressing and long-standing barriers in the single market to ensure its proper functioning in supporting recovery and the </w:t>
      </w:r>
      <w:r>
        <w:rPr>
          <w:rFonts w:ascii="Times New Roman" w:hAnsi="Times New Roman"/>
        </w:rPr>
        <w:t>digital and green transitions.</w:t>
      </w:r>
    </w:p>
    <w:p w:rsidR="001626E6" w:rsidRDefault="001626E6" w:rsidP="001626E6">
      <w:pPr>
        <w:widowControl w:val="0"/>
        <w:tabs>
          <w:tab w:val="left" w:pos="8647"/>
        </w:tabs>
        <w:spacing w:after="120"/>
        <w:rPr>
          <w:rFonts w:ascii="Times New Roman" w:hAnsi="Times New Roman"/>
        </w:rPr>
      </w:pPr>
      <w:r w:rsidRPr="00D9228B">
        <w:rPr>
          <w:rFonts w:ascii="Times New Roman" w:hAnsi="Times New Roman"/>
        </w:rPr>
        <w:t>The Commission agrees with the Parliament on the importance of a regulatory framework and</w:t>
      </w:r>
      <w:r>
        <w:rPr>
          <w:rFonts w:ascii="Times New Roman" w:hAnsi="Times New Roman"/>
        </w:rPr>
        <w:t xml:space="preserve"> </w:t>
      </w:r>
      <w:r w:rsidRPr="00D9228B">
        <w:rPr>
          <w:rFonts w:ascii="Times New Roman" w:hAnsi="Times New Roman"/>
        </w:rPr>
        <w:t>policies that support innovation, consumer protection, and a strong and fair single market for Europe to successfully navigate the digital transformation (</w:t>
      </w:r>
      <w:r w:rsidRPr="000301E2">
        <w:rPr>
          <w:rFonts w:ascii="Times New Roman" w:hAnsi="Times New Roman"/>
          <w:b/>
          <w:bCs/>
        </w:rPr>
        <w:t>paragraph 14</w:t>
      </w:r>
      <w:r w:rsidRPr="00D9228B">
        <w:rPr>
          <w:rFonts w:ascii="Times New Roman" w:hAnsi="Times New Roman"/>
        </w:rPr>
        <w:t>), in line with better regulation principles. In this respect, it refers the Parliament to the Digital Decade Communication, the Digital Strategy and the Data Strategy</w:t>
      </w:r>
      <w:r>
        <w:rPr>
          <w:rFonts w:ascii="Times New Roman" w:hAnsi="Times New Roman"/>
        </w:rPr>
        <w:t>, as well as to the proposed Digital Services Act and the proposal for an AI Act.</w:t>
      </w:r>
    </w:p>
    <w:p w:rsidR="001626E6" w:rsidRPr="000301E2" w:rsidRDefault="001626E6" w:rsidP="001626E6">
      <w:pPr>
        <w:widowControl w:val="0"/>
        <w:tabs>
          <w:tab w:val="left" w:pos="8647"/>
        </w:tabs>
        <w:spacing w:after="120"/>
        <w:rPr>
          <w:rFonts w:ascii="Times New Roman" w:hAnsi="Times New Roman"/>
        </w:rPr>
      </w:pPr>
      <w:proofErr w:type="gramStart"/>
      <w:r>
        <w:rPr>
          <w:rFonts w:ascii="Times New Roman" w:hAnsi="Times New Roman"/>
        </w:rPr>
        <w:t>Concerning</w:t>
      </w:r>
      <w:r w:rsidRPr="00D9228B">
        <w:rPr>
          <w:rFonts w:ascii="Times New Roman" w:hAnsi="Times New Roman"/>
        </w:rPr>
        <w:t xml:space="preserve"> digital education </w:t>
      </w:r>
      <w:r>
        <w:rPr>
          <w:rFonts w:ascii="Times New Roman" w:hAnsi="Times New Roman"/>
        </w:rPr>
        <w:t xml:space="preserve">and </w:t>
      </w:r>
      <w:r w:rsidRPr="00D9228B">
        <w:rPr>
          <w:rFonts w:ascii="Times New Roman" w:hAnsi="Times New Roman"/>
        </w:rPr>
        <w:t>skills</w:t>
      </w:r>
      <w:r>
        <w:rPr>
          <w:rFonts w:ascii="Times New Roman" w:hAnsi="Times New Roman"/>
        </w:rPr>
        <w:t xml:space="preserve"> (</w:t>
      </w:r>
      <w:r w:rsidRPr="00514A0D">
        <w:rPr>
          <w:rFonts w:ascii="Times New Roman" w:hAnsi="Times New Roman"/>
          <w:b/>
        </w:rPr>
        <w:t>paragraphs 63 and 84</w:t>
      </w:r>
      <w:r>
        <w:rPr>
          <w:rFonts w:ascii="Times New Roman" w:hAnsi="Times New Roman"/>
        </w:rPr>
        <w:t>), i</w:t>
      </w:r>
      <w:r w:rsidRPr="00D9228B">
        <w:rPr>
          <w:rFonts w:ascii="Times New Roman" w:hAnsi="Times New Roman"/>
        </w:rPr>
        <w:t xml:space="preserve">n addition to the objectives set out in the Digital Decade Communication and in the Digital Education Action Plan 2021-2027 (COM(2020) 624 final), the Commission refers the Parliament to the 2021 review of the Coordinated Plan on AI (COM(2021) 205 final), and its Section 8 in particular, as well as to a number of relevant actions for the improvement of skills (including </w:t>
      </w:r>
      <w:r>
        <w:rPr>
          <w:rFonts w:ascii="Times New Roman" w:hAnsi="Times New Roman"/>
        </w:rPr>
        <w:t xml:space="preserve">advanced, and </w:t>
      </w:r>
      <w:r w:rsidRPr="00D9228B">
        <w:rPr>
          <w:rFonts w:ascii="Times New Roman" w:hAnsi="Times New Roman"/>
        </w:rPr>
        <w:t>in relation to AI) that are envisaged under the Digital Europe, Horizon Europe</w:t>
      </w:r>
      <w:r>
        <w:rPr>
          <w:rFonts w:ascii="Times New Roman" w:hAnsi="Times New Roman"/>
        </w:rPr>
        <w:t>, including the</w:t>
      </w:r>
      <w:r w:rsidRPr="00D9228B">
        <w:rPr>
          <w:rFonts w:ascii="Times New Roman" w:hAnsi="Times New Roman"/>
        </w:rPr>
        <w:t xml:space="preserve"> Marie </w:t>
      </w:r>
      <w:proofErr w:type="spellStart"/>
      <w:r w:rsidRPr="00D9228B">
        <w:rPr>
          <w:rFonts w:ascii="Times New Roman" w:hAnsi="Times New Roman"/>
        </w:rPr>
        <w:t>Skłodowska</w:t>
      </w:r>
      <w:proofErr w:type="spellEnd"/>
      <w:r w:rsidRPr="00D9228B">
        <w:rPr>
          <w:rFonts w:ascii="Times New Roman" w:hAnsi="Times New Roman"/>
        </w:rPr>
        <w:t xml:space="preserve">-Curie </w:t>
      </w:r>
      <w:r>
        <w:rPr>
          <w:rFonts w:ascii="Times New Roman" w:hAnsi="Times New Roman"/>
        </w:rPr>
        <w:t>Actions, and the Erasmus+ programmes (the Digital Opportunity Traineeships)</w:t>
      </w:r>
      <w:r w:rsidRPr="00D9228B">
        <w:rPr>
          <w:rFonts w:ascii="Times New Roman" w:hAnsi="Times New Roman"/>
        </w:rPr>
        <w:t>.</w:t>
      </w:r>
      <w:proofErr w:type="gramEnd"/>
      <w:r>
        <w:rPr>
          <w:rFonts w:ascii="Times New Roman" w:hAnsi="Times New Roman"/>
        </w:rPr>
        <w:t xml:space="preserve"> The Commission recalls that the Digital Competences Framework is currently updated to include AI and data-related competences and that, with the support of a dedicated expert </w:t>
      </w:r>
      <w:proofErr w:type="gramStart"/>
      <w:r>
        <w:rPr>
          <w:rFonts w:ascii="Times New Roman" w:hAnsi="Times New Roman"/>
        </w:rPr>
        <w:t>group,</w:t>
      </w:r>
      <w:proofErr w:type="gramEnd"/>
      <w:r>
        <w:rPr>
          <w:rFonts w:ascii="Times New Roman" w:hAnsi="Times New Roman"/>
        </w:rPr>
        <w:t xml:space="preserve"> it works on the development of ethical guidelines for teachers and educators on AI and data usage in the education and training process. Lastly, in 2022 the Commission plans to propose a Council recommendation on improving the provision of digital skills in education and training.</w:t>
      </w:r>
    </w:p>
    <w:p w:rsidR="001626E6" w:rsidRPr="000301E2" w:rsidRDefault="001626E6" w:rsidP="001626E6">
      <w:pPr>
        <w:widowControl w:val="0"/>
        <w:spacing w:after="120"/>
        <w:rPr>
          <w:rFonts w:ascii="Times New Roman" w:hAnsi="Times New Roman"/>
        </w:rPr>
      </w:pPr>
      <w:r w:rsidRPr="00D9228B">
        <w:rPr>
          <w:rFonts w:ascii="Times New Roman" w:hAnsi="Times New Roman"/>
        </w:rPr>
        <w:t>The Commission also shares the call of the Parliament to boost support for research and innovation in AI</w:t>
      </w:r>
      <w:r>
        <w:rPr>
          <w:rFonts w:ascii="Times New Roman" w:hAnsi="Times New Roman"/>
        </w:rPr>
        <w:t>,</w:t>
      </w:r>
      <w:r w:rsidRPr="00D9228B">
        <w:rPr>
          <w:rFonts w:ascii="Times New Roman" w:hAnsi="Times New Roman"/>
        </w:rPr>
        <w:t xml:space="preserve"> which is indeed one of the cornerstones of ensuring the digital sovereignty of the Union (</w:t>
      </w:r>
      <w:r w:rsidRPr="000301E2">
        <w:rPr>
          <w:rFonts w:ascii="Times New Roman" w:hAnsi="Times New Roman"/>
          <w:b/>
          <w:bCs/>
        </w:rPr>
        <w:t>paragraph 88</w:t>
      </w:r>
      <w:r w:rsidRPr="00D9228B">
        <w:rPr>
          <w:rFonts w:ascii="Times New Roman" w:hAnsi="Times New Roman"/>
        </w:rPr>
        <w:t xml:space="preserve">). Section 5 </w:t>
      </w:r>
      <w:r>
        <w:rPr>
          <w:rFonts w:ascii="Times New Roman" w:hAnsi="Times New Roman"/>
        </w:rPr>
        <w:t xml:space="preserve">of chapter II </w:t>
      </w:r>
      <w:r w:rsidRPr="00D9228B">
        <w:rPr>
          <w:rFonts w:ascii="Times New Roman" w:hAnsi="Times New Roman"/>
        </w:rPr>
        <w:t xml:space="preserve">of the Coordinated Plan on AI puts forward a set of concrete actions </w:t>
      </w:r>
      <w:r>
        <w:rPr>
          <w:rFonts w:ascii="Times New Roman" w:hAnsi="Times New Roman"/>
        </w:rPr>
        <w:t>and steps</w:t>
      </w:r>
      <w:r w:rsidRPr="00D9228B">
        <w:rPr>
          <w:rFonts w:ascii="Times New Roman" w:hAnsi="Times New Roman"/>
        </w:rPr>
        <w:t xml:space="preserve"> to achieve AI research and innovation excellence, for instance </w:t>
      </w:r>
      <w:r w:rsidRPr="003705B1">
        <w:rPr>
          <w:rFonts w:ascii="Times New Roman" w:hAnsi="Times New Roman"/>
        </w:rPr>
        <w:t xml:space="preserve">an AI lighthouse </w:t>
      </w:r>
      <w:r>
        <w:rPr>
          <w:rFonts w:ascii="Times New Roman" w:hAnsi="Times New Roman"/>
        </w:rPr>
        <w:t xml:space="preserve">for Europe and </w:t>
      </w:r>
      <w:r w:rsidRPr="003705B1">
        <w:rPr>
          <w:rFonts w:ascii="Times New Roman" w:hAnsi="Times New Roman"/>
        </w:rPr>
        <w:t>additional networks of AI excellence centres</w:t>
      </w:r>
      <w:r>
        <w:rPr>
          <w:rFonts w:ascii="Times New Roman" w:hAnsi="Times New Roman"/>
        </w:rPr>
        <w:t xml:space="preserve"> to </w:t>
      </w:r>
      <w:proofErr w:type="gramStart"/>
      <w:r>
        <w:rPr>
          <w:rFonts w:ascii="Times New Roman" w:hAnsi="Times New Roman"/>
        </w:rPr>
        <w:t>be funded</w:t>
      </w:r>
      <w:proofErr w:type="gramEnd"/>
      <w:r>
        <w:rPr>
          <w:rFonts w:ascii="Times New Roman" w:hAnsi="Times New Roman"/>
        </w:rPr>
        <w:t xml:space="preserve"> under the Horizon Europe programme.</w:t>
      </w:r>
    </w:p>
    <w:p w:rsidR="001626E6" w:rsidRDefault="001626E6" w:rsidP="001626E6">
      <w:pPr>
        <w:widowControl w:val="0"/>
        <w:spacing w:after="120"/>
        <w:rPr>
          <w:rFonts w:ascii="Times New Roman" w:hAnsi="Times New Roman"/>
          <w:szCs w:val="24"/>
        </w:rPr>
      </w:pPr>
      <w:r w:rsidRPr="00D9228B">
        <w:rPr>
          <w:rFonts w:ascii="Times New Roman" w:hAnsi="Times New Roman"/>
        </w:rPr>
        <w:t>Under the Recovery and Resilience Facility (RRF)</w:t>
      </w:r>
      <w:r w:rsidRPr="00514A0D">
        <w:rPr>
          <w:rFonts w:ascii="Times New Roman" w:hAnsi="Times New Roman"/>
        </w:rPr>
        <w:t xml:space="preserve">, </w:t>
      </w:r>
      <w:r w:rsidRPr="000301E2">
        <w:rPr>
          <w:rFonts w:ascii="Times New Roman" w:hAnsi="Times New Roman"/>
        </w:rPr>
        <w:t>t</w:t>
      </w:r>
      <w:r w:rsidRPr="00D9228B">
        <w:rPr>
          <w:rFonts w:ascii="Times New Roman" w:hAnsi="Times New Roman"/>
        </w:rPr>
        <w:t xml:space="preserve">he centrepiece of </w:t>
      </w:r>
      <w:proofErr w:type="spellStart"/>
      <w:r w:rsidRPr="00D9228B">
        <w:rPr>
          <w:rFonts w:ascii="Times New Roman" w:hAnsi="Times New Roman"/>
        </w:rPr>
        <w:t>NextGenerationEU</w:t>
      </w:r>
      <w:proofErr w:type="spellEnd"/>
      <w:r w:rsidRPr="00D9228B">
        <w:rPr>
          <w:rFonts w:ascii="Times New Roman" w:hAnsi="Times New Roman"/>
        </w:rPr>
        <w:t xml:space="preserve"> (</w:t>
      </w:r>
      <w:r w:rsidRPr="000301E2">
        <w:rPr>
          <w:rFonts w:ascii="Times New Roman" w:hAnsi="Times New Roman"/>
          <w:b/>
          <w:bCs/>
        </w:rPr>
        <w:t>paragraph 18</w:t>
      </w:r>
      <w:r w:rsidRPr="00D9228B">
        <w:rPr>
          <w:rFonts w:ascii="Times New Roman" w:hAnsi="Times New Roman"/>
        </w:rPr>
        <w:t xml:space="preserve">), </w:t>
      </w:r>
      <w:r>
        <w:rPr>
          <w:rFonts w:ascii="Times New Roman" w:hAnsi="Times New Roman"/>
        </w:rPr>
        <w:t xml:space="preserve">the </w:t>
      </w:r>
      <w:r w:rsidRPr="00D9228B">
        <w:rPr>
          <w:rFonts w:ascii="Times New Roman" w:hAnsi="Times New Roman"/>
        </w:rPr>
        <w:t xml:space="preserve">Member States committed to spend at least 20 % under their Recovery and Resilience Plans to foster the digital </w:t>
      </w:r>
      <w:r>
        <w:rPr>
          <w:rFonts w:ascii="Times New Roman" w:hAnsi="Times New Roman"/>
        </w:rPr>
        <w:t>transformation</w:t>
      </w:r>
      <w:r w:rsidRPr="00D9228B">
        <w:rPr>
          <w:rFonts w:ascii="Times New Roman" w:hAnsi="Times New Roman"/>
        </w:rPr>
        <w:t xml:space="preserve">, including investments and reforms. When receiving </w:t>
      </w:r>
      <w:r>
        <w:rPr>
          <w:rFonts w:ascii="Times New Roman" w:hAnsi="Times New Roman"/>
        </w:rPr>
        <w:t xml:space="preserve">the </w:t>
      </w:r>
      <w:r w:rsidRPr="00D9228B">
        <w:rPr>
          <w:rFonts w:ascii="Times New Roman" w:hAnsi="Times New Roman"/>
        </w:rPr>
        <w:t xml:space="preserve">Member States’ plans, the Commission assesses whether </w:t>
      </w:r>
      <w:r>
        <w:rPr>
          <w:rFonts w:ascii="Times New Roman" w:hAnsi="Times New Roman"/>
        </w:rPr>
        <w:t>such</w:t>
      </w:r>
      <w:r w:rsidRPr="00D9228B">
        <w:rPr>
          <w:rFonts w:ascii="Times New Roman" w:hAnsi="Times New Roman"/>
        </w:rPr>
        <w:t xml:space="preserve"> digital target </w:t>
      </w:r>
      <w:proofErr w:type="gramStart"/>
      <w:r w:rsidRPr="00D9228B">
        <w:rPr>
          <w:rFonts w:ascii="Times New Roman" w:hAnsi="Times New Roman"/>
        </w:rPr>
        <w:t>is met</w:t>
      </w:r>
      <w:proofErr w:type="gramEnd"/>
      <w:r w:rsidRPr="00D9228B">
        <w:rPr>
          <w:rFonts w:ascii="Times New Roman" w:hAnsi="Times New Roman"/>
        </w:rPr>
        <w:t xml:space="preserve">, but also, inter alia, whether the proposed measures respond to the Country Specific Recommendations and whether they have a transformative nature. As proposed by the Commission, </w:t>
      </w:r>
      <w:r>
        <w:rPr>
          <w:rFonts w:ascii="Times New Roman" w:hAnsi="Times New Roman"/>
        </w:rPr>
        <w:t xml:space="preserve">the </w:t>
      </w:r>
      <w:r w:rsidRPr="00D9228B">
        <w:rPr>
          <w:rFonts w:ascii="Times New Roman" w:hAnsi="Times New Roman"/>
        </w:rPr>
        <w:t>Member States can use RRF funds to support multi-country projects</w:t>
      </w:r>
      <w:r>
        <w:rPr>
          <w:rFonts w:ascii="Times New Roman" w:hAnsi="Times New Roman"/>
        </w:rPr>
        <w:t xml:space="preserve">, thus </w:t>
      </w:r>
      <w:r w:rsidRPr="00D9228B">
        <w:rPr>
          <w:rFonts w:ascii="Times New Roman" w:hAnsi="Times New Roman"/>
        </w:rPr>
        <w:t xml:space="preserve">building European digital capacities, including high impact technologies and pan-European infrastructure. Projects such as ‘Building and Deploying European Common Data Infrastructure and Services’, </w:t>
      </w:r>
      <w:r>
        <w:rPr>
          <w:rFonts w:ascii="Times New Roman" w:hAnsi="Times New Roman"/>
        </w:rPr>
        <w:t xml:space="preserve">and </w:t>
      </w:r>
      <w:r w:rsidRPr="00D9228B">
        <w:rPr>
          <w:rFonts w:ascii="Times New Roman" w:hAnsi="Times New Roman"/>
        </w:rPr>
        <w:t>‘Design and manufacturing of the next generation of processors and semi-conductor chips’ have seen significant take</w:t>
      </w:r>
      <w:r>
        <w:rPr>
          <w:rFonts w:ascii="Times New Roman" w:hAnsi="Times New Roman"/>
        </w:rPr>
        <w:t>-</w:t>
      </w:r>
      <w:r w:rsidRPr="00D9228B">
        <w:rPr>
          <w:rFonts w:ascii="Times New Roman" w:hAnsi="Times New Roman"/>
        </w:rPr>
        <w:t>up in the Recovery and R</w:t>
      </w:r>
      <w:r w:rsidRPr="005B5A67">
        <w:rPr>
          <w:rFonts w:ascii="Times New Roman" w:hAnsi="Times New Roman"/>
        </w:rPr>
        <w:t>esilience Plan</w:t>
      </w:r>
      <w:r w:rsidRPr="001772B0">
        <w:rPr>
          <w:rFonts w:ascii="Times New Roman" w:hAnsi="Times New Roman"/>
        </w:rPr>
        <w:t>s of Member States.</w:t>
      </w:r>
    </w:p>
    <w:p w:rsidR="001626E6" w:rsidRPr="008613F3" w:rsidRDefault="001626E6" w:rsidP="001626E6">
      <w:pPr>
        <w:widowControl w:val="0"/>
        <w:spacing w:after="120"/>
        <w:rPr>
          <w:rFonts w:ascii="Times New Roman" w:hAnsi="Times New Roman"/>
          <w:szCs w:val="24"/>
        </w:rPr>
      </w:pPr>
      <w:r w:rsidRPr="00D9228B">
        <w:rPr>
          <w:rFonts w:ascii="Times New Roman" w:hAnsi="Times New Roman"/>
        </w:rPr>
        <w:t xml:space="preserve">Concerning the Parliament’s call in </w:t>
      </w:r>
      <w:r w:rsidRPr="000301E2">
        <w:rPr>
          <w:rFonts w:ascii="Times New Roman" w:hAnsi="Times New Roman"/>
          <w:b/>
          <w:bCs/>
        </w:rPr>
        <w:t>paragraph 19</w:t>
      </w:r>
      <w:r w:rsidRPr="00D9228B">
        <w:rPr>
          <w:rFonts w:ascii="Times New Roman" w:hAnsi="Times New Roman"/>
        </w:rPr>
        <w:t>, the Single Market Programme (Regulation (EU) 2021/690) provides support for the competitiveness and sustainability of enterprises, especially SMEs, including when it comes to their digital transition, as reflected in the first work programme of the SME pillar</w:t>
      </w:r>
      <w:r>
        <w:rPr>
          <w:rFonts w:ascii="Times New Roman" w:hAnsi="Times New Roman"/>
        </w:rPr>
        <w:t xml:space="preserve"> (C(2021)3046, Annex 2)</w:t>
      </w:r>
      <w:r w:rsidRPr="00D9228B">
        <w:rPr>
          <w:rFonts w:ascii="Times New Roman" w:hAnsi="Times New Roman"/>
        </w:rPr>
        <w:t>. The Commission will also enhance and upgrade the Enterprise Europe Network including with sustainability and digitalisation services</w:t>
      </w:r>
      <w:r>
        <w:rPr>
          <w:rFonts w:ascii="Times New Roman" w:hAnsi="Times New Roman"/>
        </w:rPr>
        <w:t xml:space="preserve">, </w:t>
      </w:r>
      <w:r w:rsidRPr="00D9228B">
        <w:rPr>
          <w:rFonts w:ascii="Times New Roman" w:hAnsi="Times New Roman"/>
        </w:rPr>
        <w:t xml:space="preserve">in collaboration with other support services such as the Network of European Digital Innovation Hubs (see more on this below). The Joint Cluster Initiative will improve industrial ecosystems, boost their </w:t>
      </w:r>
      <w:proofErr w:type="gramStart"/>
      <w:r w:rsidRPr="00D9228B">
        <w:rPr>
          <w:rFonts w:ascii="Times New Roman" w:hAnsi="Times New Roman"/>
        </w:rPr>
        <w:t>resilience and improve technologies</w:t>
      </w:r>
      <w:proofErr w:type="gramEnd"/>
      <w:r w:rsidRPr="00D9228B">
        <w:rPr>
          <w:rFonts w:ascii="Times New Roman" w:hAnsi="Times New Roman"/>
        </w:rPr>
        <w:t xml:space="preserve"> and supply </w:t>
      </w:r>
      <w:r w:rsidRPr="00D9228B">
        <w:rPr>
          <w:rFonts w:ascii="Times New Roman" w:hAnsi="Times New Roman"/>
        </w:rPr>
        <w:lastRenderedPageBreak/>
        <w:t xml:space="preserve">chains. </w:t>
      </w:r>
      <w:r>
        <w:rPr>
          <w:rFonts w:ascii="Times New Roman" w:hAnsi="Times New Roman"/>
        </w:rPr>
        <w:t xml:space="preserve">Other actions concern </w:t>
      </w:r>
      <w:r w:rsidRPr="00D9228B">
        <w:rPr>
          <w:rFonts w:ascii="Times New Roman" w:hAnsi="Times New Roman"/>
        </w:rPr>
        <w:t>tourism SMEs</w:t>
      </w:r>
      <w:r>
        <w:rPr>
          <w:rFonts w:ascii="Times New Roman" w:hAnsi="Times New Roman"/>
        </w:rPr>
        <w:t xml:space="preserve">, </w:t>
      </w:r>
      <w:r w:rsidRPr="00D9228B">
        <w:rPr>
          <w:rFonts w:ascii="Times New Roman" w:hAnsi="Times New Roman"/>
        </w:rPr>
        <w:t xml:space="preserve">the EU Built environment </w:t>
      </w:r>
      <w:r>
        <w:rPr>
          <w:rFonts w:ascii="Times New Roman" w:hAnsi="Times New Roman"/>
        </w:rPr>
        <w:t xml:space="preserve">and </w:t>
      </w:r>
      <w:r w:rsidRPr="0001370E">
        <w:rPr>
          <w:rFonts w:ascii="Times New Roman" w:hAnsi="Times New Roman"/>
        </w:rPr>
        <w:t>the Single Digital Gateway</w:t>
      </w:r>
      <w:r w:rsidRPr="00D9228B">
        <w:rPr>
          <w:rFonts w:ascii="Times New Roman" w:hAnsi="Times New Roman"/>
        </w:rPr>
        <w:t>.</w:t>
      </w:r>
      <w:r>
        <w:rPr>
          <w:rFonts w:ascii="Times New Roman" w:hAnsi="Times New Roman"/>
        </w:rPr>
        <w:t xml:space="preserve"> In this context, the above-mentioned </w:t>
      </w:r>
      <w:r w:rsidRPr="00D9228B">
        <w:rPr>
          <w:rFonts w:ascii="Times New Roman" w:hAnsi="Times New Roman"/>
        </w:rPr>
        <w:t xml:space="preserve">network of European Digital Innovation Hubs </w:t>
      </w:r>
      <w:r>
        <w:rPr>
          <w:rFonts w:ascii="Times New Roman" w:hAnsi="Times New Roman"/>
        </w:rPr>
        <w:t>is also relevant</w:t>
      </w:r>
      <w:r w:rsidRPr="00D9228B">
        <w:rPr>
          <w:rFonts w:ascii="Times New Roman" w:hAnsi="Times New Roman"/>
        </w:rPr>
        <w:t xml:space="preserve">. The RRF </w:t>
      </w:r>
      <w:proofErr w:type="gramStart"/>
      <w:r w:rsidRPr="00D9228B">
        <w:rPr>
          <w:rFonts w:ascii="Times New Roman" w:hAnsi="Times New Roman"/>
        </w:rPr>
        <w:t>is also expected</w:t>
      </w:r>
      <w:proofErr w:type="gramEnd"/>
      <w:r w:rsidRPr="00D9228B">
        <w:rPr>
          <w:rFonts w:ascii="Times New Roman" w:hAnsi="Times New Roman"/>
        </w:rPr>
        <w:t xml:space="preserve"> to give a major boost to implementing the SME strategy</w:t>
      </w:r>
      <w:r>
        <w:rPr>
          <w:rFonts w:ascii="Times New Roman" w:hAnsi="Times New Roman"/>
        </w:rPr>
        <w:t>. In this regard, it is worth noting that the</w:t>
      </w:r>
      <w:r w:rsidRPr="00D9228B">
        <w:rPr>
          <w:rFonts w:ascii="Times New Roman" w:hAnsi="Times New Roman"/>
        </w:rPr>
        <w:t xml:space="preserve"> Recovery and Resilience Plans assessed and officially </w:t>
      </w:r>
      <w:r>
        <w:rPr>
          <w:rFonts w:ascii="Times New Roman" w:hAnsi="Times New Roman"/>
        </w:rPr>
        <w:t>endorsed by the Commission</w:t>
      </w:r>
      <w:r w:rsidRPr="00D9228B">
        <w:rPr>
          <w:rFonts w:ascii="Times New Roman" w:hAnsi="Times New Roman"/>
        </w:rPr>
        <w:t xml:space="preserve"> </w:t>
      </w:r>
      <w:r>
        <w:rPr>
          <w:rFonts w:ascii="Times New Roman" w:hAnsi="Times New Roman"/>
        </w:rPr>
        <w:t>until now</w:t>
      </w:r>
      <w:r w:rsidRPr="00D9228B">
        <w:rPr>
          <w:rFonts w:ascii="Times New Roman" w:hAnsi="Times New Roman"/>
        </w:rPr>
        <w:t xml:space="preserve"> show that </w:t>
      </w:r>
      <w:r>
        <w:rPr>
          <w:rFonts w:ascii="Times New Roman" w:hAnsi="Times New Roman"/>
        </w:rPr>
        <w:t xml:space="preserve">the </w:t>
      </w:r>
      <w:r w:rsidRPr="00D9228B">
        <w:rPr>
          <w:rFonts w:ascii="Times New Roman" w:hAnsi="Times New Roman"/>
        </w:rPr>
        <w:t>Member States are dedicating to the digitalisation of businesses, including SMEs</w:t>
      </w:r>
      <w:r>
        <w:rPr>
          <w:rFonts w:ascii="Times New Roman" w:hAnsi="Times New Roman"/>
        </w:rPr>
        <w:t>,</w:t>
      </w:r>
      <w:r w:rsidRPr="00B15B37">
        <w:rPr>
          <w:rFonts w:ascii="Times New Roman" w:hAnsi="Times New Roman"/>
        </w:rPr>
        <w:t xml:space="preserve"> around one fifth of the</w:t>
      </w:r>
      <w:r>
        <w:rPr>
          <w:rFonts w:ascii="Times New Roman" w:hAnsi="Times New Roman"/>
        </w:rPr>
        <w:t xml:space="preserve"> part of their</w:t>
      </w:r>
      <w:r w:rsidRPr="00B15B37">
        <w:rPr>
          <w:rFonts w:ascii="Times New Roman" w:hAnsi="Times New Roman"/>
        </w:rPr>
        <w:t xml:space="preserve"> budgets </w:t>
      </w:r>
      <w:r>
        <w:rPr>
          <w:rFonts w:ascii="Times New Roman" w:hAnsi="Times New Roman"/>
        </w:rPr>
        <w:t>devoted to the digital transition</w:t>
      </w:r>
      <w:r w:rsidRPr="00D9228B">
        <w:rPr>
          <w:rFonts w:ascii="Times New Roman" w:hAnsi="Times New Roman"/>
        </w:rPr>
        <w:t xml:space="preserve"> </w:t>
      </w:r>
      <w:r>
        <w:rPr>
          <w:rStyle w:val="FootnoteReference"/>
          <w:rFonts w:ascii="Times New Roman" w:hAnsi="Times New Roman"/>
        </w:rPr>
        <w:footnoteReference w:id="1"/>
      </w:r>
      <w:r>
        <w:rPr>
          <w:rFonts w:ascii="Times New Roman" w:hAnsi="Times New Roman"/>
        </w:rPr>
        <w:t>.</w:t>
      </w:r>
    </w:p>
    <w:p w:rsidR="001626E6" w:rsidRPr="000301E2" w:rsidRDefault="001626E6" w:rsidP="001626E6">
      <w:pPr>
        <w:widowControl w:val="0"/>
        <w:spacing w:after="120"/>
        <w:rPr>
          <w:rFonts w:ascii="Times New Roman" w:hAnsi="Times New Roman"/>
        </w:rPr>
      </w:pPr>
      <w:r>
        <w:rPr>
          <w:rFonts w:ascii="Times New Roman" w:hAnsi="Times New Roman"/>
        </w:rPr>
        <w:t>Furthermore, t</w:t>
      </w:r>
      <w:r w:rsidRPr="00D9228B">
        <w:rPr>
          <w:rFonts w:ascii="Times New Roman" w:hAnsi="Times New Roman"/>
        </w:rPr>
        <w:t>o address the substantial investment gap for innovative digital start-ups and SMEs in Europe (</w:t>
      </w:r>
      <w:r w:rsidRPr="000301E2">
        <w:rPr>
          <w:rFonts w:ascii="Times New Roman" w:hAnsi="Times New Roman"/>
          <w:b/>
          <w:bCs/>
        </w:rPr>
        <w:t>paragraph 20</w:t>
      </w:r>
      <w:r w:rsidRPr="00D9228B">
        <w:rPr>
          <w:rFonts w:ascii="Times New Roman" w:hAnsi="Times New Roman"/>
        </w:rPr>
        <w:t xml:space="preserve">), </w:t>
      </w:r>
      <w:r>
        <w:rPr>
          <w:rFonts w:ascii="Times New Roman" w:hAnsi="Times New Roman"/>
        </w:rPr>
        <w:t xml:space="preserve">the Commission will use the </w:t>
      </w:r>
      <w:proofErr w:type="spellStart"/>
      <w:r>
        <w:rPr>
          <w:rFonts w:ascii="Times New Roman" w:hAnsi="Times New Roman"/>
        </w:rPr>
        <w:t>InvestEU</w:t>
      </w:r>
      <w:proofErr w:type="spellEnd"/>
      <w:r>
        <w:rPr>
          <w:rFonts w:ascii="Times New Roman" w:hAnsi="Times New Roman"/>
        </w:rPr>
        <w:t xml:space="preserve"> Fund to</w:t>
      </w:r>
      <w:r w:rsidRPr="00262B00">
        <w:rPr>
          <w:rFonts w:ascii="Times New Roman" w:hAnsi="Times New Roman"/>
        </w:rPr>
        <w:t xml:space="preserve"> ensure availability of risk capital for early and growth-stage equity investments into European SMEs (including start-ups)</w:t>
      </w:r>
      <w:r>
        <w:rPr>
          <w:rFonts w:ascii="Times New Roman" w:hAnsi="Times New Roman"/>
        </w:rPr>
        <w:t>. T</w:t>
      </w:r>
      <w:r w:rsidRPr="00D9228B">
        <w:rPr>
          <w:rFonts w:ascii="Times New Roman" w:hAnsi="Times New Roman"/>
        </w:rPr>
        <w:t xml:space="preserve">he European Commission </w:t>
      </w:r>
      <w:r>
        <w:rPr>
          <w:rFonts w:ascii="Times New Roman" w:hAnsi="Times New Roman"/>
        </w:rPr>
        <w:t xml:space="preserve">also </w:t>
      </w:r>
      <w:r w:rsidRPr="00D9228B">
        <w:rPr>
          <w:rFonts w:ascii="Times New Roman" w:hAnsi="Times New Roman"/>
        </w:rPr>
        <w:t xml:space="preserve">developed a dedicated AI and </w:t>
      </w:r>
      <w:proofErr w:type="spellStart"/>
      <w:r w:rsidRPr="00D9228B">
        <w:rPr>
          <w:rFonts w:ascii="Times New Roman" w:hAnsi="Times New Roman"/>
        </w:rPr>
        <w:t>Blockchain</w:t>
      </w:r>
      <w:proofErr w:type="spellEnd"/>
      <w:r w:rsidRPr="00D9228B">
        <w:rPr>
          <w:rFonts w:ascii="Times New Roman" w:hAnsi="Times New Roman"/>
        </w:rPr>
        <w:t xml:space="preserve"> Investment Fund</w:t>
      </w:r>
      <w:r>
        <w:rPr>
          <w:rFonts w:ascii="Times New Roman" w:hAnsi="Times New Roman"/>
        </w:rPr>
        <w:t>, which</w:t>
      </w:r>
      <w:r w:rsidRPr="00D9228B">
        <w:rPr>
          <w:rFonts w:ascii="Times New Roman" w:hAnsi="Times New Roman"/>
        </w:rPr>
        <w:t xml:space="preserve"> enhances access to finance in the form of equity, to innovative and higher risk AI and </w:t>
      </w:r>
      <w:proofErr w:type="spellStart"/>
      <w:r w:rsidRPr="00D9228B">
        <w:rPr>
          <w:rFonts w:ascii="Times New Roman" w:hAnsi="Times New Roman"/>
        </w:rPr>
        <w:t>blockchain</w:t>
      </w:r>
      <w:proofErr w:type="spellEnd"/>
      <w:r w:rsidRPr="00D9228B">
        <w:rPr>
          <w:rFonts w:ascii="Times New Roman" w:hAnsi="Times New Roman"/>
        </w:rPr>
        <w:t xml:space="preserve"> SMEs and start-ups that develop and deploy innovative AI and </w:t>
      </w:r>
      <w:proofErr w:type="spellStart"/>
      <w:r w:rsidRPr="00D9228B">
        <w:rPr>
          <w:rFonts w:ascii="Times New Roman" w:hAnsi="Times New Roman"/>
        </w:rPr>
        <w:t>blockchain</w:t>
      </w:r>
      <w:proofErr w:type="spellEnd"/>
      <w:r w:rsidRPr="00D9228B">
        <w:rPr>
          <w:rFonts w:ascii="Times New Roman" w:hAnsi="Times New Roman"/>
        </w:rPr>
        <w:t xml:space="preserve"> technologies. The total investment volume of the fund is reaching approximately EUR 900 million for 2020/2021 through co-investments from venture capital funds and the European Investment Bank's co-investment facility. </w:t>
      </w:r>
      <w:r>
        <w:rPr>
          <w:rFonts w:ascii="Times New Roman" w:hAnsi="Times New Roman"/>
        </w:rPr>
        <w:t>This</w:t>
      </w:r>
      <w:r w:rsidRPr="00D9228B">
        <w:rPr>
          <w:rFonts w:ascii="Times New Roman" w:hAnsi="Times New Roman"/>
        </w:rPr>
        <w:t xml:space="preserve"> dedicated fund </w:t>
      </w:r>
      <w:proofErr w:type="gramStart"/>
      <w:r w:rsidRPr="00D9228B">
        <w:rPr>
          <w:rFonts w:ascii="Times New Roman" w:hAnsi="Times New Roman"/>
        </w:rPr>
        <w:t>is expected to be scaled-up and broaden</w:t>
      </w:r>
      <w:r>
        <w:rPr>
          <w:rFonts w:ascii="Times New Roman" w:hAnsi="Times New Roman"/>
        </w:rPr>
        <w:t>ed</w:t>
      </w:r>
      <w:r w:rsidRPr="00D9228B">
        <w:rPr>
          <w:rFonts w:ascii="Times New Roman" w:hAnsi="Times New Roman"/>
        </w:rPr>
        <w:t xml:space="preserve"> in the form of a Strategic Digital Technology Fund for investments in innovative digital start-ups and SMEs that are developing and deploying breakthrough technologies</w:t>
      </w:r>
      <w:proofErr w:type="gramEnd"/>
      <w:r w:rsidRPr="00D9228B">
        <w:rPr>
          <w:rFonts w:ascii="Times New Roman" w:hAnsi="Times New Roman"/>
        </w:rPr>
        <w:t>.</w:t>
      </w:r>
    </w:p>
    <w:p w:rsidR="001626E6" w:rsidRPr="000301E2" w:rsidRDefault="001626E6" w:rsidP="001626E6">
      <w:pPr>
        <w:widowControl w:val="0"/>
        <w:spacing w:after="120"/>
        <w:rPr>
          <w:rFonts w:ascii="Times New Roman" w:hAnsi="Times New Roman"/>
        </w:rPr>
      </w:pPr>
      <w:r>
        <w:rPr>
          <w:rFonts w:ascii="Times New Roman" w:hAnsi="Times New Roman"/>
        </w:rPr>
        <w:t>Concerning</w:t>
      </w:r>
      <w:r w:rsidRPr="00D9228B">
        <w:rPr>
          <w:rFonts w:ascii="Times New Roman" w:hAnsi="Times New Roman"/>
        </w:rPr>
        <w:t xml:space="preserve"> </w:t>
      </w:r>
      <w:r w:rsidRPr="000301E2">
        <w:rPr>
          <w:rFonts w:ascii="Times New Roman" w:hAnsi="Times New Roman"/>
          <w:b/>
          <w:bCs/>
        </w:rPr>
        <w:t>paragraph 21</w:t>
      </w:r>
      <w:r>
        <w:rPr>
          <w:rFonts w:ascii="Times New Roman" w:hAnsi="Times New Roman"/>
        </w:rPr>
        <w:t>,</w:t>
      </w:r>
      <w:r w:rsidRPr="00D9228B">
        <w:rPr>
          <w:rFonts w:ascii="Times New Roman" w:hAnsi="Times New Roman"/>
        </w:rPr>
        <w:t xml:space="preserve"> the Commission recalls that it has adopted the work programme of Horizon Europe for the period 2021-2022, </w:t>
      </w:r>
      <w:r>
        <w:rPr>
          <w:rFonts w:ascii="Times New Roman" w:hAnsi="Times New Roman"/>
        </w:rPr>
        <w:t>for a</w:t>
      </w:r>
      <w:r w:rsidRPr="00D9228B">
        <w:rPr>
          <w:rFonts w:ascii="Times New Roman" w:hAnsi="Times New Roman"/>
        </w:rPr>
        <w:t xml:space="preserve"> total of EUR 14.7 </w:t>
      </w:r>
      <w:proofErr w:type="gramStart"/>
      <w:r w:rsidRPr="00D9228B">
        <w:rPr>
          <w:rFonts w:ascii="Times New Roman" w:hAnsi="Times New Roman"/>
        </w:rPr>
        <w:t>billion</w:t>
      </w:r>
      <w:proofErr w:type="gramEnd"/>
      <w:r w:rsidRPr="00D9228B">
        <w:rPr>
          <w:rFonts w:ascii="Times New Roman" w:hAnsi="Times New Roman"/>
        </w:rPr>
        <w:t xml:space="preserve"> in funding. </w:t>
      </w:r>
      <w:r>
        <w:rPr>
          <w:rFonts w:ascii="Times New Roman" w:hAnsi="Times New Roman"/>
        </w:rPr>
        <w:t>I</w:t>
      </w:r>
      <w:r w:rsidRPr="009A53DC">
        <w:rPr>
          <w:rFonts w:ascii="Times New Roman" w:hAnsi="Times New Roman"/>
        </w:rPr>
        <w:t xml:space="preserve">t </w:t>
      </w:r>
      <w:proofErr w:type="gramStart"/>
      <w:r w:rsidRPr="009A53DC">
        <w:rPr>
          <w:rFonts w:ascii="Times New Roman" w:hAnsi="Times New Roman"/>
        </w:rPr>
        <w:t>is estimated</w:t>
      </w:r>
      <w:proofErr w:type="gramEnd"/>
      <w:r w:rsidRPr="009A53DC">
        <w:rPr>
          <w:rFonts w:ascii="Times New Roman" w:hAnsi="Times New Roman"/>
        </w:rPr>
        <w:t xml:space="preserve"> that 34</w:t>
      </w:r>
      <w:r>
        <w:rPr>
          <w:rFonts w:ascii="Times New Roman" w:hAnsi="Times New Roman"/>
        </w:rPr>
        <w:t xml:space="preserve"> </w:t>
      </w:r>
      <w:r w:rsidRPr="009A53DC">
        <w:rPr>
          <w:rFonts w:ascii="Times New Roman" w:hAnsi="Times New Roman"/>
        </w:rPr>
        <w:t>% of funds in the presented work programmes, and 35</w:t>
      </w:r>
      <w:r>
        <w:rPr>
          <w:rFonts w:ascii="Times New Roman" w:hAnsi="Times New Roman"/>
        </w:rPr>
        <w:t xml:space="preserve"> </w:t>
      </w:r>
      <w:r w:rsidRPr="009A53DC">
        <w:rPr>
          <w:rFonts w:ascii="Times New Roman" w:hAnsi="Times New Roman"/>
        </w:rPr>
        <w:t>% of funds across all parts of Horizon Europe</w:t>
      </w:r>
      <w:r>
        <w:rPr>
          <w:rFonts w:ascii="Times New Roman" w:hAnsi="Times New Roman"/>
        </w:rPr>
        <w:t>,</w:t>
      </w:r>
      <w:r w:rsidRPr="009A53DC">
        <w:rPr>
          <w:rFonts w:ascii="Times New Roman" w:hAnsi="Times New Roman"/>
        </w:rPr>
        <w:t xml:space="preserve"> contribute to the digital transition. This equals </w:t>
      </w:r>
      <w:r>
        <w:rPr>
          <w:rFonts w:ascii="Times New Roman" w:hAnsi="Times New Roman"/>
        </w:rPr>
        <w:t xml:space="preserve">to </w:t>
      </w:r>
      <w:r w:rsidRPr="009A53DC">
        <w:rPr>
          <w:rFonts w:ascii="Times New Roman" w:hAnsi="Times New Roman"/>
        </w:rPr>
        <w:t>overall</w:t>
      </w:r>
      <w:r>
        <w:rPr>
          <w:rFonts w:ascii="Times New Roman" w:hAnsi="Times New Roman"/>
        </w:rPr>
        <w:t xml:space="preserve"> investments of EUR 8.49 billion during 2021-20</w:t>
      </w:r>
      <w:r w:rsidRPr="009A53DC">
        <w:rPr>
          <w:rFonts w:ascii="Times New Roman" w:hAnsi="Times New Roman"/>
        </w:rPr>
        <w:t>22. The overall investment into main digital activities, i.e. the development of core digital</w:t>
      </w:r>
      <w:r>
        <w:rPr>
          <w:rFonts w:ascii="Times New Roman" w:hAnsi="Times New Roman"/>
        </w:rPr>
        <w:t xml:space="preserve"> technologies, </w:t>
      </w:r>
      <w:proofErr w:type="gramStart"/>
      <w:r>
        <w:rPr>
          <w:rFonts w:ascii="Times New Roman" w:hAnsi="Times New Roman"/>
        </w:rPr>
        <w:t>is estimated</w:t>
      </w:r>
      <w:proofErr w:type="gramEnd"/>
      <w:r>
        <w:rPr>
          <w:rFonts w:ascii="Times New Roman" w:hAnsi="Times New Roman"/>
        </w:rPr>
        <w:t xml:space="preserve"> at EUR 4 billion in the same period</w:t>
      </w:r>
      <w:r w:rsidRPr="009A53DC">
        <w:rPr>
          <w:rFonts w:ascii="Times New Roman" w:hAnsi="Times New Roman"/>
        </w:rPr>
        <w:t>.</w:t>
      </w:r>
      <w:r>
        <w:rPr>
          <w:rFonts w:ascii="Times New Roman" w:hAnsi="Times New Roman"/>
        </w:rPr>
        <w:t xml:space="preserve"> </w:t>
      </w:r>
      <w:r w:rsidRPr="00D9228B">
        <w:rPr>
          <w:rFonts w:ascii="Times New Roman" w:hAnsi="Times New Roman"/>
        </w:rPr>
        <w:t xml:space="preserve">The Commission is also </w:t>
      </w:r>
      <w:r>
        <w:rPr>
          <w:rFonts w:ascii="Times New Roman" w:hAnsi="Times New Roman"/>
        </w:rPr>
        <w:t>finalising</w:t>
      </w:r>
      <w:r w:rsidRPr="00D9228B">
        <w:rPr>
          <w:rFonts w:ascii="Times New Roman" w:hAnsi="Times New Roman"/>
        </w:rPr>
        <w:t xml:space="preserve"> the first work programme for the Digital Europe programme and for the Connecting Europe Facility – Digital</w:t>
      </w:r>
      <w:r>
        <w:rPr>
          <w:rFonts w:ascii="Times New Roman" w:hAnsi="Times New Roman"/>
        </w:rPr>
        <w:t>.</w:t>
      </w:r>
    </w:p>
    <w:p w:rsidR="001626E6" w:rsidRPr="000301E2" w:rsidRDefault="001626E6" w:rsidP="001626E6">
      <w:pPr>
        <w:widowControl w:val="0"/>
        <w:spacing w:after="120"/>
        <w:rPr>
          <w:rFonts w:ascii="Times New Roman" w:hAnsi="Times New Roman"/>
        </w:rPr>
      </w:pPr>
      <w:r>
        <w:rPr>
          <w:rFonts w:ascii="Times New Roman" w:hAnsi="Times New Roman"/>
        </w:rPr>
        <w:t>As regards global standards (</w:t>
      </w:r>
      <w:r w:rsidRPr="000301E2">
        <w:rPr>
          <w:rFonts w:ascii="Times New Roman" w:hAnsi="Times New Roman"/>
          <w:b/>
          <w:bCs/>
        </w:rPr>
        <w:t>paragraph 22</w:t>
      </w:r>
      <w:r w:rsidRPr="00D9228B">
        <w:rPr>
          <w:rFonts w:ascii="Times New Roman" w:hAnsi="Times New Roman"/>
        </w:rPr>
        <w:t>)</w:t>
      </w:r>
      <w:r>
        <w:rPr>
          <w:rFonts w:ascii="Times New Roman" w:hAnsi="Times New Roman"/>
        </w:rPr>
        <w:t>,</w:t>
      </w:r>
      <w:r w:rsidRPr="00D9228B">
        <w:rPr>
          <w:rFonts w:ascii="Times New Roman" w:hAnsi="Times New Roman"/>
        </w:rPr>
        <w:t xml:space="preserve"> the Commission will work with international and European standardisation organisations, and has called for cooperation between the various stakeholders and standardisation organisation in the ICT</w:t>
      </w:r>
      <w:r>
        <w:rPr>
          <w:rFonts w:ascii="Times New Roman" w:hAnsi="Times New Roman"/>
        </w:rPr>
        <w:t xml:space="preserve"> standardisation rolling plan. </w:t>
      </w:r>
      <w:r w:rsidRPr="00D9228B">
        <w:rPr>
          <w:rFonts w:ascii="Times New Roman" w:hAnsi="Times New Roman"/>
        </w:rPr>
        <w:t xml:space="preserve">The Commission agrees with the need of using the different tools existing in the standardisation system, including schemes such as the European Committee for Standardisation (CEN) Workshop Agreements and the European Telecommunications Standards Institute (ETSI) Industry Specification Groups in </w:t>
      </w:r>
      <w:r w:rsidRPr="00F520EF">
        <w:rPr>
          <w:rFonts w:ascii="Times New Roman" w:hAnsi="Times New Roman"/>
          <w:szCs w:val="24"/>
        </w:rPr>
        <w:t xml:space="preserve">specific </w:t>
      </w:r>
      <w:r w:rsidRPr="00D9228B">
        <w:rPr>
          <w:rFonts w:ascii="Times New Roman" w:hAnsi="Times New Roman"/>
        </w:rPr>
        <w:t>areas when relevant.</w:t>
      </w:r>
      <w:r>
        <w:rPr>
          <w:rFonts w:ascii="Times New Roman" w:hAnsi="Times New Roman"/>
        </w:rPr>
        <w:t xml:space="preserve"> </w:t>
      </w:r>
      <w:r w:rsidRPr="00D9228B">
        <w:rPr>
          <w:rFonts w:ascii="Times New Roman" w:hAnsi="Times New Roman"/>
        </w:rPr>
        <w:t xml:space="preserve">Furthermore, based on the successful EU acquis on product safety, the proposed AI Act </w:t>
      </w:r>
      <w:proofErr w:type="gramStart"/>
      <w:r w:rsidRPr="00D9228B">
        <w:rPr>
          <w:rFonts w:ascii="Times New Roman" w:hAnsi="Times New Roman"/>
        </w:rPr>
        <w:t>was conceived</w:t>
      </w:r>
      <w:proofErr w:type="gramEnd"/>
      <w:r w:rsidRPr="00D9228B">
        <w:rPr>
          <w:rFonts w:ascii="Times New Roman" w:hAnsi="Times New Roman"/>
        </w:rPr>
        <w:t xml:space="preserve"> as a New Legislative Framework legislation. This means that harmonised standards are a key tool for the implementation of the future legislation and contribute to ensure that AI systems are safe and trustworthy.</w:t>
      </w:r>
    </w:p>
    <w:p w:rsidR="001626E6" w:rsidRPr="000301E2" w:rsidRDefault="001626E6" w:rsidP="001626E6">
      <w:pPr>
        <w:widowControl w:val="0"/>
        <w:spacing w:after="120"/>
        <w:rPr>
          <w:rFonts w:ascii="Times New Roman" w:hAnsi="Times New Roman"/>
        </w:rPr>
      </w:pPr>
      <w:r w:rsidRPr="00D9228B">
        <w:rPr>
          <w:rFonts w:ascii="Times New Roman" w:hAnsi="Times New Roman"/>
        </w:rPr>
        <w:t xml:space="preserve">With reference to </w:t>
      </w:r>
      <w:r w:rsidRPr="000301E2">
        <w:rPr>
          <w:rFonts w:ascii="Times New Roman" w:hAnsi="Times New Roman"/>
          <w:b/>
          <w:bCs/>
        </w:rPr>
        <w:t>paragraph 23</w:t>
      </w:r>
      <w:r w:rsidRPr="00D9228B">
        <w:rPr>
          <w:rFonts w:ascii="Times New Roman" w:hAnsi="Times New Roman"/>
        </w:rPr>
        <w:t>,</w:t>
      </w:r>
      <w:r>
        <w:rPr>
          <w:rFonts w:ascii="Times New Roman" w:hAnsi="Times New Roman"/>
        </w:rPr>
        <w:t xml:space="preserve"> it</w:t>
      </w:r>
      <w:r w:rsidRPr="00D9228B">
        <w:rPr>
          <w:rFonts w:ascii="Times New Roman" w:hAnsi="Times New Roman"/>
        </w:rPr>
        <w:t xml:space="preserve"> is a priority of the Commission to make sure that Europe harness the potential of </w:t>
      </w:r>
      <w:r>
        <w:rPr>
          <w:rFonts w:ascii="Times New Roman" w:hAnsi="Times New Roman"/>
        </w:rPr>
        <w:t>the large</w:t>
      </w:r>
      <w:r w:rsidRPr="00D9228B">
        <w:rPr>
          <w:rFonts w:ascii="Times New Roman" w:hAnsi="Times New Roman"/>
        </w:rPr>
        <w:t xml:space="preserve"> amounts of </w:t>
      </w:r>
      <w:r>
        <w:rPr>
          <w:rFonts w:ascii="Times New Roman" w:hAnsi="Times New Roman"/>
        </w:rPr>
        <w:t xml:space="preserve">industrial </w:t>
      </w:r>
      <w:r w:rsidRPr="00D9228B">
        <w:rPr>
          <w:rFonts w:ascii="Times New Roman" w:hAnsi="Times New Roman"/>
        </w:rPr>
        <w:t>data for the benefit of the European economy and society. The legislative proposals for a Data Governance Act (presented in November 2020) and for a Data Act (forthcoming) are meant to build on, and be compliant with existing European legislation on privacy and data protection, notably the e-</w:t>
      </w:r>
      <w:r w:rsidRPr="005B5A67">
        <w:rPr>
          <w:rFonts w:ascii="Times New Roman" w:hAnsi="Times New Roman"/>
        </w:rPr>
        <w:t>Privacy Directive (2002/58/EC</w:t>
      </w:r>
      <w:r w:rsidRPr="00D9228B">
        <w:rPr>
          <w:rFonts w:ascii="Times New Roman" w:hAnsi="Times New Roman"/>
        </w:rPr>
        <w:t>) and the General Data Protection Regulation (GDPR, (EU) 2016/679), and fully respect European values and fundamental rights.</w:t>
      </w:r>
    </w:p>
    <w:p w:rsidR="001626E6" w:rsidRPr="000301E2" w:rsidRDefault="001626E6" w:rsidP="001626E6">
      <w:pPr>
        <w:widowControl w:val="0"/>
        <w:spacing w:after="120"/>
        <w:rPr>
          <w:rFonts w:ascii="Times New Roman" w:hAnsi="Times New Roman"/>
        </w:rPr>
      </w:pPr>
      <w:r w:rsidRPr="00D9228B">
        <w:rPr>
          <w:rFonts w:ascii="Times New Roman" w:hAnsi="Times New Roman"/>
        </w:rPr>
        <w:lastRenderedPageBreak/>
        <w:t xml:space="preserve">The Commission </w:t>
      </w:r>
      <w:r>
        <w:rPr>
          <w:rFonts w:ascii="Times New Roman" w:hAnsi="Times New Roman"/>
        </w:rPr>
        <w:t>also</w:t>
      </w:r>
      <w:r w:rsidRPr="00D9228B">
        <w:rPr>
          <w:rFonts w:ascii="Times New Roman" w:hAnsi="Times New Roman"/>
        </w:rPr>
        <w:t xml:space="preserve"> fully agrees with the Parliament on the need of making more data available for re-use for the general interest in Europe, including data generated by public undertakings (</w:t>
      </w:r>
      <w:r w:rsidRPr="000301E2">
        <w:rPr>
          <w:rFonts w:ascii="Times New Roman" w:hAnsi="Times New Roman"/>
          <w:b/>
          <w:bCs/>
        </w:rPr>
        <w:t>paragraph 25</w:t>
      </w:r>
      <w:r w:rsidRPr="00D9228B">
        <w:rPr>
          <w:rFonts w:ascii="Times New Roman" w:hAnsi="Times New Roman"/>
        </w:rPr>
        <w:t>). In this regard, the Open Data Directive ((EU) 2019/1024) aims to minimise the risk of data lock-in in the case of public–private agreements con</w:t>
      </w:r>
      <w:r>
        <w:rPr>
          <w:rFonts w:ascii="Times New Roman" w:hAnsi="Times New Roman"/>
        </w:rPr>
        <w:t>cerning public sector data. An implementing r</w:t>
      </w:r>
      <w:r w:rsidRPr="00D9228B">
        <w:rPr>
          <w:rFonts w:ascii="Times New Roman" w:hAnsi="Times New Roman"/>
        </w:rPr>
        <w:t xml:space="preserve">egulation planned for 2021 </w:t>
      </w:r>
      <w:proofErr w:type="gramStart"/>
      <w:r w:rsidRPr="00D9228B">
        <w:rPr>
          <w:rFonts w:ascii="Times New Roman" w:hAnsi="Times New Roman"/>
        </w:rPr>
        <w:t>is intended</w:t>
      </w:r>
      <w:proofErr w:type="gramEnd"/>
      <w:r w:rsidRPr="00D9228B">
        <w:rPr>
          <w:rFonts w:ascii="Times New Roman" w:hAnsi="Times New Roman"/>
        </w:rPr>
        <w:t xml:space="preserve"> to </w:t>
      </w:r>
      <w:r>
        <w:rPr>
          <w:rFonts w:ascii="Times New Roman" w:hAnsi="Times New Roman"/>
        </w:rPr>
        <w:t xml:space="preserve">further </w:t>
      </w:r>
      <w:r w:rsidRPr="00D9228B">
        <w:rPr>
          <w:rFonts w:ascii="Times New Roman" w:hAnsi="Times New Roman"/>
        </w:rPr>
        <w:t>contribute to unleash</w:t>
      </w:r>
      <w:r>
        <w:rPr>
          <w:rFonts w:ascii="Times New Roman" w:hAnsi="Times New Roman"/>
        </w:rPr>
        <w:t>ing</w:t>
      </w:r>
      <w:r w:rsidRPr="00D9228B">
        <w:rPr>
          <w:rFonts w:ascii="Times New Roman" w:hAnsi="Times New Roman"/>
        </w:rPr>
        <w:t xml:space="preserve"> the socio-economic potential of data as public good by defining the list of specific high-value datasets within six thematic categories (geospatial, earth observation and environment, meteorological, statistics, mobility, and companies). Such datasets will have to be made available </w:t>
      </w:r>
      <w:proofErr w:type="gramStart"/>
      <w:r w:rsidRPr="00D9228B">
        <w:rPr>
          <w:rFonts w:ascii="Times New Roman" w:hAnsi="Times New Roman"/>
        </w:rPr>
        <w:t>for free</w:t>
      </w:r>
      <w:proofErr w:type="gramEnd"/>
      <w:r w:rsidRPr="00D9228B">
        <w:rPr>
          <w:rFonts w:ascii="Times New Roman" w:hAnsi="Times New Roman"/>
        </w:rPr>
        <w:t xml:space="preserve">, in machine-readable formats, via </w:t>
      </w:r>
      <w:r w:rsidRPr="00475150">
        <w:rPr>
          <w:rFonts w:ascii="Times New Roman" w:hAnsi="Times New Roman"/>
        </w:rPr>
        <w:t>application program interface</w:t>
      </w:r>
      <w:r>
        <w:rPr>
          <w:rFonts w:ascii="Times New Roman" w:hAnsi="Times New Roman"/>
        </w:rPr>
        <w:t>s (APIs)</w:t>
      </w:r>
      <w:r w:rsidRPr="00D9228B">
        <w:rPr>
          <w:rFonts w:ascii="Times New Roman" w:hAnsi="Times New Roman"/>
        </w:rPr>
        <w:t xml:space="preserve"> and (where relevant) as bulk downloads.</w:t>
      </w:r>
    </w:p>
    <w:p w:rsidR="001626E6" w:rsidRPr="000301E2" w:rsidRDefault="001626E6" w:rsidP="001626E6">
      <w:pPr>
        <w:widowControl w:val="0"/>
        <w:spacing w:after="120"/>
        <w:rPr>
          <w:rFonts w:ascii="Times New Roman" w:hAnsi="Times New Roman"/>
        </w:rPr>
      </w:pPr>
      <w:r>
        <w:rPr>
          <w:rFonts w:ascii="Times New Roman" w:hAnsi="Times New Roman"/>
        </w:rPr>
        <w:t>Concerning</w:t>
      </w:r>
      <w:r w:rsidRPr="00D9228B">
        <w:rPr>
          <w:rFonts w:ascii="Times New Roman" w:hAnsi="Times New Roman"/>
        </w:rPr>
        <w:t xml:space="preserve"> </w:t>
      </w:r>
      <w:r w:rsidRPr="00514A0D">
        <w:rPr>
          <w:rFonts w:ascii="Times New Roman" w:hAnsi="Times New Roman"/>
          <w:b/>
        </w:rPr>
        <w:t>paragraph 30</w:t>
      </w:r>
      <w:r>
        <w:rPr>
          <w:rFonts w:ascii="Times New Roman" w:hAnsi="Times New Roman"/>
        </w:rPr>
        <w:t>, t</w:t>
      </w:r>
      <w:r w:rsidRPr="00D9228B">
        <w:rPr>
          <w:rFonts w:ascii="Times New Roman" w:hAnsi="Times New Roman"/>
        </w:rPr>
        <w:t xml:space="preserve">he Commission will provide more guidance on how the existing EU consumer law framework </w:t>
      </w:r>
      <w:proofErr w:type="gramStart"/>
      <w:r w:rsidRPr="00D9228B">
        <w:rPr>
          <w:rFonts w:ascii="Times New Roman" w:hAnsi="Times New Roman"/>
        </w:rPr>
        <w:t>can be applied</w:t>
      </w:r>
      <w:proofErr w:type="gramEnd"/>
      <w:r w:rsidRPr="00D9228B">
        <w:rPr>
          <w:rFonts w:ascii="Times New Roman" w:hAnsi="Times New Roman"/>
        </w:rPr>
        <w:t xml:space="preserve"> to new problematic practices in the digital area </w:t>
      </w:r>
      <w:r w:rsidRPr="008B3AE0">
        <w:rPr>
          <w:rFonts w:ascii="Times New Roman" w:hAnsi="Times New Roman"/>
        </w:rPr>
        <w:t xml:space="preserve">by updating the guidance documents on the Unfair Commercial Practices Directive </w:t>
      </w:r>
      <w:r>
        <w:rPr>
          <w:rFonts w:ascii="Times New Roman" w:hAnsi="Times New Roman"/>
        </w:rPr>
        <w:t>(</w:t>
      </w:r>
      <w:r w:rsidRPr="007C4C07">
        <w:rPr>
          <w:rFonts w:ascii="Times New Roman" w:hAnsi="Times New Roman"/>
        </w:rPr>
        <w:t>2005/29/EC</w:t>
      </w:r>
      <w:r>
        <w:rPr>
          <w:rFonts w:ascii="Times New Roman" w:hAnsi="Times New Roman"/>
        </w:rPr>
        <w:t xml:space="preserve">) </w:t>
      </w:r>
      <w:r w:rsidRPr="008B3AE0">
        <w:rPr>
          <w:rFonts w:ascii="Times New Roman" w:hAnsi="Times New Roman"/>
        </w:rPr>
        <w:t>and on the Consumer Rights Directive</w:t>
      </w:r>
      <w:r>
        <w:rPr>
          <w:rFonts w:ascii="Times New Roman" w:hAnsi="Times New Roman"/>
        </w:rPr>
        <w:t xml:space="preserve"> (</w:t>
      </w:r>
      <w:r w:rsidRPr="007C4C07">
        <w:rPr>
          <w:rFonts w:ascii="Times New Roman" w:hAnsi="Times New Roman"/>
        </w:rPr>
        <w:t>2011/83/EU</w:t>
      </w:r>
      <w:r>
        <w:rPr>
          <w:rFonts w:ascii="Times New Roman" w:hAnsi="Times New Roman"/>
        </w:rPr>
        <w:t>)</w:t>
      </w:r>
      <w:r w:rsidRPr="008B3AE0">
        <w:rPr>
          <w:rFonts w:ascii="Times New Roman" w:hAnsi="Times New Roman"/>
        </w:rPr>
        <w:t xml:space="preserve"> based on the recent amendments to EU consumer law</w:t>
      </w:r>
      <w:r>
        <w:rPr>
          <w:rFonts w:ascii="Times New Roman" w:hAnsi="Times New Roman"/>
        </w:rPr>
        <w:t>. The Commission</w:t>
      </w:r>
      <w:r w:rsidRPr="004173D3">
        <w:rPr>
          <w:rFonts w:ascii="Times New Roman" w:hAnsi="Times New Roman"/>
        </w:rPr>
        <w:t xml:space="preserve"> further investigate</w:t>
      </w:r>
      <w:r>
        <w:rPr>
          <w:rFonts w:ascii="Times New Roman" w:hAnsi="Times New Roman"/>
        </w:rPr>
        <w:t>s</w:t>
      </w:r>
      <w:r w:rsidRPr="004173D3">
        <w:rPr>
          <w:rFonts w:ascii="Times New Roman" w:hAnsi="Times New Roman"/>
        </w:rPr>
        <w:t>, including through studies, new practices that raise fairness concerns</w:t>
      </w:r>
      <w:r>
        <w:rPr>
          <w:rFonts w:ascii="Times New Roman" w:hAnsi="Times New Roman"/>
        </w:rPr>
        <w:t xml:space="preserve"> for consumers </w:t>
      </w:r>
      <w:proofErr w:type="gramStart"/>
      <w:r>
        <w:rPr>
          <w:rFonts w:ascii="Times New Roman" w:hAnsi="Times New Roman"/>
        </w:rPr>
        <w:t>and</w:t>
      </w:r>
      <w:r w:rsidRPr="004173D3">
        <w:rPr>
          <w:rFonts w:ascii="Times New Roman" w:hAnsi="Times New Roman"/>
        </w:rPr>
        <w:t xml:space="preserve"> also</w:t>
      </w:r>
      <w:proofErr w:type="gramEnd"/>
      <w:r w:rsidRPr="004173D3">
        <w:rPr>
          <w:rFonts w:ascii="Times New Roman" w:hAnsi="Times New Roman"/>
        </w:rPr>
        <w:t xml:space="preserve"> works on the modernisation of the relevant legislation. For example, the Commission’s recent proposal to replace the</w:t>
      </w:r>
      <w:r w:rsidRPr="004173D3" w:rsidDel="00287284">
        <w:rPr>
          <w:rFonts w:ascii="Times New Roman" w:hAnsi="Times New Roman"/>
        </w:rPr>
        <w:t xml:space="preserve"> </w:t>
      </w:r>
      <w:r w:rsidRPr="004173D3">
        <w:rPr>
          <w:rFonts w:ascii="Times New Roman" w:hAnsi="Times New Roman"/>
        </w:rPr>
        <w:t>General Product Safety Directive (2001/95/EC) with a new General Product Safety Regulation also addresses the safety of products linked to new technologies and AI as well as on the challenges posed by the growth of online sales and the role of online marketplaces in the constantly developing supply-chain. The</w:t>
      </w:r>
      <w:r>
        <w:rPr>
          <w:rFonts w:ascii="Times New Roman" w:hAnsi="Times New Roman"/>
        </w:rPr>
        <w:t xml:space="preserve"> new Commission proposal for a d</w:t>
      </w:r>
      <w:r w:rsidRPr="004173D3">
        <w:rPr>
          <w:rFonts w:ascii="Times New Roman" w:hAnsi="Times New Roman"/>
        </w:rPr>
        <w:t xml:space="preserve">irective on consumer credits also aims at addressing developments brought by digitalisation, including the use of automated processing for providing personalised offers to consumers and for creditworthiness assessments. </w:t>
      </w:r>
      <w:r>
        <w:rPr>
          <w:rFonts w:ascii="Times New Roman" w:hAnsi="Times New Roman"/>
        </w:rPr>
        <w:t>The proposed</w:t>
      </w:r>
      <w:r w:rsidRPr="004173D3">
        <w:rPr>
          <w:rFonts w:ascii="Times New Roman" w:hAnsi="Times New Roman"/>
        </w:rPr>
        <w:t xml:space="preserve"> Digital Services Act</w:t>
      </w:r>
      <w:r>
        <w:rPr>
          <w:rFonts w:ascii="Times New Roman" w:hAnsi="Times New Roman"/>
        </w:rPr>
        <w:t xml:space="preserve"> is also very relevant in this context</w:t>
      </w:r>
      <w:r w:rsidRPr="004173D3">
        <w:rPr>
          <w:rFonts w:ascii="Times New Roman" w:hAnsi="Times New Roman"/>
        </w:rPr>
        <w:t xml:space="preserve">, </w:t>
      </w:r>
      <w:r>
        <w:rPr>
          <w:rFonts w:ascii="Times New Roman" w:hAnsi="Times New Roman"/>
        </w:rPr>
        <w:t>in particular as regards the</w:t>
      </w:r>
      <w:r w:rsidRPr="004173D3">
        <w:rPr>
          <w:rFonts w:ascii="Times New Roman" w:hAnsi="Times New Roman"/>
        </w:rPr>
        <w:t xml:space="preserve"> disseminat</w:t>
      </w:r>
      <w:r>
        <w:rPr>
          <w:rFonts w:ascii="Times New Roman" w:hAnsi="Times New Roman"/>
        </w:rPr>
        <w:t>ion of</w:t>
      </w:r>
      <w:r w:rsidRPr="004173D3">
        <w:rPr>
          <w:rFonts w:ascii="Times New Roman" w:hAnsi="Times New Roman"/>
        </w:rPr>
        <w:t xml:space="preserve"> illegal content, including selling dangerous products or infringing consumer protection rules. The Commission’s proposals on the Digital Services Act and on the General Product Safety Regulation </w:t>
      </w:r>
      <w:proofErr w:type="gramStart"/>
      <w:r w:rsidRPr="004173D3">
        <w:rPr>
          <w:rFonts w:ascii="Times New Roman" w:hAnsi="Times New Roman"/>
        </w:rPr>
        <w:t>are fully aligned</w:t>
      </w:r>
      <w:proofErr w:type="gramEnd"/>
      <w:r w:rsidRPr="004173D3">
        <w:rPr>
          <w:rFonts w:ascii="Times New Roman" w:hAnsi="Times New Roman"/>
        </w:rPr>
        <w:t xml:space="preserve"> and are building on each other.</w:t>
      </w:r>
      <w:r>
        <w:rPr>
          <w:rFonts w:ascii="Times New Roman" w:hAnsi="Times New Roman"/>
        </w:rPr>
        <w:t xml:space="preserve"> </w:t>
      </w:r>
      <w:r w:rsidRPr="00D9228B">
        <w:rPr>
          <w:rFonts w:ascii="Times New Roman" w:hAnsi="Times New Roman"/>
        </w:rPr>
        <w:t xml:space="preserve">The Commission is also working closely with </w:t>
      </w:r>
      <w:r>
        <w:rPr>
          <w:rFonts w:ascii="Times New Roman" w:hAnsi="Times New Roman"/>
        </w:rPr>
        <w:t xml:space="preserve">the </w:t>
      </w:r>
      <w:r w:rsidRPr="00D9228B">
        <w:rPr>
          <w:rFonts w:ascii="Times New Roman" w:hAnsi="Times New Roman"/>
        </w:rPr>
        <w:t xml:space="preserve">Member States on the transposition of recent amendments to EU consumer law. The Commission </w:t>
      </w:r>
      <w:r>
        <w:rPr>
          <w:rFonts w:ascii="Times New Roman" w:hAnsi="Times New Roman"/>
        </w:rPr>
        <w:t>works</w:t>
      </w:r>
      <w:r w:rsidRPr="00D9228B">
        <w:rPr>
          <w:rFonts w:ascii="Times New Roman" w:hAnsi="Times New Roman"/>
        </w:rPr>
        <w:t xml:space="preserve"> with the competent national authorities to strengthen their cooperation within the Consumer Protection Cooperation network</w:t>
      </w:r>
      <w:r>
        <w:rPr>
          <w:rFonts w:ascii="Times New Roman" w:hAnsi="Times New Roman"/>
        </w:rPr>
        <w:t>,</w:t>
      </w:r>
      <w:r w:rsidRPr="00D9228B">
        <w:rPr>
          <w:rFonts w:ascii="Times New Roman" w:hAnsi="Times New Roman"/>
        </w:rPr>
        <w:t xml:space="preserve"> and will continue investing in digital enforcement capacities. In the coming years, an </w:t>
      </w:r>
      <w:r>
        <w:rPr>
          <w:rFonts w:ascii="Times New Roman" w:hAnsi="Times New Roman"/>
        </w:rPr>
        <w:t>e</w:t>
      </w:r>
      <w:r w:rsidRPr="00D9228B">
        <w:rPr>
          <w:rFonts w:ascii="Times New Roman" w:hAnsi="Times New Roman"/>
        </w:rPr>
        <w:t xml:space="preserve">-lab is planned to be set up at EU level (the </w:t>
      </w:r>
      <w:r>
        <w:rPr>
          <w:rFonts w:ascii="Times New Roman" w:hAnsi="Times New Roman"/>
        </w:rPr>
        <w:t>‘</w:t>
      </w:r>
      <w:r w:rsidRPr="00D9228B">
        <w:rPr>
          <w:rFonts w:ascii="Times New Roman" w:hAnsi="Times New Roman"/>
        </w:rPr>
        <w:t xml:space="preserve">EU </w:t>
      </w:r>
      <w:proofErr w:type="spellStart"/>
      <w:r w:rsidRPr="00D9228B">
        <w:rPr>
          <w:rFonts w:ascii="Times New Roman" w:hAnsi="Times New Roman"/>
        </w:rPr>
        <w:t>eLab</w:t>
      </w:r>
      <w:proofErr w:type="spellEnd"/>
      <w:r>
        <w:rPr>
          <w:rFonts w:ascii="Times New Roman" w:hAnsi="Times New Roman"/>
        </w:rPr>
        <w:t>’</w:t>
      </w:r>
      <w:r w:rsidRPr="00D9228B">
        <w:rPr>
          <w:rFonts w:ascii="Times New Roman" w:hAnsi="Times New Roman"/>
        </w:rPr>
        <w:t>), which should place technologies (software, other tools and devices) at the disposal of national authorities to conduct various investigations, mystery shopping, accessing the offers and interacting with traders’ technologies in the same manner as typical consumers.</w:t>
      </w:r>
      <w:r w:rsidRPr="00514A0D">
        <w:rPr>
          <w:rFonts w:ascii="Times New Roman" w:hAnsi="Times New Roman"/>
        </w:rPr>
        <w:t xml:space="preserve"> The Commission is also about to deploy a modern digital e-surveillance tool by the end of 2021, which will support market surveillance authorities in their investigations, monitoring and  efforts to ensure offers of dangerous products sold online can be effectively removed.</w:t>
      </w:r>
    </w:p>
    <w:p w:rsidR="001626E6" w:rsidRDefault="001626E6" w:rsidP="001626E6">
      <w:pPr>
        <w:widowControl w:val="0"/>
        <w:spacing w:after="120"/>
        <w:rPr>
          <w:rFonts w:ascii="Times New Roman" w:hAnsi="Times New Roman"/>
        </w:rPr>
      </w:pPr>
      <w:r w:rsidRPr="00D9228B">
        <w:rPr>
          <w:rFonts w:ascii="Times New Roman" w:hAnsi="Times New Roman"/>
        </w:rPr>
        <w:t>As regards geo-blocking (</w:t>
      </w:r>
      <w:r w:rsidRPr="000301E2">
        <w:rPr>
          <w:rFonts w:ascii="Times New Roman" w:hAnsi="Times New Roman"/>
          <w:b/>
          <w:bCs/>
        </w:rPr>
        <w:t>paragraph 31</w:t>
      </w:r>
      <w:r w:rsidRPr="00D9228B">
        <w:rPr>
          <w:rFonts w:ascii="Times New Roman" w:hAnsi="Times New Roman"/>
        </w:rPr>
        <w:t xml:space="preserve">), the Commission is fully engaged with the national competent authorities </w:t>
      </w:r>
      <w:r>
        <w:rPr>
          <w:rFonts w:ascii="Times New Roman" w:hAnsi="Times New Roman"/>
        </w:rPr>
        <w:t>with a view to</w:t>
      </w:r>
      <w:r w:rsidRPr="00D9228B">
        <w:rPr>
          <w:rFonts w:ascii="Times New Roman" w:hAnsi="Times New Roman"/>
        </w:rPr>
        <w:t xml:space="preserve"> strengthen</w:t>
      </w:r>
      <w:r>
        <w:rPr>
          <w:rFonts w:ascii="Times New Roman" w:hAnsi="Times New Roman"/>
        </w:rPr>
        <w:t>ing</w:t>
      </w:r>
      <w:r w:rsidRPr="00D9228B">
        <w:rPr>
          <w:rFonts w:ascii="Times New Roman" w:hAnsi="Times New Roman"/>
        </w:rPr>
        <w:t xml:space="preserve"> their cooperation within the Consumer Protection Cooperation network and </w:t>
      </w:r>
      <w:r>
        <w:rPr>
          <w:rFonts w:ascii="Times New Roman" w:hAnsi="Times New Roman"/>
        </w:rPr>
        <w:t xml:space="preserve">to </w:t>
      </w:r>
      <w:r w:rsidRPr="00D9228B">
        <w:rPr>
          <w:rFonts w:ascii="Times New Roman" w:hAnsi="Times New Roman"/>
        </w:rPr>
        <w:t xml:space="preserve">provide further guidance. It will also monitor developments with regard to the effects of other measures that aim at facilitating the engagement of traders in cross-border trade, in view of its stocktaking exercise in 2022. As indicated in the Commission’s Media and </w:t>
      </w:r>
      <w:proofErr w:type="spellStart"/>
      <w:r w:rsidRPr="00D9228B">
        <w:rPr>
          <w:rFonts w:ascii="Times New Roman" w:hAnsi="Times New Roman"/>
        </w:rPr>
        <w:t>Audiovisual</w:t>
      </w:r>
      <w:proofErr w:type="spellEnd"/>
      <w:r w:rsidRPr="00D9228B">
        <w:rPr>
          <w:rFonts w:ascii="Times New Roman" w:hAnsi="Times New Roman"/>
        </w:rPr>
        <w:t xml:space="preserve"> Action Plan (COM(2020) 784 final), in the course of 2021 the Commission will launch a dialogue with the </w:t>
      </w:r>
      <w:proofErr w:type="spellStart"/>
      <w:r w:rsidRPr="00D9228B">
        <w:rPr>
          <w:rFonts w:ascii="Times New Roman" w:hAnsi="Times New Roman"/>
        </w:rPr>
        <w:t>audiovisual</w:t>
      </w:r>
      <w:proofErr w:type="spellEnd"/>
      <w:r w:rsidRPr="00D9228B">
        <w:rPr>
          <w:rFonts w:ascii="Times New Roman" w:hAnsi="Times New Roman"/>
        </w:rPr>
        <w:t xml:space="preserve"> sector to agree on concrete steps to improve access to and availability of </w:t>
      </w:r>
      <w:proofErr w:type="spellStart"/>
      <w:r w:rsidRPr="00D9228B">
        <w:rPr>
          <w:rFonts w:ascii="Times New Roman" w:hAnsi="Times New Roman"/>
        </w:rPr>
        <w:t>audiovisual</w:t>
      </w:r>
      <w:proofErr w:type="spellEnd"/>
      <w:r w:rsidRPr="00D9228B">
        <w:rPr>
          <w:rFonts w:ascii="Times New Roman" w:hAnsi="Times New Roman"/>
        </w:rPr>
        <w:t xml:space="preserve"> content across borders.</w:t>
      </w:r>
    </w:p>
    <w:p w:rsidR="001626E6" w:rsidRDefault="001626E6" w:rsidP="001626E6">
      <w:pPr>
        <w:spacing w:after="200" w:line="276" w:lineRule="auto"/>
        <w:jc w:val="left"/>
        <w:rPr>
          <w:rFonts w:ascii="Times New Roman" w:hAnsi="Times New Roman"/>
        </w:rPr>
      </w:pPr>
    </w:p>
    <w:p w:rsidR="001626E6" w:rsidRDefault="001626E6" w:rsidP="001626E6">
      <w:pPr>
        <w:widowControl w:val="0"/>
        <w:spacing w:after="120"/>
        <w:rPr>
          <w:rStyle w:val="BoldItalic"/>
        </w:rPr>
      </w:pPr>
      <w:r w:rsidRPr="000301E2">
        <w:rPr>
          <w:rStyle w:val="BoldItalic"/>
        </w:rPr>
        <w:lastRenderedPageBreak/>
        <w:t>Part 2: improving the use of AI for European consumers</w:t>
      </w:r>
    </w:p>
    <w:p w:rsidR="001626E6" w:rsidRPr="000301E2" w:rsidRDefault="001626E6" w:rsidP="001626E6">
      <w:pPr>
        <w:widowControl w:val="0"/>
        <w:spacing w:after="120"/>
        <w:rPr>
          <w:rFonts w:ascii="Times New Roman" w:hAnsi="Times New Roman"/>
        </w:rPr>
      </w:pPr>
      <w:proofErr w:type="gramStart"/>
      <w:r w:rsidRPr="00D9228B">
        <w:rPr>
          <w:rFonts w:ascii="Times New Roman" w:hAnsi="Times New Roman"/>
        </w:rPr>
        <w:t xml:space="preserve">Regarding the importance of the effective collaboration with </w:t>
      </w:r>
      <w:r>
        <w:rPr>
          <w:rFonts w:ascii="Times New Roman" w:hAnsi="Times New Roman"/>
        </w:rPr>
        <w:t xml:space="preserve">the </w:t>
      </w:r>
      <w:r w:rsidRPr="00D9228B">
        <w:rPr>
          <w:rFonts w:ascii="Times New Roman" w:hAnsi="Times New Roman"/>
        </w:rPr>
        <w:t>Member States</w:t>
      </w:r>
      <w:r>
        <w:rPr>
          <w:rFonts w:ascii="Times New Roman" w:hAnsi="Times New Roman"/>
        </w:rPr>
        <w:t xml:space="preserve"> and all stakeholders </w:t>
      </w:r>
      <w:r w:rsidRPr="00D9228B">
        <w:rPr>
          <w:rFonts w:ascii="Times New Roman" w:hAnsi="Times New Roman"/>
        </w:rPr>
        <w:t>(</w:t>
      </w:r>
      <w:r w:rsidRPr="00D9228B">
        <w:rPr>
          <w:rFonts w:ascii="Times New Roman" w:hAnsi="Times New Roman"/>
          <w:b/>
          <w:bCs/>
        </w:rPr>
        <w:t>paragraph 36</w:t>
      </w:r>
      <w:r w:rsidRPr="00D9228B">
        <w:rPr>
          <w:rFonts w:ascii="Times New Roman" w:hAnsi="Times New Roman"/>
        </w:rPr>
        <w:t>), in drafting the proposal for the AI Act, the Commission took into account the views expressed i</w:t>
      </w:r>
      <w:r>
        <w:rPr>
          <w:rFonts w:ascii="Times New Roman" w:hAnsi="Times New Roman"/>
        </w:rPr>
        <w:t xml:space="preserve">n the more than 1 </w:t>
      </w:r>
      <w:r w:rsidRPr="00D9228B">
        <w:rPr>
          <w:rFonts w:ascii="Times New Roman" w:hAnsi="Times New Roman"/>
        </w:rPr>
        <w:t>200 responses to the public consultation that followed the publication of the White Paper ‘on Artificial Intelligence – a European approach to excellence and trust’ (</w:t>
      </w:r>
      <w:r>
        <w:rPr>
          <w:rFonts w:ascii="Times New Roman" w:hAnsi="Times New Roman"/>
        </w:rPr>
        <w:t xml:space="preserve">‘White Paper on AI’, </w:t>
      </w:r>
      <w:r w:rsidRPr="00D9228B">
        <w:rPr>
          <w:rFonts w:ascii="Times New Roman" w:hAnsi="Times New Roman"/>
        </w:rPr>
        <w:t>COM(2020) 65 final), and the views of representatives of the private sector, civil society and the scientific community as expressed in numerous meetings.</w:t>
      </w:r>
      <w:proofErr w:type="gramEnd"/>
      <w:r w:rsidRPr="00D9228B">
        <w:rPr>
          <w:rFonts w:ascii="Times New Roman" w:hAnsi="Times New Roman"/>
        </w:rPr>
        <w:t xml:space="preserve"> </w:t>
      </w:r>
      <w:r>
        <w:rPr>
          <w:rFonts w:ascii="Times New Roman" w:hAnsi="Times New Roman"/>
        </w:rPr>
        <w:t>T</w:t>
      </w:r>
      <w:r w:rsidRPr="00D9228B">
        <w:rPr>
          <w:rFonts w:ascii="Times New Roman" w:hAnsi="Times New Roman"/>
        </w:rPr>
        <w:t xml:space="preserve">he proposed minimum requirements for high-risk AI systems laid down in the proposed AI Act are </w:t>
      </w:r>
      <w:r>
        <w:rPr>
          <w:rFonts w:ascii="Times New Roman" w:hAnsi="Times New Roman"/>
        </w:rPr>
        <w:t xml:space="preserve">also </w:t>
      </w:r>
      <w:r w:rsidRPr="00D9228B">
        <w:rPr>
          <w:rFonts w:ascii="Times New Roman" w:hAnsi="Times New Roman"/>
        </w:rPr>
        <w:t>the result of two years of preparatory work, derived from the Ethics Guidelines for Trustworthy AI prepared by a High-Level Expert Group on AI, which had an inclusive and broad membership of 52 well-known experts. Moreover, the propos</w:t>
      </w:r>
      <w:r>
        <w:rPr>
          <w:rFonts w:ascii="Times New Roman" w:hAnsi="Times New Roman"/>
        </w:rPr>
        <w:t>ed</w:t>
      </w:r>
      <w:r w:rsidRPr="00D9228B">
        <w:rPr>
          <w:rFonts w:ascii="Times New Roman" w:hAnsi="Times New Roman"/>
        </w:rPr>
        <w:t xml:space="preserve"> AI Act envisages the possibility of stakeholder participation in the governance framework and in the development of voluntary codes of conduct for trustworthy AI. </w:t>
      </w:r>
      <w:r>
        <w:rPr>
          <w:rFonts w:ascii="Times New Roman" w:hAnsi="Times New Roman"/>
        </w:rPr>
        <w:t>Furthermore, t</w:t>
      </w:r>
      <w:r w:rsidRPr="00D9228B">
        <w:rPr>
          <w:rFonts w:ascii="Times New Roman" w:hAnsi="Times New Roman"/>
        </w:rPr>
        <w:t xml:space="preserve">he revised Coordinated Plan on AI, </w:t>
      </w:r>
      <w:r>
        <w:rPr>
          <w:rFonts w:ascii="Times New Roman" w:hAnsi="Times New Roman"/>
        </w:rPr>
        <w:t xml:space="preserve">prepared </w:t>
      </w:r>
      <w:r w:rsidRPr="00D9228B">
        <w:rPr>
          <w:rFonts w:ascii="Times New Roman" w:hAnsi="Times New Roman"/>
        </w:rPr>
        <w:t>in close collaboration with Member States, encourages synergies and identifies key action areas where partnership with stakeholders is particularly beneficial. It makes concrete proposals in the context of a significantly different AI landscape and new funding made available through the new Multiannual Financial Framework and the RRF. Finally, the European AI Alliance, launched in June 2018 within the framework of the European Strategy on Artificial Intelligence, brings together a diverse set of participants and has become a point of reference in stakeholder-driven discussions on AI policy.</w:t>
      </w:r>
    </w:p>
    <w:p w:rsidR="001626E6" w:rsidRDefault="001626E6" w:rsidP="001626E6">
      <w:pPr>
        <w:widowControl w:val="0"/>
        <w:spacing w:after="120"/>
        <w:rPr>
          <w:rFonts w:ascii="Times New Roman" w:hAnsi="Times New Roman"/>
        </w:rPr>
      </w:pPr>
      <w:proofErr w:type="gramStart"/>
      <w:r>
        <w:rPr>
          <w:rFonts w:ascii="Times New Roman" w:hAnsi="Times New Roman"/>
        </w:rPr>
        <w:t>Concerning</w:t>
      </w:r>
      <w:r w:rsidRPr="00D9228B">
        <w:rPr>
          <w:rFonts w:ascii="Times New Roman" w:hAnsi="Times New Roman"/>
        </w:rPr>
        <w:t xml:space="preserve"> the need to ensure close cooperation between the Commission and the Member States in the </w:t>
      </w:r>
      <w:r>
        <w:rPr>
          <w:rFonts w:ascii="Times New Roman" w:hAnsi="Times New Roman"/>
        </w:rPr>
        <w:t>enforcement</w:t>
      </w:r>
      <w:r w:rsidRPr="00D9228B">
        <w:rPr>
          <w:rFonts w:ascii="Times New Roman" w:hAnsi="Times New Roman"/>
        </w:rPr>
        <w:t xml:space="preserve"> of the </w:t>
      </w:r>
      <w:r>
        <w:rPr>
          <w:rFonts w:ascii="Times New Roman" w:hAnsi="Times New Roman"/>
        </w:rPr>
        <w:t>AI Act</w:t>
      </w:r>
      <w:r w:rsidRPr="00D9228B">
        <w:rPr>
          <w:rFonts w:ascii="Times New Roman" w:hAnsi="Times New Roman"/>
        </w:rPr>
        <w:t xml:space="preserve"> (</w:t>
      </w:r>
      <w:r w:rsidRPr="00D9228B">
        <w:rPr>
          <w:rFonts w:ascii="Times New Roman" w:hAnsi="Times New Roman"/>
          <w:b/>
          <w:bCs/>
        </w:rPr>
        <w:t>paragraph 45</w:t>
      </w:r>
      <w:r w:rsidRPr="00D9228B">
        <w:rPr>
          <w:rFonts w:ascii="Times New Roman" w:hAnsi="Times New Roman"/>
        </w:rPr>
        <w:t>),</w:t>
      </w:r>
      <w:r>
        <w:rPr>
          <w:rFonts w:ascii="Times New Roman" w:hAnsi="Times New Roman"/>
        </w:rPr>
        <w:t xml:space="preserve"> </w:t>
      </w:r>
      <w:r w:rsidRPr="00D9228B">
        <w:rPr>
          <w:rFonts w:ascii="Times New Roman" w:hAnsi="Times New Roman"/>
        </w:rPr>
        <w:t xml:space="preserve">the Commission proposed a coherent governance mechanism and, in particular, the creation of </w:t>
      </w:r>
      <w:r>
        <w:rPr>
          <w:rFonts w:ascii="Times New Roman" w:hAnsi="Times New Roman"/>
        </w:rPr>
        <w:t>a</w:t>
      </w:r>
      <w:r w:rsidRPr="00D9228B">
        <w:rPr>
          <w:rFonts w:ascii="Times New Roman" w:hAnsi="Times New Roman"/>
        </w:rPr>
        <w:t xml:space="preserve"> European AI Board with the purpose to </w:t>
      </w:r>
      <w:r w:rsidRPr="00DF7A5A">
        <w:rPr>
          <w:rFonts w:ascii="Times New Roman" w:hAnsi="Times New Roman"/>
        </w:rPr>
        <w:t xml:space="preserve">assist the national supervisory authorities and the Commission </w:t>
      </w:r>
      <w:r>
        <w:rPr>
          <w:rFonts w:ascii="Times New Roman" w:hAnsi="Times New Roman"/>
        </w:rPr>
        <w:t>in ensuring</w:t>
      </w:r>
      <w:r w:rsidRPr="00D9228B">
        <w:rPr>
          <w:rFonts w:ascii="Times New Roman" w:hAnsi="Times New Roman"/>
        </w:rPr>
        <w:t xml:space="preserve"> the </w:t>
      </w:r>
      <w:r>
        <w:rPr>
          <w:rFonts w:ascii="Times New Roman" w:hAnsi="Times New Roman"/>
        </w:rPr>
        <w:t>consistent</w:t>
      </w:r>
      <w:r w:rsidRPr="00D9228B">
        <w:rPr>
          <w:rFonts w:ascii="Times New Roman" w:hAnsi="Times New Roman"/>
        </w:rPr>
        <w:t xml:space="preserve"> and effective application of the </w:t>
      </w:r>
      <w:r>
        <w:rPr>
          <w:rFonts w:ascii="Times New Roman" w:hAnsi="Times New Roman"/>
        </w:rPr>
        <w:t xml:space="preserve">proposed </w:t>
      </w:r>
      <w:r w:rsidRPr="00D9228B">
        <w:rPr>
          <w:rFonts w:ascii="Times New Roman" w:hAnsi="Times New Roman"/>
        </w:rPr>
        <w:t>new rules across the digital single market.</w:t>
      </w:r>
      <w:proofErr w:type="gramEnd"/>
      <w:r w:rsidRPr="00D9228B">
        <w:rPr>
          <w:rFonts w:ascii="Times New Roman" w:hAnsi="Times New Roman"/>
        </w:rPr>
        <w:t xml:space="preserve"> The Board is to support the smooth coordination between national supervisory authorities and the </w:t>
      </w:r>
      <w:proofErr w:type="gramStart"/>
      <w:r w:rsidRPr="00D9228B">
        <w:rPr>
          <w:rFonts w:ascii="Times New Roman" w:hAnsi="Times New Roman"/>
        </w:rPr>
        <w:t xml:space="preserve">Commission </w:t>
      </w:r>
      <w:r>
        <w:rPr>
          <w:rFonts w:ascii="Times New Roman" w:hAnsi="Times New Roman"/>
        </w:rPr>
        <w:t xml:space="preserve">and </w:t>
      </w:r>
      <w:r w:rsidRPr="009770B8">
        <w:rPr>
          <w:rFonts w:ascii="Times New Roman" w:hAnsi="Times New Roman"/>
        </w:rPr>
        <w:t>coordinate</w:t>
      </w:r>
      <w:proofErr w:type="gramEnd"/>
      <w:r w:rsidRPr="009770B8">
        <w:rPr>
          <w:rFonts w:ascii="Times New Roman" w:hAnsi="Times New Roman"/>
        </w:rPr>
        <w:t xml:space="preserve"> and contribute to guidance and analysis </w:t>
      </w:r>
      <w:r w:rsidRPr="00BE4A79">
        <w:rPr>
          <w:rFonts w:ascii="Times New Roman" w:hAnsi="Times New Roman"/>
        </w:rPr>
        <w:t>with r</w:t>
      </w:r>
      <w:r w:rsidRPr="009770B8">
        <w:rPr>
          <w:rFonts w:ascii="Times New Roman" w:hAnsi="Times New Roman"/>
        </w:rPr>
        <w:t>egard to matters covered by th</w:t>
      </w:r>
      <w:r>
        <w:rPr>
          <w:rFonts w:ascii="Times New Roman" w:hAnsi="Times New Roman"/>
        </w:rPr>
        <w:t>e proposal</w:t>
      </w:r>
      <w:r w:rsidRPr="00D9228B">
        <w:rPr>
          <w:rFonts w:ascii="Times New Roman" w:hAnsi="Times New Roman"/>
        </w:rPr>
        <w:t xml:space="preserve"> (</w:t>
      </w:r>
      <w:r w:rsidRPr="00BE4A79">
        <w:rPr>
          <w:rFonts w:ascii="Times New Roman" w:hAnsi="Times New Roman"/>
        </w:rPr>
        <w:t>paragraph 13</w:t>
      </w:r>
      <w:r w:rsidRPr="00D9228B">
        <w:rPr>
          <w:rFonts w:ascii="Times New Roman" w:hAnsi="Times New Roman"/>
        </w:rPr>
        <w:t xml:space="preserve">). At the same time, </w:t>
      </w:r>
      <w:r>
        <w:rPr>
          <w:rFonts w:ascii="Times New Roman" w:hAnsi="Times New Roman"/>
        </w:rPr>
        <w:t xml:space="preserve">the </w:t>
      </w:r>
      <w:r w:rsidRPr="00D9228B">
        <w:rPr>
          <w:rFonts w:ascii="Times New Roman" w:hAnsi="Times New Roman"/>
        </w:rPr>
        <w:t xml:space="preserve">Member States </w:t>
      </w:r>
      <w:r>
        <w:rPr>
          <w:rFonts w:ascii="Times New Roman" w:hAnsi="Times New Roman"/>
        </w:rPr>
        <w:t>will</w:t>
      </w:r>
      <w:r w:rsidRPr="00D9228B">
        <w:rPr>
          <w:rFonts w:ascii="Times New Roman" w:hAnsi="Times New Roman"/>
        </w:rPr>
        <w:t xml:space="preserve"> be responsible for facilitating the coordination between market surveillance authorities and other relevant national – e.g. sectoral – authorities supervising the application of other Union legislation that may be of relevance to </w:t>
      </w:r>
      <w:r>
        <w:rPr>
          <w:rFonts w:ascii="Times New Roman" w:hAnsi="Times New Roman"/>
        </w:rPr>
        <w:t>AI</w:t>
      </w:r>
      <w:r w:rsidRPr="00D9228B">
        <w:rPr>
          <w:rFonts w:ascii="Times New Roman" w:hAnsi="Times New Roman"/>
        </w:rPr>
        <w:t>.</w:t>
      </w:r>
    </w:p>
    <w:p w:rsidR="001626E6" w:rsidRDefault="001626E6" w:rsidP="001626E6">
      <w:pPr>
        <w:widowControl w:val="0"/>
        <w:spacing w:after="120"/>
        <w:rPr>
          <w:rFonts w:ascii="Times New Roman" w:hAnsi="Times New Roman"/>
        </w:rPr>
      </w:pPr>
      <w:r>
        <w:rPr>
          <w:rFonts w:ascii="Times New Roman" w:hAnsi="Times New Roman"/>
        </w:rPr>
        <w:t>With regard to</w:t>
      </w:r>
      <w:r w:rsidRPr="00D9228B">
        <w:rPr>
          <w:rFonts w:ascii="Times New Roman" w:hAnsi="Times New Roman"/>
        </w:rPr>
        <w:t xml:space="preserve"> </w:t>
      </w:r>
      <w:r w:rsidRPr="000301E2">
        <w:rPr>
          <w:rFonts w:ascii="Times New Roman" w:hAnsi="Times New Roman"/>
          <w:b/>
          <w:bCs/>
        </w:rPr>
        <w:t>paragraph 40</w:t>
      </w:r>
      <w:r w:rsidRPr="00D9228B">
        <w:rPr>
          <w:rFonts w:ascii="Times New Roman" w:hAnsi="Times New Roman"/>
        </w:rPr>
        <w:t>, the Commission refers the Parliament to Article 59 of the proposed AI Act, which provide</w:t>
      </w:r>
      <w:r>
        <w:rPr>
          <w:rFonts w:ascii="Times New Roman" w:hAnsi="Times New Roman"/>
        </w:rPr>
        <w:t>s</w:t>
      </w:r>
      <w:r w:rsidRPr="00D9228B">
        <w:rPr>
          <w:rFonts w:ascii="Times New Roman" w:hAnsi="Times New Roman"/>
        </w:rPr>
        <w:t xml:space="preserve"> for, among others, appropriate competence and expertise of national competent authorities as well as regular assessments of their financial and human resources and exchange of experience. </w:t>
      </w:r>
      <w:r>
        <w:rPr>
          <w:rFonts w:ascii="Times New Roman" w:hAnsi="Times New Roman"/>
        </w:rPr>
        <w:t>Furthermore, t</w:t>
      </w:r>
      <w:r w:rsidRPr="00D9228B">
        <w:rPr>
          <w:rFonts w:ascii="Times New Roman" w:hAnsi="Times New Roman"/>
        </w:rPr>
        <w:t>he European AI Board</w:t>
      </w:r>
      <w:r>
        <w:rPr>
          <w:rFonts w:ascii="Times New Roman" w:hAnsi="Times New Roman"/>
        </w:rPr>
        <w:t>, mentioned above,</w:t>
      </w:r>
      <w:r w:rsidRPr="00D9228B">
        <w:rPr>
          <w:rFonts w:ascii="Times New Roman" w:hAnsi="Times New Roman"/>
        </w:rPr>
        <w:t xml:space="preserve"> </w:t>
      </w:r>
      <w:proofErr w:type="gramStart"/>
      <w:r w:rsidRPr="00D9228B">
        <w:rPr>
          <w:rFonts w:ascii="Times New Roman" w:hAnsi="Times New Roman"/>
        </w:rPr>
        <w:t>is meant</w:t>
      </w:r>
      <w:proofErr w:type="gramEnd"/>
      <w:r w:rsidRPr="00D9228B">
        <w:rPr>
          <w:rFonts w:ascii="Times New Roman" w:hAnsi="Times New Roman"/>
        </w:rPr>
        <w:t xml:space="preserve"> to have an important role in the improvement of the relevant governance framework. </w:t>
      </w:r>
      <w:r>
        <w:rPr>
          <w:rFonts w:ascii="Times New Roman" w:hAnsi="Times New Roman"/>
        </w:rPr>
        <w:t>It will</w:t>
      </w:r>
      <w:r w:rsidRPr="00D9228B">
        <w:rPr>
          <w:rFonts w:ascii="Times New Roman" w:hAnsi="Times New Roman"/>
        </w:rPr>
        <w:t xml:space="preserve"> be supported by the administrative structure of the Commission and an expert group provid</w:t>
      </w:r>
      <w:r>
        <w:rPr>
          <w:rFonts w:ascii="Times New Roman" w:hAnsi="Times New Roman"/>
        </w:rPr>
        <w:t>ing</w:t>
      </w:r>
      <w:r w:rsidRPr="00D9228B">
        <w:rPr>
          <w:rFonts w:ascii="Times New Roman" w:hAnsi="Times New Roman"/>
        </w:rPr>
        <w:t xml:space="preserve"> additi</w:t>
      </w:r>
      <w:r>
        <w:rPr>
          <w:rFonts w:ascii="Times New Roman" w:hAnsi="Times New Roman"/>
        </w:rPr>
        <w:t>onal expertise where required.</w:t>
      </w:r>
    </w:p>
    <w:p w:rsidR="001626E6" w:rsidRPr="000301E2" w:rsidRDefault="001626E6" w:rsidP="001626E6">
      <w:pPr>
        <w:widowControl w:val="0"/>
        <w:spacing w:after="120"/>
        <w:rPr>
          <w:rFonts w:ascii="Times New Roman" w:hAnsi="Times New Roman"/>
        </w:rPr>
      </w:pPr>
      <w:r w:rsidRPr="00D9228B">
        <w:rPr>
          <w:rFonts w:ascii="Times New Roman" w:hAnsi="Times New Roman"/>
        </w:rPr>
        <w:t>The Commission fully recognises the importance of developing a human-centric, risk-based, clear and future-proof EU regulatory framework for AI (</w:t>
      </w:r>
      <w:r w:rsidRPr="000301E2">
        <w:rPr>
          <w:rFonts w:ascii="Times New Roman" w:hAnsi="Times New Roman"/>
          <w:b/>
          <w:bCs/>
        </w:rPr>
        <w:t>paragraph 41</w:t>
      </w:r>
      <w:r w:rsidRPr="00D9228B">
        <w:rPr>
          <w:rFonts w:ascii="Times New Roman" w:hAnsi="Times New Roman"/>
        </w:rPr>
        <w:t xml:space="preserve">) and agrees with the Parliament that the scope and stringency of any regulatory requirements in that regard </w:t>
      </w:r>
      <w:proofErr w:type="gramStart"/>
      <w:r w:rsidRPr="00D9228B">
        <w:rPr>
          <w:rFonts w:ascii="Times New Roman" w:hAnsi="Times New Roman"/>
        </w:rPr>
        <w:t>should be scaled</w:t>
      </w:r>
      <w:proofErr w:type="gramEnd"/>
      <w:r w:rsidRPr="00D9228B">
        <w:rPr>
          <w:rFonts w:ascii="Times New Roman" w:hAnsi="Times New Roman"/>
        </w:rPr>
        <w:t xml:space="preserve"> in accordance with the level of risk posed by the AI applications. </w:t>
      </w:r>
      <w:proofErr w:type="gramStart"/>
      <w:r w:rsidRPr="00D9228B">
        <w:rPr>
          <w:rFonts w:ascii="Times New Roman" w:hAnsi="Times New Roman"/>
        </w:rPr>
        <w:t xml:space="preserve">This approach is reflected in the legislative proposal for the AI Act, which </w:t>
      </w:r>
      <w:r>
        <w:rPr>
          <w:rFonts w:ascii="Times New Roman" w:hAnsi="Times New Roman"/>
        </w:rPr>
        <w:t>lays down four categories of AI systems according to the level of risk for fundamental rights and safety</w:t>
      </w:r>
      <w:r w:rsidRPr="00D9228B">
        <w:rPr>
          <w:rFonts w:ascii="Times New Roman" w:hAnsi="Times New Roman"/>
        </w:rPr>
        <w:t xml:space="preserve">: (i) certain limited uses of AI systems pose unacceptable risks and shall be prohibited as contravening Union fundamental rights and values, (ii) high-risk AI systems interfering with important aspects of </w:t>
      </w:r>
      <w:r>
        <w:rPr>
          <w:rFonts w:ascii="Times New Roman" w:hAnsi="Times New Roman"/>
        </w:rPr>
        <w:t>people’s</w:t>
      </w:r>
      <w:r w:rsidRPr="00D9228B">
        <w:rPr>
          <w:rFonts w:ascii="Times New Roman" w:hAnsi="Times New Roman"/>
        </w:rPr>
        <w:t xml:space="preserve"> lives, which shall be subject to strict requirements related to data and data governance, documentation and record keeping, transparency and provision of information to </w:t>
      </w:r>
      <w:r w:rsidRPr="00D9228B">
        <w:rPr>
          <w:rFonts w:ascii="Times New Roman" w:hAnsi="Times New Roman"/>
        </w:rPr>
        <w:lastRenderedPageBreak/>
        <w:t>users, human oversight, robustness, accuracy and cybersecurity, (iii) certain AI systems</w:t>
      </w:r>
      <w:r>
        <w:rPr>
          <w:rFonts w:ascii="Times New Roman" w:hAnsi="Times New Roman"/>
        </w:rPr>
        <w:t xml:space="preserve"> (e.g. </w:t>
      </w:r>
      <w:proofErr w:type="spellStart"/>
      <w:r>
        <w:rPr>
          <w:rFonts w:ascii="Times New Roman" w:hAnsi="Times New Roman"/>
        </w:rPr>
        <w:t>chatbots</w:t>
      </w:r>
      <w:proofErr w:type="spellEnd"/>
      <w:r>
        <w:rPr>
          <w:rFonts w:ascii="Times New Roman" w:hAnsi="Times New Roman"/>
        </w:rPr>
        <w:t xml:space="preserve"> or emotion recognition systems)</w:t>
      </w:r>
      <w:r w:rsidRPr="00D9228B">
        <w:rPr>
          <w:rFonts w:ascii="Times New Roman" w:hAnsi="Times New Roman"/>
        </w:rPr>
        <w:t xml:space="preserve"> that shall be subject to transparency obligations ensuring that persons are informed that they </w:t>
      </w:r>
      <w:r>
        <w:rPr>
          <w:rFonts w:ascii="Times New Roman" w:hAnsi="Times New Roman"/>
        </w:rPr>
        <w:t>are exposed to an</w:t>
      </w:r>
      <w:r w:rsidRPr="00D9228B">
        <w:rPr>
          <w:rFonts w:ascii="Times New Roman" w:hAnsi="Times New Roman"/>
        </w:rPr>
        <w:t xml:space="preserve"> AI system, and (iv)  minimal to no risk which is in fact the large majority of AI applications that will be allowed insofar as they are compliant with already applicable</w:t>
      </w:r>
      <w:r>
        <w:rPr>
          <w:rFonts w:ascii="Times New Roman" w:hAnsi="Times New Roman"/>
        </w:rPr>
        <w:t xml:space="preserve"> legislation, including</w:t>
      </w:r>
      <w:r w:rsidRPr="00D9228B">
        <w:rPr>
          <w:rFonts w:ascii="Times New Roman" w:hAnsi="Times New Roman"/>
        </w:rPr>
        <w:t xml:space="preserve"> consumer protection rules.</w:t>
      </w:r>
      <w:proofErr w:type="gramEnd"/>
      <w:r w:rsidRPr="00D9228B">
        <w:rPr>
          <w:rFonts w:ascii="Times New Roman" w:hAnsi="Times New Roman"/>
        </w:rPr>
        <w:t xml:space="preserve"> </w:t>
      </w:r>
      <w:r>
        <w:rPr>
          <w:rFonts w:ascii="Times New Roman" w:hAnsi="Times New Roman"/>
        </w:rPr>
        <w:t>T</w:t>
      </w:r>
      <w:r w:rsidRPr="00D9228B">
        <w:rPr>
          <w:rFonts w:ascii="Times New Roman" w:hAnsi="Times New Roman"/>
        </w:rPr>
        <w:t>he proposed regulatory framework for AI is capable of responding in a timely manner to the dynamic market and technological developments in the area</w:t>
      </w:r>
      <w:r>
        <w:rPr>
          <w:rFonts w:ascii="Times New Roman" w:hAnsi="Times New Roman"/>
        </w:rPr>
        <w:t xml:space="preserve"> through </w:t>
      </w:r>
      <w:r w:rsidRPr="00D9228B">
        <w:rPr>
          <w:rFonts w:ascii="Times New Roman" w:hAnsi="Times New Roman"/>
        </w:rPr>
        <w:t>the possibility to update certain elements, such as the list of high-risk</w:t>
      </w:r>
      <w:r>
        <w:rPr>
          <w:rFonts w:ascii="Times New Roman" w:hAnsi="Times New Roman"/>
        </w:rPr>
        <w:t xml:space="preserve"> </w:t>
      </w:r>
      <w:r w:rsidRPr="00D9228B">
        <w:rPr>
          <w:rFonts w:ascii="Times New Roman" w:hAnsi="Times New Roman"/>
        </w:rPr>
        <w:t xml:space="preserve">AI systems, by way of delegated acts </w:t>
      </w:r>
      <w:proofErr w:type="gramStart"/>
      <w:r w:rsidRPr="00D9228B">
        <w:rPr>
          <w:rFonts w:ascii="Times New Roman" w:hAnsi="Times New Roman"/>
        </w:rPr>
        <w:t>on the basis of</w:t>
      </w:r>
      <w:proofErr w:type="gramEnd"/>
      <w:r>
        <w:rPr>
          <w:rFonts w:ascii="Times New Roman" w:hAnsi="Times New Roman"/>
        </w:rPr>
        <w:t xml:space="preserve"> clear conditions and criteria.</w:t>
      </w:r>
    </w:p>
    <w:p w:rsidR="001626E6" w:rsidRPr="000301E2" w:rsidRDefault="001626E6" w:rsidP="001626E6">
      <w:pPr>
        <w:widowControl w:val="0"/>
        <w:spacing w:after="120"/>
        <w:rPr>
          <w:rFonts w:ascii="Times New Roman" w:hAnsi="Times New Roman"/>
        </w:rPr>
      </w:pPr>
      <w:r w:rsidRPr="00D9228B">
        <w:rPr>
          <w:rFonts w:ascii="Times New Roman" w:hAnsi="Times New Roman"/>
        </w:rPr>
        <w:t xml:space="preserve">The Commission fully agrees with the Parliament that clarity and consistency in the interaction between applicable legislation in force and the proposed new </w:t>
      </w:r>
      <w:r>
        <w:rPr>
          <w:rFonts w:ascii="Times New Roman" w:hAnsi="Times New Roman"/>
        </w:rPr>
        <w:t>rules</w:t>
      </w:r>
      <w:r w:rsidRPr="00D9228B">
        <w:rPr>
          <w:rFonts w:ascii="Times New Roman" w:hAnsi="Times New Roman"/>
        </w:rPr>
        <w:t xml:space="preserve"> is very important (</w:t>
      </w:r>
      <w:r w:rsidRPr="00D9228B">
        <w:rPr>
          <w:rFonts w:ascii="Times New Roman" w:hAnsi="Times New Roman"/>
          <w:b/>
          <w:bCs/>
        </w:rPr>
        <w:t>paragraph 44</w:t>
      </w:r>
      <w:r w:rsidRPr="00D9228B">
        <w:rPr>
          <w:rFonts w:ascii="Times New Roman" w:hAnsi="Times New Roman"/>
        </w:rPr>
        <w:t xml:space="preserve">). </w:t>
      </w:r>
      <w:r>
        <w:rPr>
          <w:rFonts w:ascii="Times New Roman" w:hAnsi="Times New Roman"/>
        </w:rPr>
        <w:t>While t</w:t>
      </w:r>
      <w:r w:rsidRPr="00D9228B">
        <w:rPr>
          <w:rFonts w:ascii="Times New Roman" w:hAnsi="Times New Roman"/>
        </w:rPr>
        <w:t xml:space="preserve">he EU has a strong legal framework for product safety and fundamental rights that applies also to AI systems, the specific features </w:t>
      </w:r>
      <w:r>
        <w:rPr>
          <w:rFonts w:ascii="Times New Roman" w:hAnsi="Times New Roman"/>
        </w:rPr>
        <w:t xml:space="preserve">of certain AI systems </w:t>
      </w:r>
      <w:r w:rsidRPr="00D9228B">
        <w:rPr>
          <w:rFonts w:ascii="Times New Roman" w:hAnsi="Times New Roman"/>
        </w:rPr>
        <w:t xml:space="preserve">pose challenges to the enforcement of that legislation and create novel risks to safety, security and fundamental rights. The proposal for an AI Act aims to address those challenges with specific requirements for trustworthy AI that are complementary, consistent with existing legislation and facilitating its effective enforcement. The Commission takes note of the Parliament’s call on the Commission to issue guidance on the functioning and synergy between any current applicable legislation and </w:t>
      </w:r>
      <w:r>
        <w:rPr>
          <w:rFonts w:ascii="Times New Roman" w:hAnsi="Times New Roman"/>
        </w:rPr>
        <w:t xml:space="preserve">the </w:t>
      </w:r>
      <w:r w:rsidRPr="00D9228B">
        <w:rPr>
          <w:rFonts w:ascii="Times New Roman" w:hAnsi="Times New Roman"/>
        </w:rPr>
        <w:t xml:space="preserve">new </w:t>
      </w:r>
      <w:r>
        <w:rPr>
          <w:rFonts w:ascii="Times New Roman" w:hAnsi="Times New Roman"/>
        </w:rPr>
        <w:t>rules</w:t>
      </w:r>
      <w:r w:rsidRPr="00D9228B">
        <w:rPr>
          <w:rFonts w:ascii="Times New Roman" w:hAnsi="Times New Roman"/>
        </w:rPr>
        <w:t>.</w:t>
      </w:r>
    </w:p>
    <w:p w:rsidR="001626E6" w:rsidRPr="001A6E93" w:rsidRDefault="001626E6" w:rsidP="001626E6">
      <w:pPr>
        <w:pStyle w:val="NormalHanging12a"/>
        <w:widowControl/>
        <w:spacing w:after="120"/>
        <w:ind w:left="0" w:firstLine="0"/>
        <w:jc w:val="both"/>
        <w:rPr>
          <w:szCs w:val="24"/>
        </w:rPr>
      </w:pPr>
      <w:r w:rsidRPr="0072172C">
        <w:t xml:space="preserve">The Commission agrees that the risks posed by </w:t>
      </w:r>
      <w:r>
        <w:t xml:space="preserve">certain </w:t>
      </w:r>
      <w:r w:rsidRPr="0072172C">
        <w:t xml:space="preserve">AI systems that collect </w:t>
      </w:r>
      <w:r>
        <w:t xml:space="preserve">data </w:t>
      </w:r>
      <w:r w:rsidRPr="0072172C">
        <w:t xml:space="preserve">and adapt in real time to the personal needs and preferences of users </w:t>
      </w:r>
      <w:r>
        <w:t>(</w:t>
      </w:r>
      <w:r w:rsidRPr="000301E2">
        <w:rPr>
          <w:b/>
          <w:bCs/>
        </w:rPr>
        <w:t>paragraph 47</w:t>
      </w:r>
      <w:r>
        <w:t xml:space="preserve">) </w:t>
      </w:r>
      <w:r w:rsidRPr="0072172C">
        <w:t xml:space="preserve">require a comprehensive regulatory approach combining existing and novel legal instruments. </w:t>
      </w:r>
      <w:r>
        <w:t>I</w:t>
      </w:r>
      <w:r w:rsidRPr="0072172C">
        <w:t xml:space="preserve">t is indispensable that data controllers using such systems implement effectively the </w:t>
      </w:r>
      <w:r>
        <w:t>GDPR</w:t>
      </w:r>
      <w:r w:rsidRPr="0072172C">
        <w:t xml:space="preserve"> and protect the personal data of natural persons and their fundamental rights. The New </w:t>
      </w:r>
      <w:r w:rsidRPr="000D272C">
        <w:t>Consumer Agenda will further strengthen the rights of consumers, while the proposal for a Digital Services Act aim</w:t>
      </w:r>
      <w:r>
        <w:t>s</w:t>
      </w:r>
      <w:r w:rsidRPr="000D272C">
        <w:t xml:space="preserve"> to enhance the accountability and transparency of digital services and </w:t>
      </w:r>
      <w:r>
        <w:t xml:space="preserve">to </w:t>
      </w:r>
      <w:r w:rsidRPr="000D272C">
        <w:t xml:space="preserve">contribute to a safe online environment. </w:t>
      </w:r>
      <w:r>
        <w:t xml:space="preserve">The AI Act proposal </w:t>
      </w:r>
      <w:proofErr w:type="gramStart"/>
      <w:r>
        <w:t>is meant</w:t>
      </w:r>
      <w:proofErr w:type="gramEnd"/>
      <w:r>
        <w:t xml:space="preserve"> to</w:t>
      </w:r>
      <w:r w:rsidRPr="000D272C">
        <w:t xml:space="preserve"> complement these safeguards with </w:t>
      </w:r>
      <w:r>
        <w:t xml:space="preserve">specific </w:t>
      </w:r>
      <w:r w:rsidRPr="000D272C">
        <w:t xml:space="preserve">requirements before </w:t>
      </w:r>
      <w:r>
        <w:t>high-risk AI</w:t>
      </w:r>
      <w:r w:rsidRPr="000D272C">
        <w:t xml:space="preserve"> systems ca</w:t>
      </w:r>
      <w:r w:rsidRPr="0092230A">
        <w:t xml:space="preserve">n be placed on the </w:t>
      </w:r>
      <w:r>
        <w:t xml:space="preserve">Union </w:t>
      </w:r>
      <w:r w:rsidRPr="0092230A">
        <w:t xml:space="preserve">market. The </w:t>
      </w:r>
      <w:r>
        <w:t xml:space="preserve">AI Act </w:t>
      </w:r>
      <w:r w:rsidRPr="0092230A">
        <w:t>proposal also</w:t>
      </w:r>
      <w:r>
        <w:t xml:space="preserve"> envisages the</w:t>
      </w:r>
      <w:r w:rsidRPr="0092230A">
        <w:t xml:space="preserve"> prohibit</w:t>
      </w:r>
      <w:r>
        <w:t>ion of</w:t>
      </w:r>
      <w:r w:rsidRPr="0092230A">
        <w:t xml:space="preserve"> a number of unacceptable AI-driven manipulative practices enabled by the vast amount of personal information available, in particular AI systems that </w:t>
      </w:r>
      <w:r>
        <w:t xml:space="preserve">use subliminal techniques or </w:t>
      </w:r>
      <w:r w:rsidRPr="0092230A">
        <w:t xml:space="preserve">exploit vulnerabilities related to age and disabilities in a way that causes </w:t>
      </w:r>
      <w:r>
        <w:t xml:space="preserve">or </w:t>
      </w:r>
      <w:r w:rsidRPr="0092230A">
        <w:t>is likely to cause physical or psychological harm.</w:t>
      </w:r>
    </w:p>
    <w:p w:rsidR="001626E6" w:rsidRDefault="001626E6" w:rsidP="001626E6">
      <w:pPr>
        <w:pStyle w:val="NormalHanging12a"/>
        <w:widowControl/>
        <w:spacing w:after="120"/>
        <w:ind w:left="0" w:firstLine="0"/>
        <w:jc w:val="both"/>
        <w:rPr>
          <w:lang w:val="en-IE"/>
        </w:rPr>
      </w:pPr>
      <w:r>
        <w:t xml:space="preserve">Regarding </w:t>
      </w:r>
      <w:r w:rsidRPr="000301E2">
        <w:rPr>
          <w:b/>
          <w:bCs/>
        </w:rPr>
        <w:t>paragraph 53</w:t>
      </w:r>
      <w:r>
        <w:t>, t</w:t>
      </w:r>
      <w:r w:rsidRPr="0072172C">
        <w:t xml:space="preserve">he AI </w:t>
      </w:r>
      <w:r>
        <w:t xml:space="preserve">Act </w:t>
      </w:r>
      <w:r w:rsidRPr="0072172C">
        <w:t xml:space="preserve">proposal sets uniform requirements and obligations for high-risk AI systems that </w:t>
      </w:r>
      <w:proofErr w:type="gramStart"/>
      <w:r>
        <w:t>are proposed to</w:t>
      </w:r>
      <w:r w:rsidRPr="0072172C">
        <w:t xml:space="preserve"> be operationalised</w:t>
      </w:r>
      <w:proofErr w:type="gramEnd"/>
      <w:r w:rsidRPr="0072172C">
        <w:t xml:space="preserve"> through harmonised technical standards, thus supporting a common understanding and implementation of the new rules. </w:t>
      </w:r>
      <w:r>
        <w:t>N</w:t>
      </w:r>
      <w:r w:rsidRPr="0072172C">
        <w:t>ational authorities responsible for the</w:t>
      </w:r>
      <w:r>
        <w:t>ir</w:t>
      </w:r>
      <w:r w:rsidRPr="0072172C">
        <w:t xml:space="preserve"> enforcement will have a new mechanism for cooperation at EU level and exchange of information</w:t>
      </w:r>
      <w:r>
        <w:t xml:space="preserve">, with an important role for the new European </w:t>
      </w:r>
      <w:r w:rsidRPr="0072172C">
        <w:t>AI Board</w:t>
      </w:r>
      <w:r>
        <w:t xml:space="preserve"> as explained above</w:t>
      </w:r>
      <w:r w:rsidRPr="0072172C">
        <w:t xml:space="preserve">. </w:t>
      </w:r>
      <w:r w:rsidRPr="0072172C">
        <w:rPr>
          <w:lang w:val="en-IE"/>
        </w:rPr>
        <w:t xml:space="preserve">The Board </w:t>
      </w:r>
      <w:r>
        <w:rPr>
          <w:lang w:val="en-IE"/>
        </w:rPr>
        <w:t xml:space="preserve">also </w:t>
      </w:r>
      <w:proofErr w:type="gramStart"/>
      <w:r>
        <w:rPr>
          <w:lang w:val="en-IE"/>
        </w:rPr>
        <w:t>is also meant</w:t>
      </w:r>
      <w:proofErr w:type="gramEnd"/>
      <w:r>
        <w:rPr>
          <w:lang w:val="en-IE"/>
        </w:rPr>
        <w:t xml:space="preserve"> to</w:t>
      </w:r>
      <w:r w:rsidRPr="0072172C">
        <w:rPr>
          <w:lang w:val="en-IE"/>
        </w:rPr>
        <w:t xml:space="preserve"> issue recommendations and opinions to the Commission</w:t>
      </w:r>
      <w:r>
        <w:rPr>
          <w:lang w:val="en-IE"/>
        </w:rPr>
        <w:t>,</w:t>
      </w:r>
      <w:r w:rsidRPr="0072172C">
        <w:rPr>
          <w:lang w:val="en-IE"/>
        </w:rPr>
        <w:t xml:space="preserve"> </w:t>
      </w:r>
      <w:r w:rsidRPr="000D272C">
        <w:rPr>
          <w:lang w:val="en-IE"/>
        </w:rPr>
        <w:t>act as a competence centre that national authorities can consult and support standardisation activities in the area.</w:t>
      </w:r>
    </w:p>
    <w:p w:rsidR="001626E6" w:rsidRPr="001A6E93" w:rsidRDefault="001626E6" w:rsidP="001626E6">
      <w:pPr>
        <w:pStyle w:val="NormalHanging12a"/>
        <w:spacing w:after="120"/>
        <w:ind w:left="0" w:firstLine="0"/>
        <w:jc w:val="both"/>
        <w:rPr>
          <w:szCs w:val="24"/>
        </w:rPr>
      </w:pPr>
      <w:r w:rsidRPr="00D9228B">
        <w:t xml:space="preserve">The Commission </w:t>
      </w:r>
      <w:r>
        <w:t xml:space="preserve">agrees </w:t>
      </w:r>
      <w:r w:rsidRPr="00D9228B">
        <w:t xml:space="preserve">that the assessment of the risk of harm posed by AI applications </w:t>
      </w:r>
      <w:proofErr w:type="gramStart"/>
      <w:r w:rsidRPr="00D9228B">
        <w:t>should be based</w:t>
      </w:r>
      <w:proofErr w:type="gramEnd"/>
      <w:r w:rsidRPr="00D9228B">
        <w:t xml:space="preserve"> on an objective methodology focused on the context, application and specific use of the technology (</w:t>
      </w:r>
      <w:r w:rsidRPr="00D9228B">
        <w:rPr>
          <w:b/>
          <w:bCs/>
        </w:rPr>
        <w:t>paragraph 55</w:t>
      </w:r>
      <w:r w:rsidRPr="00D9228B">
        <w:t xml:space="preserve">). </w:t>
      </w:r>
      <w:r>
        <w:t>Section 5.4.2. of t</w:t>
      </w:r>
      <w:r w:rsidRPr="00D9228B">
        <w:t>he Impact Assessment</w:t>
      </w:r>
      <w:r>
        <w:t xml:space="preserve"> </w:t>
      </w:r>
      <w:r w:rsidRPr="00D9228B">
        <w:t xml:space="preserve">(SWD(2021) 84 final) </w:t>
      </w:r>
      <w:r>
        <w:t xml:space="preserve">of the proposed AI Act </w:t>
      </w:r>
      <w:r w:rsidRPr="00D9228B">
        <w:t xml:space="preserve">outlines in particular the rationale behind the identification of AI systems to be prohibited or subjected to mandatory requirements and obligations. In addition, Articles 6 and 7 of the proposed AI Act provide for the specific conditions and criteria that </w:t>
      </w:r>
      <w:proofErr w:type="gramStart"/>
      <w:r w:rsidRPr="00D9228B">
        <w:t>shall be fulfilled</w:t>
      </w:r>
      <w:proofErr w:type="gramEnd"/>
      <w:r w:rsidRPr="00D9228B">
        <w:t xml:space="preserve"> for an AI system to be classified as high-risk. For the specific case of algorithmic tools used by online platforms, the proposed Digital Services Act includes detailed risk assessment and mitigation obligations for very large online platforms, which </w:t>
      </w:r>
      <w:r w:rsidRPr="00D9228B">
        <w:lastRenderedPageBreak/>
        <w:t>pose the highest societal risks, including as regards the design and use of their algorithmic systems. In accordance with the proposal, the obligations shall be monitored through independent audits, public and regulatory oversight, and be subject to dedicated guidelines.</w:t>
      </w:r>
    </w:p>
    <w:p w:rsidR="001626E6" w:rsidRDefault="001626E6" w:rsidP="001626E6">
      <w:pPr>
        <w:pStyle w:val="NormalHanging12a"/>
        <w:widowControl/>
        <w:spacing w:after="120"/>
        <w:ind w:left="0" w:firstLine="0"/>
        <w:jc w:val="both"/>
        <w:rPr>
          <w:lang w:val="en-IE"/>
        </w:rPr>
      </w:pPr>
      <w:r w:rsidRPr="0072172C">
        <w:rPr>
          <w:lang w:val="en-IE"/>
        </w:rPr>
        <w:t>Welcoming the comments of the Parliament on the importance of innovative regulatory tools such as ‘regulatory sandboxes’ that are conducive to innovation (</w:t>
      </w:r>
      <w:r w:rsidRPr="0072172C">
        <w:rPr>
          <w:b/>
          <w:bCs/>
          <w:lang w:val="en-IE"/>
        </w:rPr>
        <w:t>paragraph 59</w:t>
      </w:r>
      <w:r w:rsidRPr="0072172C">
        <w:rPr>
          <w:lang w:val="en-IE"/>
        </w:rPr>
        <w:t xml:space="preserve">), the Commission </w:t>
      </w:r>
      <w:r>
        <w:rPr>
          <w:lang w:val="en-IE"/>
        </w:rPr>
        <w:t>notes</w:t>
      </w:r>
      <w:r w:rsidRPr="0072172C">
        <w:rPr>
          <w:lang w:val="en-IE"/>
        </w:rPr>
        <w:t xml:space="preserve"> that the AI Act proposal provides for common rules for </w:t>
      </w:r>
      <w:r>
        <w:rPr>
          <w:lang w:val="en-IE"/>
        </w:rPr>
        <w:t>‘</w:t>
      </w:r>
      <w:r w:rsidRPr="0072172C">
        <w:rPr>
          <w:lang w:val="en-IE"/>
        </w:rPr>
        <w:t xml:space="preserve">regulatory sandboxes’ implementation as well as for other measures to support small-scale providers and users. </w:t>
      </w:r>
      <w:r w:rsidRPr="000D272C">
        <w:rPr>
          <w:lang w:val="en-IE"/>
        </w:rPr>
        <w:t>As indicated in the revised Coordinated Plan for AI, regulatory sandboxes are an important part of building an ecosystem of trust insofar as it is necessary to design public regulation that will facilitate and not stifle innovation</w:t>
      </w:r>
      <w:r>
        <w:rPr>
          <w:lang w:val="en-IE"/>
        </w:rPr>
        <w:t xml:space="preserve">. </w:t>
      </w:r>
      <w:r w:rsidRPr="0092230A">
        <w:rPr>
          <w:lang w:val="en-IE"/>
        </w:rPr>
        <w:t>Other measures such as the European Digital Innovation Hubs, Testing and Experimentation Facilities, and the AI-on-demand platform will further contribute to the smooth implementation of the regulatory framework by providing in particular t</w:t>
      </w:r>
      <w:r w:rsidRPr="00941DB4">
        <w:rPr>
          <w:lang w:val="en-IE"/>
        </w:rPr>
        <w:t>echnical and scientific support to providers and notified bodies.</w:t>
      </w:r>
    </w:p>
    <w:p w:rsidR="001626E6" w:rsidRPr="007C3BE9" w:rsidRDefault="001626E6" w:rsidP="001626E6">
      <w:pPr>
        <w:pStyle w:val="NormalHanging12a"/>
        <w:widowControl/>
        <w:spacing w:after="120"/>
        <w:ind w:left="0" w:firstLine="0"/>
        <w:jc w:val="both"/>
        <w:rPr>
          <w:lang w:val="en-IE"/>
        </w:rPr>
      </w:pPr>
      <w:r w:rsidRPr="00A237FB">
        <w:rPr>
          <w:lang w:val="en-IE"/>
        </w:rPr>
        <w:t>The elaboration of the Commission</w:t>
      </w:r>
      <w:r>
        <w:rPr>
          <w:lang w:val="en-IE"/>
        </w:rPr>
        <w:t>’</w:t>
      </w:r>
      <w:r w:rsidRPr="00A237FB">
        <w:rPr>
          <w:lang w:val="en-IE"/>
        </w:rPr>
        <w:t xml:space="preserve">s standardisation mandate to European </w:t>
      </w:r>
      <w:r>
        <w:rPr>
          <w:lang w:val="en-IE"/>
        </w:rPr>
        <w:t>s</w:t>
      </w:r>
      <w:r w:rsidRPr="00A237FB">
        <w:rPr>
          <w:lang w:val="en-IE"/>
        </w:rPr>
        <w:t xml:space="preserve">tandardisation organisations to produce harmonised standards for the purpose of the AI framework </w:t>
      </w:r>
      <w:r>
        <w:rPr>
          <w:lang w:val="en-IE"/>
        </w:rPr>
        <w:t>(</w:t>
      </w:r>
      <w:r w:rsidRPr="000301E2">
        <w:rPr>
          <w:b/>
          <w:bCs/>
          <w:lang w:val="en-IE"/>
        </w:rPr>
        <w:t>paragraph 61</w:t>
      </w:r>
      <w:r>
        <w:rPr>
          <w:lang w:val="en-IE"/>
        </w:rPr>
        <w:t xml:space="preserve">) </w:t>
      </w:r>
      <w:proofErr w:type="gramStart"/>
      <w:r w:rsidRPr="00A237FB">
        <w:rPr>
          <w:lang w:val="en-IE"/>
        </w:rPr>
        <w:t>will be underpinned</w:t>
      </w:r>
      <w:proofErr w:type="gramEnd"/>
      <w:r w:rsidRPr="00A237FB">
        <w:rPr>
          <w:lang w:val="en-IE"/>
        </w:rPr>
        <w:t xml:space="preserve"> by extensive technical analysis regarding standardisation needs in the areas covered by</w:t>
      </w:r>
      <w:r>
        <w:rPr>
          <w:lang w:val="en-IE"/>
        </w:rPr>
        <w:t xml:space="preserve"> the</w:t>
      </w:r>
      <w:r w:rsidRPr="00A237FB">
        <w:rPr>
          <w:lang w:val="en-IE"/>
        </w:rPr>
        <w:t xml:space="preserve"> </w:t>
      </w:r>
      <w:r>
        <w:rPr>
          <w:lang w:val="en-IE"/>
        </w:rPr>
        <w:t>proposed AI Act</w:t>
      </w:r>
      <w:r w:rsidRPr="00A237FB">
        <w:rPr>
          <w:lang w:val="en-IE"/>
        </w:rPr>
        <w:t>. This will also include</w:t>
      </w:r>
      <w:r>
        <w:rPr>
          <w:lang w:val="en-IE"/>
        </w:rPr>
        <w:t xml:space="preserve"> the</w:t>
      </w:r>
      <w:r w:rsidRPr="00A237FB">
        <w:rPr>
          <w:lang w:val="en-IE"/>
        </w:rPr>
        <w:t xml:space="preserve"> identification of priority issues where vertical (use-case specific) standardisation may be necessary. </w:t>
      </w:r>
      <w:proofErr w:type="gramStart"/>
      <w:r w:rsidRPr="00A237FB">
        <w:rPr>
          <w:lang w:val="en-IE"/>
        </w:rPr>
        <w:t>As a general rule</w:t>
      </w:r>
      <w:proofErr w:type="gramEnd"/>
      <w:r w:rsidRPr="00A237FB">
        <w:rPr>
          <w:lang w:val="en-IE"/>
        </w:rPr>
        <w:t xml:space="preserve">, standards are reviewed every five years by standardisation organisations. Moreover, whenever harmonised standards </w:t>
      </w:r>
      <w:proofErr w:type="gramStart"/>
      <w:r w:rsidRPr="00A237FB">
        <w:rPr>
          <w:lang w:val="en-IE"/>
        </w:rPr>
        <w:t>are submitted</w:t>
      </w:r>
      <w:proofErr w:type="gramEnd"/>
      <w:r w:rsidRPr="00A237FB">
        <w:rPr>
          <w:lang w:val="en-IE"/>
        </w:rPr>
        <w:t xml:space="preserve"> by the </w:t>
      </w:r>
      <w:r>
        <w:rPr>
          <w:lang w:val="en-IE"/>
        </w:rPr>
        <w:t>s</w:t>
      </w:r>
      <w:r w:rsidRPr="00A237FB">
        <w:rPr>
          <w:lang w:val="en-IE"/>
        </w:rPr>
        <w:t xml:space="preserve">tandardisation </w:t>
      </w:r>
      <w:r>
        <w:rPr>
          <w:lang w:val="en-IE"/>
        </w:rPr>
        <w:t>o</w:t>
      </w:r>
      <w:r w:rsidRPr="00A237FB">
        <w:rPr>
          <w:lang w:val="en-IE"/>
        </w:rPr>
        <w:t>rganisations to the Commission for publication in the Official Journal</w:t>
      </w:r>
      <w:r>
        <w:rPr>
          <w:lang w:val="en-IE"/>
        </w:rPr>
        <w:t xml:space="preserve"> of the European Union</w:t>
      </w:r>
      <w:r w:rsidRPr="00A237FB">
        <w:rPr>
          <w:lang w:val="en-IE"/>
        </w:rPr>
        <w:t>, they are subject to the Commission’s legal and technical review</w:t>
      </w:r>
      <w:r>
        <w:rPr>
          <w:lang w:val="en-IE"/>
        </w:rPr>
        <w:t>. S</w:t>
      </w:r>
      <w:r w:rsidRPr="00A237FB">
        <w:rPr>
          <w:lang w:val="en-IE"/>
        </w:rPr>
        <w:t xml:space="preserve">uch review </w:t>
      </w:r>
      <w:proofErr w:type="gramStart"/>
      <w:r w:rsidRPr="00A237FB">
        <w:rPr>
          <w:lang w:val="en-IE"/>
        </w:rPr>
        <w:t>is intended</w:t>
      </w:r>
      <w:proofErr w:type="gramEnd"/>
      <w:r w:rsidRPr="00A237FB">
        <w:rPr>
          <w:lang w:val="en-IE"/>
        </w:rPr>
        <w:t xml:space="preserve"> to ensure that the standards produced reflect the contents of the Commission’s mandate and they actually satisfy the requirements of the legislation that they claim to cover.</w:t>
      </w:r>
    </w:p>
    <w:p w:rsidR="001626E6" w:rsidRPr="00E06BD3" w:rsidRDefault="001626E6" w:rsidP="001626E6">
      <w:pPr>
        <w:pStyle w:val="NormalHanging12a"/>
        <w:widowControl/>
        <w:spacing w:after="120"/>
        <w:ind w:left="0" w:firstLine="0"/>
        <w:jc w:val="both"/>
      </w:pPr>
      <w:r w:rsidRPr="007C3BE9">
        <w:rPr>
          <w:lang w:val="en-US"/>
        </w:rPr>
        <w:t>The Commission has launched an impact assessment process to assess possible ways of adapting liability rules to the digital age and circular economy</w:t>
      </w:r>
      <w:r>
        <w:rPr>
          <w:lang w:val="en-US"/>
        </w:rPr>
        <w:t xml:space="preserve"> (</w:t>
      </w:r>
      <w:r w:rsidRPr="000301E2">
        <w:rPr>
          <w:b/>
          <w:bCs/>
          <w:lang w:val="en-US"/>
        </w:rPr>
        <w:t>paragraph 65</w:t>
      </w:r>
      <w:r>
        <w:rPr>
          <w:lang w:val="en-US"/>
        </w:rPr>
        <w:t>)</w:t>
      </w:r>
      <w:r w:rsidRPr="007C3BE9">
        <w:rPr>
          <w:lang w:val="en-US"/>
        </w:rPr>
        <w:t xml:space="preserve">. This will include updating terms and concepts of the Product Liability Directive </w:t>
      </w:r>
      <w:r>
        <w:rPr>
          <w:lang w:val="en-US"/>
        </w:rPr>
        <w:t xml:space="preserve">and </w:t>
      </w:r>
      <w:r w:rsidRPr="007C3BE9">
        <w:rPr>
          <w:lang w:val="en-US"/>
        </w:rPr>
        <w:t>an assessment of whether in some cases the characteristics of emerging technologies make it unreasonably difficult for consumers to obtain compensation.</w:t>
      </w:r>
      <w:r>
        <w:rPr>
          <w:lang w:val="en-US"/>
        </w:rPr>
        <w:t xml:space="preserve"> With respect to AI in particular, the Commission</w:t>
      </w:r>
      <w:r w:rsidRPr="007C3BE9">
        <w:rPr>
          <w:lang w:val="en-US"/>
        </w:rPr>
        <w:t xml:space="preserve"> </w:t>
      </w:r>
      <w:r>
        <w:rPr>
          <w:lang w:val="en-US"/>
        </w:rPr>
        <w:t>is also assessing targeted and risk-based adaptations of national liability laws to achieve the objectives set in the White Paper on AI. A</w:t>
      </w:r>
      <w:r w:rsidRPr="007C3BE9">
        <w:rPr>
          <w:lang w:val="en-US"/>
        </w:rPr>
        <w:t xml:space="preserve"> public consultation on the</w:t>
      </w:r>
      <w:r>
        <w:rPr>
          <w:lang w:val="en-US"/>
        </w:rPr>
        <w:t xml:space="preserve"> revision of the Product Liability Directive</w:t>
      </w:r>
      <w:r w:rsidRPr="007C3BE9">
        <w:rPr>
          <w:lang w:val="en-US"/>
        </w:rPr>
        <w:t xml:space="preserve"> </w:t>
      </w:r>
      <w:r>
        <w:rPr>
          <w:lang w:val="en-US"/>
        </w:rPr>
        <w:t xml:space="preserve">and </w:t>
      </w:r>
      <w:r w:rsidRPr="00E06BD3">
        <w:t xml:space="preserve">the harmonisation of national liability rules for AI </w:t>
      </w:r>
      <w:proofErr w:type="gramStart"/>
      <w:r w:rsidRPr="00E06BD3">
        <w:t>will be launched</w:t>
      </w:r>
      <w:proofErr w:type="gramEnd"/>
      <w:r w:rsidRPr="00E06BD3">
        <w:t xml:space="preserve"> shortly.</w:t>
      </w:r>
    </w:p>
    <w:p w:rsidR="001626E6" w:rsidRPr="00124913" w:rsidRDefault="001626E6" w:rsidP="001626E6">
      <w:pPr>
        <w:pStyle w:val="NormalHanging12a"/>
        <w:widowControl/>
        <w:spacing w:after="120"/>
        <w:ind w:left="0" w:firstLine="0"/>
        <w:jc w:val="both"/>
        <w:rPr>
          <w:szCs w:val="24"/>
        </w:rPr>
      </w:pPr>
      <w:proofErr w:type="gramStart"/>
      <w:r>
        <w:rPr>
          <w:lang w:val="en-US"/>
        </w:rPr>
        <w:t>As</w:t>
      </w:r>
      <w:r w:rsidRPr="00303046">
        <w:rPr>
          <w:lang w:val="en-US"/>
        </w:rPr>
        <w:t xml:space="preserve"> already announced in </w:t>
      </w:r>
      <w:r>
        <w:rPr>
          <w:lang w:val="en-US"/>
        </w:rPr>
        <w:t xml:space="preserve">the Commission reply to the Parliament’s resolution on </w:t>
      </w:r>
      <w:r>
        <w:t>‘Digital Services Act: adapting commercial and civil law rules for commercial entities operating online’ (</w:t>
      </w:r>
      <w:r w:rsidRPr="00303046">
        <w:t>P9_TA-PROV (2020)0273</w:t>
      </w:r>
      <w:r>
        <w:t>)</w:t>
      </w:r>
      <w:r w:rsidRPr="00303046">
        <w:rPr>
          <w:lang w:val="en-US"/>
        </w:rPr>
        <w:t xml:space="preserve">, the Commission is committed to </w:t>
      </w:r>
      <w:r w:rsidRPr="00E06BD3">
        <w:t>analysing and consulting on the use of smart contracts (</w:t>
      </w:r>
      <w:r w:rsidRPr="00E06BD3">
        <w:rPr>
          <w:b/>
          <w:bCs/>
        </w:rPr>
        <w:t>paragraph 67)</w:t>
      </w:r>
      <w:r w:rsidRPr="00E06BD3">
        <w:t>, with the objective of overcoming</w:t>
      </w:r>
      <w:r w:rsidRPr="00303046">
        <w:rPr>
          <w:lang w:val="en-US"/>
        </w:rPr>
        <w:t xml:space="preserve"> obstacles as well as enabling their use across </w:t>
      </w:r>
      <w:r>
        <w:rPr>
          <w:lang w:val="en-US"/>
        </w:rPr>
        <w:t xml:space="preserve">the </w:t>
      </w:r>
      <w:r w:rsidRPr="00303046">
        <w:rPr>
          <w:lang w:val="en-US"/>
        </w:rPr>
        <w:t>Member States.</w:t>
      </w:r>
      <w:proofErr w:type="gramEnd"/>
      <w:r w:rsidRPr="00303046">
        <w:rPr>
          <w:lang w:val="en-US"/>
        </w:rPr>
        <w:t xml:space="preserve"> In this regard, the Commission is about to launch a study on smart contracts to identify private law related obstacles and to assess how smart contracts can help to exercise consumer rights in the data economy. In parallel, the Commission plans a targeted consultation</w:t>
      </w:r>
      <w:r>
        <w:rPr>
          <w:lang w:val="en-US"/>
        </w:rPr>
        <w:t xml:space="preserve"> </w:t>
      </w:r>
      <w:r w:rsidRPr="00303046">
        <w:rPr>
          <w:lang w:val="en-US"/>
        </w:rPr>
        <w:t xml:space="preserve">with stakeholders </w:t>
      </w:r>
      <w:r>
        <w:rPr>
          <w:lang w:val="en-US"/>
        </w:rPr>
        <w:t xml:space="preserve">on </w:t>
      </w:r>
      <w:r w:rsidRPr="00303046">
        <w:rPr>
          <w:lang w:val="en-US"/>
        </w:rPr>
        <w:t>smart contracts.</w:t>
      </w:r>
      <w:r>
        <w:rPr>
          <w:lang w:val="en-US"/>
        </w:rPr>
        <w:t xml:space="preserve"> Furthermore, the</w:t>
      </w:r>
      <w:r w:rsidRPr="00D9228B">
        <w:t xml:space="preserve"> Commission is working with representatives and technical experts from the Member States, Norway and Liechtenstein under the auspices of the European </w:t>
      </w:r>
      <w:proofErr w:type="spellStart"/>
      <w:r w:rsidRPr="00D9228B">
        <w:t>Blockchain</w:t>
      </w:r>
      <w:proofErr w:type="spellEnd"/>
      <w:r w:rsidRPr="00D9228B">
        <w:t xml:space="preserve"> Partnership (EBP) to develop the European </w:t>
      </w:r>
      <w:proofErr w:type="spellStart"/>
      <w:r w:rsidRPr="00D9228B">
        <w:t>Blockchain</w:t>
      </w:r>
      <w:proofErr w:type="spellEnd"/>
      <w:r w:rsidRPr="00D9228B">
        <w:t xml:space="preserve"> Services Infrastructure, which aims to build a pan-European infrastructure for the delivery of cross border public services and thus provides a testing environment for innovative </w:t>
      </w:r>
      <w:proofErr w:type="spellStart"/>
      <w:r w:rsidRPr="00D9228B">
        <w:t>blockchain</w:t>
      </w:r>
      <w:proofErr w:type="spellEnd"/>
      <w:r w:rsidRPr="00D9228B">
        <w:t xml:space="preserve"> solutions. The EBP aims also to establish dialogue between regulators and innovators.</w:t>
      </w:r>
    </w:p>
    <w:p w:rsidR="001626E6" w:rsidRDefault="001626E6" w:rsidP="001626E6">
      <w:pPr>
        <w:pStyle w:val="NormalHanging12a"/>
        <w:widowControl/>
        <w:spacing w:after="120"/>
        <w:ind w:left="0" w:firstLine="0"/>
        <w:jc w:val="both"/>
      </w:pPr>
      <w:r w:rsidRPr="0072172C">
        <w:lastRenderedPageBreak/>
        <w:t>The Commission welcomes the</w:t>
      </w:r>
      <w:r>
        <w:t xml:space="preserve"> Parliament’s</w:t>
      </w:r>
      <w:r w:rsidRPr="0072172C">
        <w:t xml:space="preserve"> support for the W</w:t>
      </w:r>
      <w:r>
        <w:t xml:space="preserve">orld </w:t>
      </w:r>
      <w:r w:rsidRPr="0072172C">
        <w:t>T</w:t>
      </w:r>
      <w:r>
        <w:t xml:space="preserve">rade </w:t>
      </w:r>
      <w:r w:rsidRPr="0072172C">
        <w:t>O</w:t>
      </w:r>
      <w:r>
        <w:t>rganization (WTO)</w:t>
      </w:r>
      <w:r w:rsidRPr="0072172C">
        <w:t xml:space="preserve"> negotiations on e-commerce</w:t>
      </w:r>
      <w:r>
        <w:t xml:space="preserve"> (</w:t>
      </w:r>
      <w:r w:rsidRPr="000301E2">
        <w:rPr>
          <w:b/>
          <w:bCs/>
        </w:rPr>
        <w:t>paragraph 68</w:t>
      </w:r>
      <w:r>
        <w:t>)</w:t>
      </w:r>
      <w:r w:rsidRPr="0072172C">
        <w:t>. Th</w:t>
      </w:r>
      <w:r>
        <w:t>ose</w:t>
      </w:r>
      <w:r w:rsidRPr="0072172C">
        <w:t xml:space="preserve"> negotiations remain the EU’s most important strategic objective in this area and the Commission is strongly committed to advancing them towards an ambitious and balanced outcome. The discipline on the protection of software source code is an important tool to fight the rising trend of digital protectionism. It </w:t>
      </w:r>
      <w:proofErr w:type="gramStart"/>
      <w:r w:rsidRPr="0072172C">
        <w:t>was introduced</w:t>
      </w:r>
      <w:proofErr w:type="gramEnd"/>
      <w:r w:rsidRPr="0072172C">
        <w:t xml:space="preserve"> in response to the practices of certain governments that force foreign businesses to transfer confidential information to the authorities, which in turn might disclose it to local competitors. </w:t>
      </w:r>
      <w:r>
        <w:t>Also with regard to the proposal for an AI Act, t</w:t>
      </w:r>
      <w:r w:rsidRPr="000D272C">
        <w:t>he</w:t>
      </w:r>
      <w:r>
        <w:t xml:space="preserve"> </w:t>
      </w:r>
      <w:r w:rsidRPr="000D272C">
        <w:t>EU has indeed taken a prudent position in bilateral and WTO e-commerce negotiations in order to preserve the necessary policy space</w:t>
      </w:r>
      <w:r>
        <w:t>,</w:t>
      </w:r>
      <w:r w:rsidRPr="000D272C">
        <w:t xml:space="preserve"> while at the same being able to address protectionist measures related to digital trade. These include</w:t>
      </w:r>
      <w:r>
        <w:t>,</w:t>
      </w:r>
      <w:r w:rsidRPr="000D272C">
        <w:t xml:space="preserve"> for example</w:t>
      </w:r>
      <w:r>
        <w:t>,</w:t>
      </w:r>
      <w:r w:rsidRPr="000D272C">
        <w:t xml:space="preserve"> data localisation and mandatory technology transfer requirements. The WTO negotiations on e-commerce provide the Union with a unique opportunity to tackle these challenges at global level. The Commission believes that the WTO moratorium on electronic transmissions provides much needed certainty to businesses and consumers around the globe and facilitates digital trade. This commitment is also of systemic importance for the WTO and </w:t>
      </w:r>
      <w:proofErr w:type="gramStart"/>
      <w:r w:rsidRPr="000D272C">
        <w:t>should therefore be maintained</w:t>
      </w:r>
      <w:proofErr w:type="gramEnd"/>
      <w:r w:rsidRPr="000D272C">
        <w:t>. The EU has effectively implemented its tariff schedule under the Information Technology Agreement</w:t>
      </w:r>
      <w:r w:rsidRPr="00852A14">
        <w:t xml:space="preserve"> </w:t>
      </w:r>
      <w:r w:rsidRPr="000D272C">
        <w:t>(ITA), as approved by all participants in February 2017</w:t>
      </w:r>
      <w:r>
        <w:t>,</w:t>
      </w:r>
      <w:r w:rsidRPr="000D272C">
        <w:t xml:space="preserve"> and the Commission continues to push for ITA’s and Telecommunication Services Reference Paper’s full implementation by all current members as well as for its geographical expansion.</w:t>
      </w:r>
    </w:p>
    <w:p w:rsidR="001626E6" w:rsidRDefault="001626E6" w:rsidP="001626E6">
      <w:pPr>
        <w:pStyle w:val="NormalHanging12a"/>
        <w:widowControl/>
        <w:spacing w:after="120"/>
        <w:ind w:left="0" w:firstLine="0"/>
        <w:jc w:val="both"/>
      </w:pPr>
      <w:r w:rsidRPr="007C3BE9">
        <w:t>The regulation of A</w:t>
      </w:r>
      <w:r>
        <w:t xml:space="preserve">I </w:t>
      </w:r>
      <w:r w:rsidRPr="007C3BE9">
        <w:t xml:space="preserve">is an emerging area and </w:t>
      </w:r>
      <w:r>
        <w:t>development of global</w:t>
      </w:r>
      <w:r w:rsidRPr="007C3BE9">
        <w:t xml:space="preserve"> standard</w:t>
      </w:r>
      <w:r>
        <w:t>s</w:t>
      </w:r>
      <w:r w:rsidRPr="007C3BE9">
        <w:t xml:space="preserve"> </w:t>
      </w:r>
      <w:r>
        <w:t>incorporating EU’s values (</w:t>
      </w:r>
      <w:r w:rsidRPr="000301E2">
        <w:rPr>
          <w:b/>
          <w:bCs/>
        </w:rPr>
        <w:t>paragraph 69</w:t>
      </w:r>
      <w:r>
        <w:t xml:space="preserve">) </w:t>
      </w:r>
      <w:r w:rsidRPr="007C3BE9">
        <w:t>can help to avoid fragment</w:t>
      </w:r>
      <w:r>
        <w:t>ed</w:t>
      </w:r>
      <w:r w:rsidRPr="007C3BE9">
        <w:t xml:space="preserve"> </w:t>
      </w:r>
      <w:proofErr w:type="gramStart"/>
      <w:r w:rsidRPr="007C3BE9">
        <w:t>approaches which</w:t>
      </w:r>
      <w:proofErr w:type="gramEnd"/>
      <w:r w:rsidRPr="007C3BE9">
        <w:t xml:space="preserve"> often result </w:t>
      </w:r>
      <w:r>
        <w:t>in</w:t>
      </w:r>
      <w:r w:rsidRPr="007C3BE9">
        <w:t xml:space="preserve"> the proliferation of trade barriers</w:t>
      </w:r>
      <w:r>
        <w:t>, whilst at the same time promoting trustworthy AI in line with the EU’s values. The Commission believes that it is important to develop a more strategic and coordinated approach to global standardisation in this area, including with like-minded trading partners, to ensure that standards are set in line with EU values</w:t>
      </w:r>
      <w:r w:rsidRPr="007C3BE9">
        <w:t xml:space="preserve">. </w:t>
      </w:r>
      <w:proofErr w:type="gramStart"/>
      <w:r w:rsidRPr="005C19DB">
        <w:t xml:space="preserve">The Commission </w:t>
      </w:r>
      <w:r>
        <w:t xml:space="preserve">is a founding member of the </w:t>
      </w:r>
      <w:r w:rsidRPr="0072172C">
        <w:t>Global Partnership on Artificial Intelligence</w:t>
      </w:r>
      <w:r>
        <w:t xml:space="preserve"> and is establishing specific cooperation mechanisms on AI with Japan and India.</w:t>
      </w:r>
      <w:proofErr w:type="gramEnd"/>
    </w:p>
    <w:p w:rsidR="001626E6" w:rsidRPr="00805685" w:rsidRDefault="001626E6" w:rsidP="001626E6">
      <w:pPr>
        <w:pStyle w:val="NormalHanging12a"/>
        <w:spacing w:after="120"/>
        <w:ind w:left="0" w:firstLine="0"/>
        <w:jc w:val="both"/>
        <w:rPr>
          <w:szCs w:val="24"/>
        </w:rPr>
      </w:pPr>
      <w:r>
        <w:t xml:space="preserve">Concerning </w:t>
      </w:r>
      <w:r w:rsidRPr="000301E2">
        <w:rPr>
          <w:b/>
          <w:bCs/>
        </w:rPr>
        <w:t>paragraph 70</w:t>
      </w:r>
      <w:r>
        <w:t>, t</w:t>
      </w:r>
      <w:r w:rsidRPr="0072172C">
        <w:t xml:space="preserve">he Commission welcomes the </w:t>
      </w:r>
      <w:r>
        <w:t xml:space="preserve">establishment of the EU-US </w:t>
      </w:r>
      <w:r w:rsidRPr="005C19DB">
        <w:t xml:space="preserve">Trade and Technology </w:t>
      </w:r>
      <w:r w:rsidRPr="00BA6944">
        <w:t>Council</w:t>
      </w:r>
      <w:r w:rsidRPr="0072172C">
        <w:t xml:space="preserve"> </w:t>
      </w:r>
      <w:r>
        <w:t xml:space="preserve">and will use this forum to pursue a </w:t>
      </w:r>
      <w:r w:rsidRPr="0072172C">
        <w:t>transatlantic AI agreement</w:t>
      </w:r>
      <w:r>
        <w:t>. The Commission welcomes</w:t>
      </w:r>
      <w:r w:rsidRPr="0072172C">
        <w:t xml:space="preserve"> </w:t>
      </w:r>
      <w:r>
        <w:t xml:space="preserve">the </w:t>
      </w:r>
      <w:r w:rsidRPr="0072172C">
        <w:t xml:space="preserve">support for the work </w:t>
      </w:r>
      <w:proofErr w:type="gramStart"/>
      <w:r w:rsidRPr="0072172C">
        <w:t>being done</w:t>
      </w:r>
      <w:proofErr w:type="gramEnd"/>
      <w:r w:rsidRPr="0072172C">
        <w:t xml:space="preserve"> with </w:t>
      </w:r>
      <w:r>
        <w:t xml:space="preserve">the </w:t>
      </w:r>
      <w:r w:rsidRPr="0072172C">
        <w:t>U</w:t>
      </w:r>
      <w:r>
        <w:t xml:space="preserve">nited </w:t>
      </w:r>
      <w:r w:rsidRPr="0072172C">
        <w:t>S</w:t>
      </w:r>
      <w:r>
        <w:t>tates</w:t>
      </w:r>
      <w:r w:rsidRPr="0072172C">
        <w:t xml:space="preserve">, Japan and other WTO Members to reform the international rules to better address competition distortions caused by state intervention in the economy, such as subsidies, forced technology transfers and state-owned enterprises. The Commission is promoting a </w:t>
      </w:r>
      <w:proofErr w:type="spellStart"/>
      <w:r w:rsidRPr="0072172C">
        <w:t>plurilateral</w:t>
      </w:r>
      <w:proofErr w:type="spellEnd"/>
      <w:r w:rsidRPr="0072172C">
        <w:t xml:space="preserve"> initiative on Competitive Neutrality as a way to tackle the negative </w:t>
      </w:r>
      <w:proofErr w:type="spellStart"/>
      <w:r w:rsidRPr="0072172C">
        <w:t>spillovers</w:t>
      </w:r>
      <w:proofErr w:type="spellEnd"/>
      <w:r w:rsidRPr="0072172C">
        <w:t xml:space="preserve"> in a coherent manner.</w:t>
      </w:r>
    </w:p>
    <w:p w:rsidR="001626E6" w:rsidRPr="007C3BE9" w:rsidRDefault="001626E6" w:rsidP="001626E6">
      <w:pPr>
        <w:pStyle w:val="NormalHanging12a"/>
        <w:widowControl/>
        <w:spacing w:after="120"/>
        <w:ind w:left="0" w:firstLine="0"/>
        <w:jc w:val="both"/>
        <w:rPr>
          <w:szCs w:val="24"/>
        </w:rPr>
      </w:pPr>
      <w:r>
        <w:t xml:space="preserve">As regards transport </w:t>
      </w:r>
      <w:r w:rsidRPr="0024455D">
        <w:t>(</w:t>
      </w:r>
      <w:r w:rsidRPr="0024455D">
        <w:rPr>
          <w:b/>
          <w:bCs/>
        </w:rPr>
        <w:t>paragraph 71</w:t>
      </w:r>
      <w:r w:rsidRPr="0024455D">
        <w:t>)</w:t>
      </w:r>
      <w:r>
        <w:t>, the d</w:t>
      </w:r>
      <w:r w:rsidRPr="0024455D">
        <w:t xml:space="preserve">igitalisation of infrastructure of all modes is an important element to limit congestion and hence </w:t>
      </w:r>
      <w:r>
        <w:t>reduce greenhouse gas</w:t>
      </w:r>
      <w:r w:rsidRPr="0024455D">
        <w:t xml:space="preserve"> </w:t>
      </w:r>
      <w:r>
        <w:t xml:space="preserve">emissions </w:t>
      </w:r>
      <w:r w:rsidRPr="0024455D">
        <w:t xml:space="preserve">and pollution </w:t>
      </w:r>
      <w:r>
        <w:t>in general, as well as and</w:t>
      </w:r>
      <w:r w:rsidRPr="0024455D">
        <w:t xml:space="preserve"> to improve the safety and security of transport. This was recognised in the Sustainable and Smart Mobility Strategy</w:t>
      </w:r>
      <w:r>
        <w:t xml:space="preserve"> (COM (2020) </w:t>
      </w:r>
      <w:r w:rsidRPr="0024455D">
        <w:t xml:space="preserve">789), which lays </w:t>
      </w:r>
      <w:r>
        <w:t>down</w:t>
      </w:r>
      <w:r w:rsidRPr="0024455D">
        <w:t xml:space="preserve"> 19 initiatives to advance smart mobility. </w:t>
      </w:r>
      <w:r>
        <w:t>The</w:t>
      </w:r>
      <w:r w:rsidRPr="0024455D">
        <w:t xml:space="preserve"> Connecting Europe Facility</w:t>
      </w:r>
      <w:r>
        <w:t xml:space="preserve">, </w:t>
      </w:r>
      <w:r w:rsidRPr="0024455D">
        <w:t xml:space="preserve">the Digital Europe </w:t>
      </w:r>
      <w:r>
        <w:t>p</w:t>
      </w:r>
      <w:r w:rsidRPr="0024455D">
        <w:t>rogramme</w:t>
      </w:r>
      <w:r>
        <w:t xml:space="preserve"> and the RRF can also contribute to physical and digital infrastructure projects</w:t>
      </w:r>
      <w:r w:rsidRPr="0024455D">
        <w:t xml:space="preserve">. </w:t>
      </w:r>
      <w:proofErr w:type="gramStart"/>
      <w:r>
        <w:t>Furthermore, t</w:t>
      </w:r>
      <w:r w:rsidRPr="0024455D">
        <w:t>he revised Trans-Euro</w:t>
      </w:r>
      <w:r>
        <w:t>pean Transport Network (TEN-T) R</w:t>
      </w:r>
      <w:r w:rsidRPr="0024455D">
        <w:t>egulation that will be pr</w:t>
      </w:r>
      <w:r>
        <w:t>oposed by the Commission i</w:t>
      </w:r>
      <w:r w:rsidRPr="0024455D">
        <w:t>n 2021, and the updated Technical Specifications for Interoperability will promote digitalisation efforts and measures, for example by accelerating the deployment of the European Railway Traffic Management System (ERTMS) in rail to optimize the use of infrastructure, or by deployment of Intelligent transport systems (ITS) on the TEN-T network.</w:t>
      </w:r>
      <w:proofErr w:type="gramEnd"/>
      <w:r>
        <w:t xml:space="preserve"> The Commission is proposing that Europe’s Rail Joint Undertaking (funded under the Horizon Europe programme) will also develop advanced digitalisation solutions to improve rail performance. </w:t>
      </w:r>
      <w:r w:rsidRPr="00D9228B">
        <w:t xml:space="preserve">The revised Coordinated Plan on AI </w:t>
      </w:r>
      <w:r>
        <w:t xml:space="preserve">also </w:t>
      </w:r>
      <w:r w:rsidRPr="00D9228B">
        <w:lastRenderedPageBreak/>
        <w:t>sets out, in its section 16, a number of measures</w:t>
      </w:r>
      <w:r>
        <w:t xml:space="preserve"> </w:t>
      </w:r>
      <w:r w:rsidRPr="00D9228B">
        <w:t>to reap the benefits of AI technologies in the transport sector.</w:t>
      </w:r>
      <w:r>
        <w:t xml:space="preserve"> </w:t>
      </w:r>
      <w:r w:rsidRPr="00D9228B">
        <w:t>The Sustainable and Smart Mobility Strategy considers AI as a key enabler for transport automation and digitalisation in all modes and help the transport sector achieve its environmental goals. It can help optimize the planning and conduct of travel, freight and transport operations, allow better prediction and lead to faster and better decisions. Therefore</w:t>
      </w:r>
      <w:r>
        <w:t>,</w:t>
      </w:r>
      <w:r w:rsidRPr="00D9228B">
        <w:t xml:space="preserve"> the strategy announced, under flagship 7 and more particularly action 50, the establishment of an AI roadmap for mobility.</w:t>
      </w:r>
    </w:p>
    <w:p w:rsidR="001626E6" w:rsidRPr="000301E2" w:rsidRDefault="001626E6" w:rsidP="001626E6">
      <w:pPr>
        <w:widowControl w:val="0"/>
        <w:spacing w:after="120"/>
        <w:rPr>
          <w:rFonts w:ascii="Times New Roman" w:hAnsi="Times New Roman"/>
        </w:rPr>
      </w:pPr>
      <w:r w:rsidRPr="00D9228B">
        <w:rPr>
          <w:rFonts w:ascii="Times New Roman" w:hAnsi="Times New Roman"/>
        </w:rPr>
        <w:t>Welcoming the Parliament’s call for a clear strategy for the European Digital Innovation Hubs (</w:t>
      </w:r>
      <w:r w:rsidRPr="000301E2">
        <w:rPr>
          <w:rFonts w:ascii="Times New Roman" w:hAnsi="Times New Roman"/>
          <w:b/>
          <w:bCs/>
        </w:rPr>
        <w:t>paragraph 80</w:t>
      </w:r>
      <w:r w:rsidRPr="00D9228B">
        <w:rPr>
          <w:rFonts w:ascii="Times New Roman" w:hAnsi="Times New Roman"/>
        </w:rPr>
        <w:t>), the Commission notes that the goal of the network of European Digital Innovation Hubs is to have at least one hub per region</w:t>
      </w:r>
      <w:r>
        <w:rPr>
          <w:rFonts w:ascii="Times New Roman" w:hAnsi="Times New Roman"/>
        </w:rPr>
        <w:t xml:space="preserve"> </w:t>
      </w:r>
      <w:r w:rsidRPr="00D9228B">
        <w:rPr>
          <w:rFonts w:ascii="Times New Roman" w:hAnsi="Times New Roman"/>
        </w:rPr>
        <w:t>in working distance from all SMEs in Europe. They should deliver a seamless service with</w:t>
      </w:r>
      <w:r>
        <w:rPr>
          <w:rFonts w:ascii="Times New Roman" w:hAnsi="Times New Roman"/>
        </w:rPr>
        <w:t>in</w:t>
      </w:r>
      <w:r w:rsidRPr="00D9228B">
        <w:rPr>
          <w:rFonts w:ascii="Times New Roman" w:hAnsi="Times New Roman"/>
        </w:rPr>
        <w:t xml:space="preserve"> Enterprise Europe Network. European Digital Innovation Hubs will provide services that take into account the specialisation of the region</w:t>
      </w:r>
      <w:r>
        <w:rPr>
          <w:rFonts w:ascii="Times New Roman" w:hAnsi="Times New Roman"/>
        </w:rPr>
        <w:t xml:space="preserve"> and</w:t>
      </w:r>
      <w:r w:rsidRPr="00D9228B">
        <w:rPr>
          <w:rFonts w:ascii="Times New Roman" w:hAnsi="Times New Roman"/>
        </w:rPr>
        <w:t xml:space="preserve"> </w:t>
      </w:r>
      <w:proofErr w:type="gramStart"/>
      <w:r w:rsidRPr="00D9228B">
        <w:rPr>
          <w:rFonts w:ascii="Times New Roman" w:hAnsi="Times New Roman"/>
        </w:rPr>
        <w:t>will also</w:t>
      </w:r>
      <w:proofErr w:type="gramEnd"/>
      <w:r w:rsidRPr="00D9228B">
        <w:rPr>
          <w:rFonts w:ascii="Times New Roman" w:hAnsi="Times New Roman"/>
        </w:rPr>
        <w:t xml:space="preserve"> have specific local knowledge </w:t>
      </w:r>
      <w:r>
        <w:rPr>
          <w:rFonts w:ascii="Times New Roman" w:hAnsi="Times New Roman"/>
        </w:rPr>
        <w:t>and</w:t>
      </w:r>
      <w:r w:rsidRPr="00D9228B">
        <w:rPr>
          <w:rFonts w:ascii="Times New Roman" w:hAnsi="Times New Roman"/>
        </w:rPr>
        <w:t xml:space="preserve"> understanding</w:t>
      </w:r>
      <w:r>
        <w:rPr>
          <w:rFonts w:ascii="Times New Roman" w:hAnsi="Times New Roman"/>
        </w:rPr>
        <w:t xml:space="preserve"> of</w:t>
      </w:r>
      <w:r w:rsidRPr="00D9228B">
        <w:rPr>
          <w:rFonts w:ascii="Times New Roman" w:hAnsi="Times New Roman"/>
        </w:rPr>
        <w:t xml:space="preserve"> the local context. Through the network, businesses will also have access to the expertise of other hubs around Europe. The network </w:t>
      </w:r>
      <w:proofErr w:type="gramStart"/>
      <w:r w:rsidRPr="00D9228B">
        <w:rPr>
          <w:rFonts w:ascii="Times New Roman" w:hAnsi="Times New Roman"/>
        </w:rPr>
        <w:t>will be supported</w:t>
      </w:r>
      <w:proofErr w:type="gramEnd"/>
      <w:r w:rsidRPr="00D9228B">
        <w:rPr>
          <w:rFonts w:ascii="Times New Roman" w:hAnsi="Times New Roman"/>
        </w:rPr>
        <w:t xml:space="preserve"> by a support action called the Digital Transformation Accelerator. It will ensure matchmaking for needs and demands at the European level and will facilitate sharing of best practices between groups of hubs with similar interests. The Digital Transformation Accelerator can also facilitate cross-sector learning whenever it would be appropriate.</w:t>
      </w:r>
      <w:r>
        <w:rPr>
          <w:rFonts w:ascii="Times New Roman" w:hAnsi="Times New Roman"/>
        </w:rPr>
        <w:t xml:space="preserve"> </w:t>
      </w:r>
      <w:r w:rsidRPr="00D9228B">
        <w:rPr>
          <w:rFonts w:ascii="Times New Roman" w:hAnsi="Times New Roman"/>
        </w:rPr>
        <w:t xml:space="preserve">Concerning start-ups, the Organisation for Economic Co-operation and Development, mandated by the Commission, completed a first pilot-study in five countries to determine the ingredients for scaling-up. A follow-up study </w:t>
      </w:r>
      <w:proofErr w:type="gramStart"/>
      <w:r w:rsidRPr="00D9228B">
        <w:rPr>
          <w:rFonts w:ascii="Times New Roman" w:hAnsi="Times New Roman"/>
        </w:rPr>
        <w:t xml:space="preserve">is </w:t>
      </w:r>
      <w:r>
        <w:rPr>
          <w:rFonts w:ascii="Times New Roman" w:hAnsi="Times New Roman"/>
        </w:rPr>
        <w:t>being considered</w:t>
      </w:r>
      <w:proofErr w:type="gramEnd"/>
      <w:r w:rsidRPr="00D9228B">
        <w:rPr>
          <w:rFonts w:ascii="Times New Roman" w:hAnsi="Times New Roman"/>
        </w:rPr>
        <w:t xml:space="preserve">. This will give better evidence for a fine-tuned start-up and scale-up policy. As the scale-up gap is widening in the EU, as confirmed by different surveys and academic studies, a specific scale-up financing instrument (ESCALAR) </w:t>
      </w:r>
      <w:proofErr w:type="gramStart"/>
      <w:r w:rsidRPr="00D9228B">
        <w:rPr>
          <w:rFonts w:ascii="Times New Roman" w:hAnsi="Times New Roman"/>
        </w:rPr>
        <w:t>was</w:t>
      </w:r>
      <w:r w:rsidRPr="005B5A67">
        <w:rPr>
          <w:rFonts w:ascii="Times New Roman" w:hAnsi="Times New Roman"/>
        </w:rPr>
        <w:t xml:space="preserve"> successfully launched</w:t>
      </w:r>
      <w:proofErr w:type="gramEnd"/>
      <w:r w:rsidRPr="005B5A67">
        <w:rPr>
          <w:rFonts w:ascii="Times New Roman" w:hAnsi="Times New Roman"/>
        </w:rPr>
        <w:t xml:space="preserve"> in 2020 and this pilot-scheme will be integrated in Invest-EU 2021 – 2027.</w:t>
      </w:r>
      <w:r>
        <w:rPr>
          <w:rFonts w:ascii="Times New Roman" w:hAnsi="Times New Roman"/>
        </w:rPr>
        <w:t xml:space="preserve"> </w:t>
      </w:r>
      <w:r w:rsidRPr="004C0EAE">
        <w:rPr>
          <w:rFonts w:ascii="Times New Roman" w:hAnsi="Times New Roman"/>
        </w:rPr>
        <w:t xml:space="preserve">According to the Survey on the Access to Finance of Enterprises (SAFE) 2020, taxation is not among the most important issues for SMEs. Tax incentives for SMEs, in some cases, </w:t>
      </w:r>
      <w:proofErr w:type="gramStart"/>
      <w:r w:rsidRPr="004C0EAE">
        <w:rPr>
          <w:rFonts w:ascii="Times New Roman" w:hAnsi="Times New Roman"/>
        </w:rPr>
        <w:t>are not well targeted</w:t>
      </w:r>
      <w:proofErr w:type="gramEnd"/>
      <w:r w:rsidRPr="004C0EAE">
        <w:rPr>
          <w:rFonts w:ascii="Times New Roman" w:hAnsi="Times New Roman"/>
        </w:rPr>
        <w:t xml:space="preserve"> to address their concerns and must be properly designed to minimise the risk of </w:t>
      </w:r>
      <w:r>
        <w:rPr>
          <w:rFonts w:ascii="Times New Roman" w:hAnsi="Times New Roman"/>
        </w:rPr>
        <w:t xml:space="preserve">tax avoidance. </w:t>
      </w:r>
      <w:r w:rsidRPr="004C0EAE">
        <w:rPr>
          <w:rFonts w:ascii="Times New Roman" w:hAnsi="Times New Roman"/>
        </w:rPr>
        <w:t xml:space="preserve">The Commission is aware that some features of tax systems could have an impact on financing decisions, which is relevant for many SMEs. In view of this, the Commission will bring forward a proposal for a measure to address the debt-equity </w:t>
      </w:r>
      <w:r>
        <w:rPr>
          <w:rFonts w:ascii="Times New Roman" w:hAnsi="Times New Roman"/>
        </w:rPr>
        <w:t xml:space="preserve">bias in corporate taxation. </w:t>
      </w:r>
      <w:r w:rsidRPr="004C0EAE">
        <w:rPr>
          <w:rFonts w:ascii="Times New Roman" w:hAnsi="Times New Roman"/>
        </w:rPr>
        <w:t>Finally, alongside its Communication on business taxation for the 21st century</w:t>
      </w:r>
      <w:r>
        <w:rPr>
          <w:rFonts w:ascii="Times New Roman" w:hAnsi="Times New Roman"/>
        </w:rPr>
        <w:t xml:space="preserve"> (</w:t>
      </w:r>
      <w:proofErr w:type="gramStart"/>
      <w:r w:rsidRPr="00DF2F9C">
        <w:rPr>
          <w:rFonts w:ascii="Times New Roman" w:hAnsi="Times New Roman"/>
        </w:rPr>
        <w:t>COM(</w:t>
      </w:r>
      <w:proofErr w:type="gramEnd"/>
      <w:r w:rsidRPr="00DF2F9C">
        <w:rPr>
          <w:rFonts w:ascii="Times New Roman" w:hAnsi="Times New Roman"/>
        </w:rPr>
        <w:t>2021) 251 final</w:t>
      </w:r>
      <w:r>
        <w:rPr>
          <w:rFonts w:ascii="Times New Roman" w:hAnsi="Times New Roman"/>
        </w:rPr>
        <w:t>)</w:t>
      </w:r>
      <w:r w:rsidRPr="004C0EAE">
        <w:rPr>
          <w:rFonts w:ascii="Times New Roman" w:hAnsi="Times New Roman"/>
        </w:rPr>
        <w:t>, the Com</w:t>
      </w:r>
      <w:r>
        <w:rPr>
          <w:rFonts w:ascii="Times New Roman" w:hAnsi="Times New Roman"/>
        </w:rPr>
        <w:t>mission has also put forward a R</w:t>
      </w:r>
      <w:r w:rsidRPr="004C0EAE">
        <w:rPr>
          <w:rFonts w:ascii="Times New Roman" w:hAnsi="Times New Roman"/>
        </w:rPr>
        <w:t>ecommendation for a carry backward of losses incurred in 2020 and 2021</w:t>
      </w:r>
      <w:r>
        <w:rPr>
          <w:rFonts w:ascii="Times New Roman" w:hAnsi="Times New Roman"/>
        </w:rPr>
        <w:t xml:space="preserve"> (</w:t>
      </w:r>
      <w:r w:rsidRPr="00DF2F9C">
        <w:rPr>
          <w:rFonts w:ascii="Times New Roman" w:hAnsi="Times New Roman"/>
        </w:rPr>
        <w:t>C(2021) 3484 fina</w:t>
      </w:r>
      <w:r>
        <w:rPr>
          <w:rFonts w:ascii="Times New Roman" w:hAnsi="Times New Roman"/>
        </w:rPr>
        <w:t>l)</w:t>
      </w:r>
      <w:r w:rsidRPr="004C0EAE">
        <w:rPr>
          <w:rFonts w:ascii="Times New Roman" w:hAnsi="Times New Roman"/>
        </w:rPr>
        <w:t>, so as to improve business cash flow, especially for SMEs, and support them during the crisis.</w:t>
      </w:r>
      <w:r>
        <w:rPr>
          <w:rFonts w:ascii="Times New Roman" w:hAnsi="Times New Roman"/>
        </w:rPr>
        <w:t xml:space="preserve"> As regards the call of the Parliament </w:t>
      </w:r>
      <w:r w:rsidRPr="001113CF">
        <w:rPr>
          <w:rFonts w:ascii="Times New Roman" w:hAnsi="Times New Roman"/>
        </w:rPr>
        <w:t>for a ‘</w:t>
      </w:r>
      <w:r w:rsidRPr="00061DD0">
        <w:rPr>
          <w:rFonts w:ascii="Times New Roman" w:hAnsi="Times New Roman"/>
        </w:rPr>
        <w:t xml:space="preserve">EU Start-up Visa’, </w:t>
      </w:r>
      <w:r w:rsidRPr="00E06BD3">
        <w:rPr>
          <w:rFonts w:ascii="Times New Roman" w:hAnsi="Times New Roman"/>
        </w:rPr>
        <w:t>admission o</w:t>
      </w:r>
      <w:r w:rsidRPr="00514A0D">
        <w:rPr>
          <w:rFonts w:ascii="Times New Roman" w:hAnsi="Times New Roman"/>
          <w:lang w:val="en-US"/>
        </w:rPr>
        <w:t xml:space="preserve">f third-country nationals through specific schemes for ‘start-ups’ is not regulated at EU level. A mapping of schemes targeting start-up founders and entrepreneurs </w:t>
      </w:r>
      <w:r>
        <w:rPr>
          <w:rFonts w:ascii="Times New Roman" w:hAnsi="Times New Roman"/>
          <w:lang w:val="en-US"/>
        </w:rPr>
        <w:t>was</w:t>
      </w:r>
      <w:r w:rsidRPr="00514A0D">
        <w:rPr>
          <w:rFonts w:ascii="Times New Roman" w:hAnsi="Times New Roman"/>
          <w:lang w:val="en-US"/>
        </w:rPr>
        <w:t xml:space="preserve"> conducted in the context of the impact assessment </w:t>
      </w:r>
      <w:r>
        <w:rPr>
          <w:rFonts w:ascii="Times New Roman" w:hAnsi="Times New Roman"/>
          <w:lang w:val="en-US"/>
        </w:rPr>
        <w:t>for the</w:t>
      </w:r>
      <w:r w:rsidRPr="00514A0D">
        <w:rPr>
          <w:rFonts w:ascii="Times New Roman" w:hAnsi="Times New Roman"/>
          <w:lang w:val="en-US"/>
        </w:rPr>
        <w:t xml:space="preserve"> Blue Card </w:t>
      </w:r>
      <w:r>
        <w:rPr>
          <w:rFonts w:ascii="Times New Roman" w:hAnsi="Times New Roman"/>
          <w:lang w:val="en-US"/>
        </w:rPr>
        <w:t xml:space="preserve">legislation </w:t>
      </w:r>
      <w:r w:rsidRPr="00514A0D">
        <w:rPr>
          <w:rFonts w:ascii="Times New Roman" w:hAnsi="Times New Roman"/>
          <w:lang w:val="en-US"/>
        </w:rPr>
        <w:t>revision</w:t>
      </w:r>
      <w:r>
        <w:rPr>
          <w:rFonts w:ascii="Times New Roman" w:hAnsi="Times New Roman"/>
          <w:lang w:val="en-US"/>
        </w:rPr>
        <w:t xml:space="preserve"> and</w:t>
      </w:r>
      <w:r w:rsidRPr="00514A0D">
        <w:rPr>
          <w:rFonts w:ascii="Times New Roman" w:hAnsi="Times New Roman"/>
          <w:lang w:val="en-US"/>
        </w:rPr>
        <w:t xml:space="preserve"> was updated at the end of 2019 by a study conducted by the European Migration Network on ‘Migratory Pathways for Start-ups and Innovative Entrepre</w:t>
      </w:r>
      <w:r>
        <w:rPr>
          <w:rFonts w:ascii="Times New Roman" w:hAnsi="Times New Roman"/>
          <w:lang w:val="en-US"/>
        </w:rPr>
        <w:t>neurs in the EU’. Finally, the fitness c</w:t>
      </w:r>
      <w:r w:rsidRPr="00514A0D">
        <w:rPr>
          <w:rFonts w:ascii="Times New Roman" w:hAnsi="Times New Roman"/>
          <w:lang w:val="en-US"/>
        </w:rPr>
        <w:t>heck on Legal Migration has also a dedicated annex on the topic and provides for further analytical elements. Against this background, and in the context of Single Permit Directive and/</w:t>
      </w:r>
      <w:r>
        <w:rPr>
          <w:rFonts w:ascii="Times New Roman" w:hAnsi="Times New Roman"/>
          <w:lang w:val="en-US"/>
        </w:rPr>
        <w:t xml:space="preserve"> </w:t>
      </w:r>
      <w:r w:rsidRPr="00514A0D">
        <w:rPr>
          <w:rFonts w:ascii="Times New Roman" w:hAnsi="Times New Roman"/>
          <w:lang w:val="en-US"/>
        </w:rPr>
        <w:t xml:space="preserve">or other future initiatives on legal migration, the Commission will </w:t>
      </w:r>
      <w:r w:rsidRPr="00E06BD3">
        <w:rPr>
          <w:rFonts w:ascii="Times New Roman" w:hAnsi="Times New Roman"/>
        </w:rPr>
        <w:t xml:space="preserve">analyse </w:t>
      </w:r>
      <w:r w:rsidRPr="00514A0D">
        <w:rPr>
          <w:rFonts w:ascii="Times New Roman" w:hAnsi="Times New Roman"/>
          <w:lang w:val="en-US"/>
        </w:rPr>
        <w:t>the need and feasibility of regulating the procedures and/</w:t>
      </w:r>
      <w:r>
        <w:rPr>
          <w:rFonts w:ascii="Times New Roman" w:hAnsi="Times New Roman"/>
          <w:lang w:val="en-US"/>
        </w:rPr>
        <w:t xml:space="preserve"> </w:t>
      </w:r>
      <w:r w:rsidRPr="00514A0D">
        <w:rPr>
          <w:rFonts w:ascii="Times New Roman" w:hAnsi="Times New Roman"/>
          <w:lang w:val="en-US"/>
        </w:rPr>
        <w:t>or admission conditions for self-employed third-country nationals at EU level.</w:t>
      </w:r>
      <w:r>
        <w:rPr>
          <w:rFonts w:ascii="Times New Roman" w:hAnsi="Times New Roman"/>
        </w:rPr>
        <w:t xml:space="preserve"> Furthermore, t</w:t>
      </w:r>
      <w:r w:rsidRPr="00D9228B">
        <w:rPr>
          <w:rFonts w:ascii="Times New Roman" w:hAnsi="Times New Roman"/>
        </w:rPr>
        <w:t xml:space="preserve">hrough the EU’s </w:t>
      </w:r>
      <w:proofErr w:type="spellStart"/>
      <w:r w:rsidRPr="00D9228B">
        <w:rPr>
          <w:rFonts w:ascii="Times New Roman" w:hAnsi="Times New Roman"/>
        </w:rPr>
        <w:t>Startup</w:t>
      </w:r>
      <w:proofErr w:type="spellEnd"/>
      <w:r w:rsidRPr="00D9228B">
        <w:rPr>
          <w:rFonts w:ascii="Times New Roman" w:hAnsi="Times New Roman"/>
        </w:rPr>
        <w:t xml:space="preserve"> Nations Standard the Commission is working closely with </w:t>
      </w:r>
      <w:r>
        <w:rPr>
          <w:rFonts w:ascii="Times New Roman" w:hAnsi="Times New Roman"/>
        </w:rPr>
        <w:t xml:space="preserve">the </w:t>
      </w:r>
      <w:r w:rsidRPr="00D9228B">
        <w:rPr>
          <w:rFonts w:ascii="Times New Roman" w:hAnsi="Times New Roman"/>
        </w:rPr>
        <w:t>Member States to enhance the enabling environment for start-ups and to ensure that all start-ups and scale-ups in the EU benefit from the best practices underpinning Europe’s and the world’s most successful start-up ecosystems. The standards include concrete best practices on entrepreneurship friendly measures.</w:t>
      </w:r>
      <w:r>
        <w:rPr>
          <w:rFonts w:ascii="Times New Roman" w:hAnsi="Times New Roman"/>
        </w:rPr>
        <w:t xml:space="preserve"> </w:t>
      </w:r>
      <w:r w:rsidRPr="00D9228B">
        <w:rPr>
          <w:rFonts w:ascii="Times New Roman" w:hAnsi="Times New Roman"/>
        </w:rPr>
        <w:t xml:space="preserve">The Commission also recalls the objective, set out in its Digital Decade </w:t>
      </w:r>
      <w:r w:rsidRPr="00D9228B">
        <w:rPr>
          <w:rFonts w:ascii="Times New Roman" w:hAnsi="Times New Roman"/>
        </w:rPr>
        <w:lastRenderedPageBreak/>
        <w:t>Communication, for Europe grow the pipeline of its innovative scale ups and improve their access to finance, leading to doubling the number of unicorns in Europe, by 2030.</w:t>
      </w:r>
    </w:p>
    <w:p w:rsidR="001626E6" w:rsidRPr="000301E2" w:rsidRDefault="001626E6" w:rsidP="001626E6">
      <w:pPr>
        <w:widowControl w:val="0"/>
        <w:spacing w:after="120"/>
        <w:rPr>
          <w:rFonts w:ascii="Times New Roman" w:hAnsi="Times New Roman"/>
        </w:rPr>
      </w:pPr>
      <w:r w:rsidRPr="00D9228B">
        <w:rPr>
          <w:rFonts w:ascii="Times New Roman" w:hAnsi="Times New Roman"/>
        </w:rPr>
        <w:t xml:space="preserve">As regards </w:t>
      </w:r>
      <w:r w:rsidRPr="000301E2">
        <w:rPr>
          <w:rFonts w:ascii="Times New Roman" w:hAnsi="Times New Roman"/>
          <w:b/>
          <w:bCs/>
        </w:rPr>
        <w:t>paragraph 85</w:t>
      </w:r>
      <w:r w:rsidRPr="00D9228B">
        <w:rPr>
          <w:rFonts w:ascii="Times New Roman" w:hAnsi="Times New Roman"/>
        </w:rPr>
        <w:t xml:space="preserve">, the Commission highlights that the proposed mandatory requirements for high-risk AI systems aim to ensure that </w:t>
      </w:r>
      <w:r>
        <w:rPr>
          <w:rFonts w:ascii="Times New Roman" w:hAnsi="Times New Roman"/>
        </w:rPr>
        <w:t xml:space="preserve">unfair </w:t>
      </w:r>
      <w:r w:rsidRPr="00D9228B">
        <w:rPr>
          <w:rFonts w:ascii="Times New Roman" w:hAnsi="Times New Roman"/>
        </w:rPr>
        <w:t xml:space="preserve">bias </w:t>
      </w:r>
      <w:proofErr w:type="gramStart"/>
      <w:r w:rsidRPr="00D9228B">
        <w:rPr>
          <w:rFonts w:ascii="Times New Roman" w:hAnsi="Times New Roman"/>
        </w:rPr>
        <w:t xml:space="preserve">is not </w:t>
      </w:r>
      <w:r>
        <w:rPr>
          <w:rFonts w:ascii="Times New Roman" w:hAnsi="Times New Roman"/>
        </w:rPr>
        <w:t>e</w:t>
      </w:r>
      <w:r w:rsidRPr="00D9228B">
        <w:rPr>
          <w:rFonts w:ascii="Times New Roman" w:hAnsi="Times New Roman"/>
        </w:rPr>
        <w:t>mbedded</w:t>
      </w:r>
      <w:proofErr w:type="gramEnd"/>
      <w:r w:rsidRPr="00D9228B">
        <w:rPr>
          <w:rFonts w:ascii="Times New Roman" w:hAnsi="Times New Roman"/>
        </w:rPr>
        <w:t xml:space="preserve"> in the AI system </w:t>
      </w:r>
      <w:r>
        <w:rPr>
          <w:rFonts w:ascii="Times New Roman" w:hAnsi="Times New Roman"/>
        </w:rPr>
        <w:t xml:space="preserve">or is addressed otherwise </w:t>
      </w:r>
      <w:r w:rsidRPr="00D9228B">
        <w:rPr>
          <w:rFonts w:ascii="Times New Roman" w:hAnsi="Times New Roman"/>
        </w:rPr>
        <w:t>and its use respects the principles of equality and non-discrimination. AI systems must be technically robust to guarantee that the technology is fit for purpose and results are not affecting protected groups in a discriminatory way. Data-driven AI systems should also be trained and tested with sufficiently representative and relevant dataset</w:t>
      </w:r>
      <w:r>
        <w:rPr>
          <w:rFonts w:ascii="Times New Roman" w:hAnsi="Times New Roman"/>
        </w:rPr>
        <w:t>s</w:t>
      </w:r>
      <w:r w:rsidRPr="00D9228B">
        <w:rPr>
          <w:rFonts w:ascii="Times New Roman" w:hAnsi="Times New Roman"/>
        </w:rPr>
        <w:t xml:space="preserve"> to minimise the risk of </w:t>
      </w:r>
      <w:proofErr w:type="gramStart"/>
      <w:r w:rsidRPr="00D9228B">
        <w:rPr>
          <w:rFonts w:ascii="Times New Roman" w:hAnsi="Times New Roman"/>
        </w:rPr>
        <w:t>discrimination and there should be appropriate bias detection, correction</w:t>
      </w:r>
      <w:proofErr w:type="gramEnd"/>
      <w:r w:rsidRPr="00D9228B">
        <w:rPr>
          <w:rFonts w:ascii="Times New Roman" w:hAnsi="Times New Roman"/>
        </w:rPr>
        <w:t xml:space="preserve"> and other mitigating measures implemented before the system is placed on the market and during its use. High-risk AI systems must also be traceable and auditable with appropriate documentation that would be key in ex post investigations carried out by national competent authorities. The Commission believes that these requirements will significantly contribute to the development, deployment and use of AI technologies that respect the principle of gender equality and contribute to ove</w:t>
      </w:r>
      <w:r>
        <w:rPr>
          <w:rFonts w:ascii="Times New Roman" w:hAnsi="Times New Roman"/>
        </w:rPr>
        <w:t xml:space="preserve">rcoming gender discrimination. </w:t>
      </w:r>
      <w:r w:rsidRPr="00D9228B">
        <w:rPr>
          <w:rFonts w:ascii="Times New Roman" w:hAnsi="Times New Roman"/>
        </w:rPr>
        <w:t xml:space="preserve">The </w:t>
      </w:r>
      <w:r w:rsidRPr="00BE4A79">
        <w:rPr>
          <w:rFonts w:ascii="Times New Roman" w:hAnsi="Times New Roman"/>
          <w:lang w:val="en-US"/>
        </w:rPr>
        <w:t>Ministerial declaration of women in digital</w:t>
      </w:r>
      <w:r w:rsidRPr="00D9228B">
        <w:rPr>
          <w:rFonts w:ascii="Times New Roman" w:hAnsi="Times New Roman"/>
          <w:lang w:val="en-US"/>
        </w:rPr>
        <w:t xml:space="preserve"> </w:t>
      </w:r>
      <w:r>
        <w:rPr>
          <w:rFonts w:ascii="Times New Roman" w:hAnsi="Times New Roman"/>
          <w:lang w:val="en-US"/>
        </w:rPr>
        <w:t xml:space="preserve">that </w:t>
      </w:r>
      <w:r w:rsidRPr="00D9228B">
        <w:rPr>
          <w:rFonts w:ascii="Times New Roman" w:hAnsi="Times New Roman"/>
          <w:lang w:val="en-US"/>
        </w:rPr>
        <w:t>Member States signed in April 2019 is now part of the Commission’s Equality Strategy (March 2020). The Commission is working with national representatives to implement the declaration’s actions</w:t>
      </w:r>
      <w:r w:rsidRPr="00D9228B">
        <w:rPr>
          <w:rFonts w:ascii="Times New Roman" w:hAnsi="Times New Roman"/>
        </w:rPr>
        <w:t>.</w:t>
      </w:r>
    </w:p>
    <w:p w:rsidR="001626E6" w:rsidRPr="007B5AE6" w:rsidRDefault="001626E6" w:rsidP="001626E6">
      <w:pPr>
        <w:widowControl w:val="0"/>
        <w:spacing w:after="120"/>
        <w:rPr>
          <w:rFonts w:ascii="Times New Roman" w:hAnsi="Times New Roman"/>
          <w:szCs w:val="24"/>
        </w:rPr>
      </w:pPr>
      <w:r w:rsidRPr="00D9228B">
        <w:rPr>
          <w:rFonts w:ascii="Times New Roman" w:hAnsi="Times New Roman"/>
        </w:rPr>
        <w:t xml:space="preserve">The Commission shares the </w:t>
      </w:r>
      <w:r>
        <w:rPr>
          <w:rFonts w:ascii="Times New Roman" w:hAnsi="Times New Roman"/>
        </w:rPr>
        <w:t xml:space="preserve">Parliament’s </w:t>
      </w:r>
      <w:r w:rsidRPr="00D9228B">
        <w:rPr>
          <w:rFonts w:ascii="Times New Roman" w:hAnsi="Times New Roman"/>
        </w:rPr>
        <w:t xml:space="preserve">view expressed in </w:t>
      </w:r>
      <w:r w:rsidRPr="000301E2">
        <w:rPr>
          <w:rFonts w:ascii="Times New Roman" w:hAnsi="Times New Roman"/>
          <w:b/>
          <w:bCs/>
        </w:rPr>
        <w:t>paragraph 86</w:t>
      </w:r>
      <w:r>
        <w:rPr>
          <w:rFonts w:ascii="Times New Roman" w:hAnsi="Times New Roman"/>
        </w:rPr>
        <w:t xml:space="preserve"> of the resolution </w:t>
      </w:r>
      <w:r w:rsidRPr="00D9228B">
        <w:rPr>
          <w:rFonts w:ascii="Times New Roman" w:hAnsi="Times New Roman"/>
        </w:rPr>
        <w:t>that it is important to foster R&amp;I and capacity building in AI and Internet of Things (</w:t>
      </w:r>
      <w:proofErr w:type="spellStart"/>
      <w:r w:rsidRPr="00D9228B">
        <w:rPr>
          <w:rFonts w:ascii="Times New Roman" w:hAnsi="Times New Roman"/>
        </w:rPr>
        <w:t>IoT</w:t>
      </w:r>
      <w:proofErr w:type="spellEnd"/>
      <w:r w:rsidRPr="00D9228B">
        <w:rPr>
          <w:rFonts w:ascii="Times New Roman" w:hAnsi="Times New Roman"/>
        </w:rPr>
        <w:t xml:space="preserve">) technologies in </w:t>
      </w:r>
      <w:proofErr w:type="spellStart"/>
      <w:r w:rsidRPr="00D9228B">
        <w:rPr>
          <w:rFonts w:ascii="Times New Roman" w:hAnsi="Times New Roman"/>
        </w:rPr>
        <w:t>agri</w:t>
      </w:r>
      <w:proofErr w:type="spellEnd"/>
      <w:r w:rsidRPr="00D9228B">
        <w:rPr>
          <w:rFonts w:ascii="Times New Roman" w:hAnsi="Times New Roman"/>
        </w:rPr>
        <w:t xml:space="preserve">-food, in particular to strengthen the sector’s sustainability and economic performance. </w:t>
      </w:r>
      <w:r>
        <w:rPr>
          <w:rFonts w:ascii="Times New Roman" w:hAnsi="Times New Roman"/>
        </w:rPr>
        <w:t>In</w:t>
      </w:r>
      <w:r w:rsidRPr="00D9228B">
        <w:rPr>
          <w:rFonts w:ascii="Times New Roman" w:hAnsi="Times New Roman"/>
        </w:rPr>
        <w:t xml:space="preserve"> the post-2020 </w:t>
      </w:r>
      <w:proofErr w:type="gramStart"/>
      <w:r w:rsidRPr="00D9228B">
        <w:rPr>
          <w:rFonts w:ascii="Times New Roman" w:hAnsi="Times New Roman"/>
        </w:rPr>
        <w:t>period</w:t>
      </w:r>
      <w:proofErr w:type="gramEnd"/>
      <w:r w:rsidRPr="00D9228B">
        <w:rPr>
          <w:rFonts w:ascii="Times New Roman" w:hAnsi="Times New Roman"/>
        </w:rPr>
        <w:t xml:space="preserve"> AI and </w:t>
      </w:r>
      <w:proofErr w:type="spellStart"/>
      <w:r w:rsidRPr="00D9228B">
        <w:rPr>
          <w:rFonts w:ascii="Times New Roman" w:hAnsi="Times New Roman"/>
        </w:rPr>
        <w:t>IoT</w:t>
      </w:r>
      <w:proofErr w:type="spellEnd"/>
      <w:r w:rsidRPr="00D9228B">
        <w:rPr>
          <w:rFonts w:ascii="Times New Roman" w:hAnsi="Times New Roman"/>
        </w:rPr>
        <w:t xml:space="preserve"> will continue to be approached strategically across programmes. Under the Horizon Europe programme, a portfolio of instruments will be available in the field of digitalisation and data technologies in </w:t>
      </w:r>
      <w:proofErr w:type="spellStart"/>
      <w:r w:rsidRPr="00D9228B">
        <w:rPr>
          <w:rFonts w:ascii="Times New Roman" w:hAnsi="Times New Roman"/>
        </w:rPr>
        <w:t>agri</w:t>
      </w:r>
      <w:proofErr w:type="spellEnd"/>
      <w:r w:rsidRPr="00D9228B">
        <w:rPr>
          <w:rFonts w:ascii="Times New Roman" w:hAnsi="Times New Roman"/>
        </w:rPr>
        <w:t>-food. Moreover, a large-scale R&amp;I undertaking has been proposed by Commission in the form of a partnership on Agriculture of Data</w:t>
      </w:r>
      <w:r>
        <w:rPr>
          <w:rFonts w:ascii="Times New Roman" w:hAnsi="Times New Roman"/>
        </w:rPr>
        <w:t xml:space="preserve">, </w:t>
      </w:r>
      <w:r w:rsidRPr="00D9228B">
        <w:rPr>
          <w:rFonts w:ascii="Times New Roman" w:hAnsi="Times New Roman"/>
        </w:rPr>
        <w:t xml:space="preserve">to exploit the potential of data technologies and earth observation for the agricultural sector and agricultural policies. In </w:t>
      </w:r>
      <w:proofErr w:type="gramStart"/>
      <w:r w:rsidRPr="00D9228B">
        <w:rPr>
          <w:rFonts w:ascii="Times New Roman" w:hAnsi="Times New Roman"/>
        </w:rPr>
        <w:t>addition</w:t>
      </w:r>
      <w:proofErr w:type="gramEnd"/>
      <w:r>
        <w:rPr>
          <w:rFonts w:ascii="Times New Roman" w:hAnsi="Times New Roman"/>
        </w:rPr>
        <w:t xml:space="preserve"> the</w:t>
      </w:r>
      <w:r w:rsidRPr="00D9228B">
        <w:rPr>
          <w:rFonts w:ascii="Times New Roman" w:hAnsi="Times New Roman"/>
        </w:rPr>
        <w:t xml:space="preserve"> Digital Europe Programme</w:t>
      </w:r>
      <w:r>
        <w:rPr>
          <w:rFonts w:ascii="Times New Roman" w:hAnsi="Times New Roman"/>
        </w:rPr>
        <w:t xml:space="preserve"> is expected to</w:t>
      </w:r>
      <w:r w:rsidRPr="00D9228B">
        <w:rPr>
          <w:rFonts w:ascii="Times New Roman" w:hAnsi="Times New Roman"/>
        </w:rPr>
        <w:t xml:space="preserve"> support the upscaling and deployment of innovative solutions. In the field of </w:t>
      </w:r>
      <w:proofErr w:type="spellStart"/>
      <w:r w:rsidRPr="00D9228B">
        <w:rPr>
          <w:rFonts w:ascii="Times New Roman" w:hAnsi="Times New Roman"/>
        </w:rPr>
        <w:t>agri</w:t>
      </w:r>
      <w:proofErr w:type="spellEnd"/>
      <w:r w:rsidRPr="00D9228B">
        <w:rPr>
          <w:rFonts w:ascii="Times New Roman" w:hAnsi="Times New Roman"/>
        </w:rPr>
        <w:t xml:space="preserve">-food, Digital Innovation Hubs, Testing and Experimentation Facilities for Artificial Intelligence as well as a Common European Agricultural Data Space </w:t>
      </w:r>
      <w:proofErr w:type="gramStart"/>
      <w:r w:rsidRPr="00D9228B">
        <w:rPr>
          <w:rFonts w:ascii="Times New Roman" w:hAnsi="Times New Roman"/>
        </w:rPr>
        <w:t>will be supported</w:t>
      </w:r>
      <w:proofErr w:type="gramEnd"/>
      <w:r w:rsidRPr="00D9228B">
        <w:rPr>
          <w:rFonts w:ascii="Times New Roman" w:hAnsi="Times New Roman"/>
        </w:rPr>
        <w:t xml:space="preserve"> to boost the digital transformation of the agricultural sector</w:t>
      </w:r>
      <w:r>
        <w:rPr>
          <w:rFonts w:ascii="Times New Roman" w:hAnsi="Times New Roman"/>
        </w:rPr>
        <w:t xml:space="preserve"> (see </w:t>
      </w:r>
      <w:r w:rsidRPr="00D9228B">
        <w:rPr>
          <w:rFonts w:ascii="Times New Roman" w:hAnsi="Times New Roman"/>
        </w:rPr>
        <w:t>section 17 of the Coordinated Plan on AI</w:t>
      </w:r>
      <w:r>
        <w:rPr>
          <w:rFonts w:ascii="Times New Roman" w:hAnsi="Times New Roman"/>
        </w:rPr>
        <w:t>)</w:t>
      </w:r>
      <w:r w:rsidRPr="00D9228B">
        <w:rPr>
          <w:rFonts w:ascii="Times New Roman" w:hAnsi="Times New Roman"/>
        </w:rPr>
        <w:t>.</w:t>
      </w:r>
      <w:r>
        <w:rPr>
          <w:rFonts w:ascii="Times New Roman" w:hAnsi="Times New Roman"/>
        </w:rPr>
        <w:t xml:space="preserve"> </w:t>
      </w:r>
      <w:r w:rsidRPr="00514A0D">
        <w:rPr>
          <w:rFonts w:ascii="Times New Roman" w:hAnsi="Times New Roman"/>
          <w:szCs w:val="24"/>
        </w:rPr>
        <w:t xml:space="preserve">Digital and Data infrastructure relevant for digitalisation in the agricultural sector, including the </w:t>
      </w:r>
      <w:proofErr w:type="gramStart"/>
      <w:r w:rsidRPr="00514A0D">
        <w:rPr>
          <w:rFonts w:ascii="Times New Roman" w:hAnsi="Times New Roman"/>
          <w:szCs w:val="24"/>
        </w:rPr>
        <w:t>roll-out</w:t>
      </w:r>
      <w:proofErr w:type="gramEnd"/>
      <w:r w:rsidRPr="00514A0D">
        <w:rPr>
          <w:rFonts w:ascii="Times New Roman" w:hAnsi="Times New Roman"/>
          <w:szCs w:val="24"/>
        </w:rPr>
        <w:t xml:space="preserve"> of high speed internet, can also be supported under the Connecting Europe Facility and the Recovery and Resilience Facility.</w:t>
      </w:r>
    </w:p>
    <w:p w:rsidR="001626E6" w:rsidRDefault="001626E6" w:rsidP="001626E6">
      <w:pPr>
        <w:pStyle w:val="NormalHanging12a"/>
        <w:spacing w:after="120"/>
        <w:ind w:left="0" w:firstLine="0"/>
        <w:jc w:val="both"/>
      </w:pPr>
      <w:r>
        <w:t>The updated I</w:t>
      </w:r>
      <w:r w:rsidRPr="00D9228B">
        <w:t xml:space="preserve">ndustrial </w:t>
      </w:r>
      <w:r>
        <w:t>S</w:t>
      </w:r>
      <w:r w:rsidRPr="00D9228B">
        <w:t xml:space="preserve">trategy </w:t>
      </w:r>
      <w:r>
        <w:t>(</w:t>
      </w:r>
      <w:proofErr w:type="gramStart"/>
      <w:r>
        <w:t>COM(</w:t>
      </w:r>
      <w:proofErr w:type="gramEnd"/>
      <w:r>
        <w:t>2021) 350 final) analysed strategic dependencies, and in particular i</w:t>
      </w:r>
      <w:r w:rsidRPr="00D9228B">
        <w:t xml:space="preserve">dentified 137 products </w:t>
      </w:r>
      <w:r>
        <w:t xml:space="preserve">in sensitive ecosystems for which </w:t>
      </w:r>
      <w:r w:rsidRPr="00D9228B">
        <w:t>the EU</w:t>
      </w:r>
      <w:r>
        <w:t xml:space="preserve"> is highly dependent </w:t>
      </w:r>
      <w:r w:rsidRPr="00D9228B">
        <w:t xml:space="preserve">on </w:t>
      </w:r>
      <w:r>
        <w:t>third</w:t>
      </w:r>
      <w:r w:rsidRPr="00D9228B">
        <w:t xml:space="preserve"> </w:t>
      </w:r>
      <w:r>
        <w:t>countries (</w:t>
      </w:r>
      <w:r w:rsidRPr="000301E2">
        <w:rPr>
          <w:b/>
        </w:rPr>
        <w:t>paragraph 88</w:t>
      </w:r>
      <w:r>
        <w:t>). The updated Industrial Strategy presented measures to address such dependencies</w:t>
      </w:r>
      <w:r w:rsidRPr="00D9228B">
        <w:t xml:space="preserve">, amongst others, </w:t>
      </w:r>
      <w:r>
        <w:t xml:space="preserve">via </w:t>
      </w:r>
      <w:r w:rsidRPr="00D9228B">
        <w:t>industrial alliances.</w:t>
      </w:r>
    </w:p>
    <w:p w:rsidR="001626E6" w:rsidRDefault="001626E6" w:rsidP="001626E6">
      <w:pPr>
        <w:pStyle w:val="NormalHanging12a"/>
        <w:spacing w:after="120"/>
        <w:ind w:left="0" w:firstLine="0"/>
        <w:jc w:val="both"/>
        <w:rPr>
          <w:lang w:val="en-US"/>
        </w:rPr>
      </w:pPr>
      <w:r w:rsidRPr="0072172C">
        <w:rPr>
          <w:lang w:val="en-US"/>
        </w:rPr>
        <w:t>The Commission has been a pioneer in supporting research in technology for the next generations of networks in the Horizon</w:t>
      </w:r>
      <w:r>
        <w:rPr>
          <w:lang w:val="en-US"/>
        </w:rPr>
        <w:t xml:space="preserve"> 2020</w:t>
      </w:r>
      <w:r w:rsidRPr="0072172C">
        <w:rPr>
          <w:lang w:val="en-US"/>
        </w:rPr>
        <w:t xml:space="preserve"> </w:t>
      </w:r>
      <w:r w:rsidRPr="007B5AE6">
        <w:t xml:space="preserve">programme </w:t>
      </w:r>
      <w:r>
        <w:rPr>
          <w:lang w:val="en-US"/>
        </w:rPr>
        <w:t>(</w:t>
      </w:r>
      <w:r w:rsidRPr="000301E2">
        <w:rPr>
          <w:b/>
          <w:bCs/>
          <w:lang w:val="en-US"/>
        </w:rPr>
        <w:t>paragraph 90</w:t>
      </w:r>
      <w:r>
        <w:rPr>
          <w:lang w:val="en-US"/>
        </w:rPr>
        <w:t>)</w:t>
      </w:r>
      <w:r w:rsidRPr="0072172C">
        <w:rPr>
          <w:lang w:val="en-US"/>
        </w:rPr>
        <w:t xml:space="preserve">. </w:t>
      </w:r>
      <w:proofErr w:type="gramStart"/>
      <w:r w:rsidRPr="0072172C">
        <w:rPr>
          <w:lang w:val="en-US"/>
        </w:rPr>
        <w:t>5G</w:t>
      </w:r>
      <w:proofErr w:type="gramEnd"/>
      <w:r w:rsidRPr="0072172C">
        <w:rPr>
          <w:lang w:val="en-US"/>
        </w:rPr>
        <w:t xml:space="preserve"> networks were supported in the 5G Public-Private Partnership and will now be supported by the </w:t>
      </w:r>
      <w:r w:rsidRPr="000301E2">
        <w:t>Connecting Europe Facility</w:t>
      </w:r>
      <w:r w:rsidRPr="0072172C">
        <w:rPr>
          <w:lang w:val="en-US"/>
        </w:rPr>
        <w:t xml:space="preserve">. In particular, the action for 5G Smart Connectivity aims to support its development and to reduce the digital divide. </w:t>
      </w:r>
      <w:r>
        <w:rPr>
          <w:lang w:val="en-US"/>
        </w:rPr>
        <w:t>The d</w:t>
      </w:r>
      <w:r w:rsidRPr="0072172C">
        <w:rPr>
          <w:lang w:val="en-US"/>
        </w:rPr>
        <w:t xml:space="preserve">igital divide, its impact and policies to reduce it </w:t>
      </w:r>
      <w:proofErr w:type="gramStart"/>
      <w:r w:rsidRPr="0072172C">
        <w:rPr>
          <w:lang w:val="en-US"/>
        </w:rPr>
        <w:t>are studied</w:t>
      </w:r>
      <w:proofErr w:type="gramEnd"/>
      <w:r w:rsidRPr="0072172C">
        <w:rPr>
          <w:lang w:val="en-US"/>
        </w:rPr>
        <w:t xml:space="preserve"> in particular in the </w:t>
      </w:r>
      <w:r w:rsidRPr="000301E2">
        <w:t>Digital Economy and Society Index</w:t>
      </w:r>
      <w:r w:rsidRPr="0072172C">
        <w:rPr>
          <w:lang w:val="en-US"/>
        </w:rPr>
        <w:t xml:space="preserve"> report.</w:t>
      </w:r>
    </w:p>
    <w:p w:rsidR="00841B62" w:rsidRPr="001626E6" w:rsidRDefault="001626E6" w:rsidP="001626E6">
      <w:pPr>
        <w:rPr>
          <w:rFonts w:ascii="Times New Roman" w:hAnsi="Times New Roman"/>
        </w:rPr>
      </w:pPr>
      <w:r w:rsidRPr="001626E6">
        <w:rPr>
          <w:rFonts w:ascii="Times New Roman" w:hAnsi="Times New Roman"/>
        </w:rPr>
        <w:t>The Commission agrees with the need to reinforce cyber resilience in the EU (</w:t>
      </w:r>
      <w:r w:rsidRPr="001626E6">
        <w:rPr>
          <w:rFonts w:ascii="Times New Roman" w:hAnsi="Times New Roman"/>
          <w:b/>
          <w:bCs/>
        </w:rPr>
        <w:t>paragraph 92</w:t>
      </w:r>
      <w:r w:rsidRPr="001626E6">
        <w:rPr>
          <w:rFonts w:ascii="Times New Roman" w:hAnsi="Times New Roman"/>
        </w:rPr>
        <w:t xml:space="preserve">), as a general objective to be embedded across all digital policies, mobilising relevant legislation, funding and cooperation to that effect. In particular, EU-funded support for strategic technologies should embed cybersecurity considerations from the outset. The </w:t>
      </w:r>
      <w:r w:rsidRPr="001626E6">
        <w:rPr>
          <w:rFonts w:ascii="Times New Roman" w:hAnsi="Times New Roman"/>
        </w:rPr>
        <w:lastRenderedPageBreak/>
        <w:t xml:space="preserve">Commission also hopes that the proposal for a revised Directive on Network and Information Security </w:t>
      </w:r>
      <w:proofErr w:type="gramStart"/>
      <w:r w:rsidRPr="001626E6">
        <w:rPr>
          <w:rFonts w:ascii="Times New Roman" w:hAnsi="Times New Roman"/>
        </w:rPr>
        <w:t>is speedily adopted</w:t>
      </w:r>
      <w:proofErr w:type="gramEnd"/>
      <w:r w:rsidRPr="001626E6">
        <w:rPr>
          <w:rFonts w:ascii="Times New Roman" w:hAnsi="Times New Roman"/>
        </w:rPr>
        <w:t>.</w:t>
      </w:r>
    </w:p>
    <w:sectPr w:rsidR="00841B62" w:rsidRPr="001626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6E6" w:rsidRDefault="001626E6" w:rsidP="001626E6">
      <w:pPr>
        <w:spacing w:after="0"/>
      </w:pPr>
      <w:r>
        <w:separator/>
      </w:r>
    </w:p>
  </w:endnote>
  <w:endnote w:type="continuationSeparator" w:id="0">
    <w:p w:rsidR="001626E6" w:rsidRDefault="001626E6" w:rsidP="001626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6E6" w:rsidRDefault="001626E6" w:rsidP="001626E6">
      <w:pPr>
        <w:spacing w:after="0"/>
      </w:pPr>
      <w:r>
        <w:separator/>
      </w:r>
    </w:p>
  </w:footnote>
  <w:footnote w:type="continuationSeparator" w:id="0">
    <w:p w:rsidR="001626E6" w:rsidRDefault="001626E6" w:rsidP="001626E6">
      <w:pPr>
        <w:spacing w:after="0"/>
      </w:pPr>
      <w:r>
        <w:continuationSeparator/>
      </w:r>
    </w:p>
  </w:footnote>
  <w:footnote w:id="1">
    <w:p w:rsidR="001626E6" w:rsidRDefault="001626E6" w:rsidP="001626E6">
      <w:pPr>
        <w:pStyle w:val="FootnoteText"/>
        <w:spacing w:after="0"/>
      </w:pPr>
      <w:r>
        <w:rPr>
          <w:rStyle w:val="FootnoteReference"/>
        </w:rPr>
        <w:footnoteRef/>
      </w:r>
      <w:r>
        <w:t xml:space="preserve"> </w:t>
      </w:r>
      <w:r>
        <w:tab/>
      </w:r>
      <w:r w:rsidRPr="007F0DFF">
        <w:rPr>
          <w:rFonts w:ascii="Times New Roman" w:hAnsi="Times New Roman"/>
        </w:rPr>
        <w:t>Based on the methodology for digital tagging set out in Annex VII of the Regulation (EU) 2021/241 of the European Parliament and of the Council of 12 February 2021 establishing the Recovery and Resilience Facilit</w:t>
      </w:r>
      <w:r>
        <w:rPr>
          <w:rFonts w:ascii="Times New Roman" w:hAnsi="Times New Roman"/>
        </w:rPr>
        <w:t>y, OJ L 57, 18.2.2021, p. 17–75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37710"/>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E6"/>
    <w:rsid w:val="001626E6"/>
    <w:rsid w:val="00841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D089A-EFEE-4298-B511-DA32C94E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E6"/>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Footnote TextCSR"/>
    <w:basedOn w:val="Normal"/>
    <w:link w:val="FootnoteTextChar2"/>
    <w:uiPriority w:val="99"/>
    <w:qFormat/>
    <w:rsid w:val="001626E6"/>
    <w:pPr>
      <w:ind w:left="357" w:hanging="357"/>
    </w:pPr>
    <w:rPr>
      <w:sz w:val="20"/>
    </w:rPr>
  </w:style>
  <w:style w:type="character" w:customStyle="1" w:styleId="FootnoteTextChar">
    <w:name w:val="Footnote Text Char"/>
    <w:basedOn w:val="DefaultParagraphFont"/>
    <w:uiPriority w:val="99"/>
    <w:semiHidden/>
    <w:rsid w:val="001626E6"/>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1626E6"/>
    <w:rPr>
      <w:vertAlign w:val="superscript"/>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1626E6"/>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1626E6"/>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NormalHanging12a">
    <w:name w:val="NormalHanging12a"/>
    <w:basedOn w:val="Normal"/>
    <w:link w:val="NormalHanging12aChar"/>
    <w:rsid w:val="001626E6"/>
    <w:pPr>
      <w:widowControl w:val="0"/>
      <w:ind w:left="567" w:hanging="567"/>
      <w:jc w:val="left"/>
    </w:pPr>
    <w:rPr>
      <w:rFonts w:ascii="Times New Roman" w:hAnsi="Times New Roman"/>
    </w:rPr>
  </w:style>
  <w:style w:type="character" w:customStyle="1" w:styleId="NormalHanging12aChar">
    <w:name w:val="NormalHanging12a Char"/>
    <w:link w:val="NormalHanging12a"/>
    <w:rsid w:val="001626E6"/>
    <w:rPr>
      <w:rFonts w:ascii="Times New Roman" w:eastAsia="Times New Roman" w:hAnsi="Times New Roman" w:cs="Times New Roman"/>
      <w:sz w:val="24"/>
      <w:szCs w:val="20"/>
      <w:lang w:eastAsia="en-GB"/>
    </w:rPr>
  </w:style>
  <w:style w:type="character" w:customStyle="1" w:styleId="BoldItalic">
    <w:name w:val="BoldItalic"/>
    <w:uiPriority w:val="1"/>
    <w:qFormat/>
    <w:rsid w:val="001626E6"/>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7470</Words>
  <Characters>42430</Characters>
  <Application>Microsoft Office Word</Application>
  <DocSecurity>0</DocSecurity>
  <Lines>614</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DODEKOVA Gabriela (SG)</dc:creator>
  <cp:keywords/>
  <dc:description/>
  <cp:lastModifiedBy>DODEKOVA Gabriela (SG)</cp:lastModifiedBy>
  <cp:revision>1</cp:revision>
  <dcterms:created xsi:type="dcterms:W3CDTF">2021-11-08T19:43:00Z</dcterms:created>
  <dcterms:modified xsi:type="dcterms:W3CDTF">2021-11-08T19:45:00Z</dcterms:modified>
</cp:coreProperties>
</file>