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BC" w:rsidRPr="00F62DBC" w:rsidRDefault="00F62DBC" w:rsidP="00F62DBC">
      <w:pPr>
        <w:spacing w:after="600" w:line="240" w:lineRule="auto"/>
        <w:jc w:val="center"/>
        <w:rPr>
          <w:rFonts w:eastAsia="Times New Roman" w:cs="Times New Roman"/>
          <w:b/>
          <w:szCs w:val="20"/>
          <w:shd w:val="clear" w:color="auto" w:fill="FFFFFF"/>
          <w:lang w:eastAsia="en-GB"/>
        </w:rPr>
      </w:pPr>
      <w:bookmarkStart w:id="0" w:name="imidacloprid"/>
      <w:r w:rsidRPr="00F62DBC">
        <w:rPr>
          <w:rFonts w:eastAsia="Times New Roman" w:cs="Times New Roman"/>
          <w:b/>
          <w:bCs/>
          <w:szCs w:val="24"/>
          <w:lang w:eastAsia="en-GB"/>
        </w:rPr>
        <w:t xml:space="preserve">Follow up to </w:t>
      </w:r>
      <w:r w:rsidRPr="00F62DBC">
        <w:rPr>
          <w:rFonts w:eastAsia="Times New Roman" w:cs="Times New Roman"/>
          <w:b/>
          <w:szCs w:val="20"/>
          <w:shd w:val="clear" w:color="auto" w:fill="FFFFFF"/>
          <w:lang w:eastAsia="en-GB"/>
        </w:rPr>
        <w:t xml:space="preserve">the European Parliament resolution on Commission Implementing Regulation (EU) 2021/621 of 15 April 2021 amending Regulation (EU) No 37/2010 </w:t>
      </w:r>
      <w:r w:rsidR="00BB0D4A">
        <w:rPr>
          <w:rFonts w:eastAsia="Times New Roman" w:cs="Times New Roman"/>
          <w:b/>
          <w:szCs w:val="20"/>
          <w:shd w:val="clear" w:color="auto" w:fill="FFFFFF"/>
          <w:lang w:eastAsia="en-GB"/>
        </w:rPr>
        <w:br/>
      </w:r>
      <w:bookmarkStart w:id="1" w:name="_GoBack"/>
      <w:bookmarkEnd w:id="1"/>
      <w:r w:rsidRPr="00F62DBC">
        <w:rPr>
          <w:rFonts w:eastAsia="Times New Roman" w:cs="Times New Roman"/>
          <w:b/>
          <w:szCs w:val="20"/>
          <w:shd w:val="clear" w:color="auto" w:fill="FFFFFF"/>
          <w:lang w:eastAsia="en-GB"/>
        </w:rPr>
        <w:t xml:space="preserve">to classify the substance </w:t>
      </w:r>
      <w:proofErr w:type="spellStart"/>
      <w:r w:rsidRPr="00F62DBC">
        <w:rPr>
          <w:rFonts w:eastAsia="Times New Roman" w:cs="Times New Roman"/>
          <w:b/>
          <w:szCs w:val="20"/>
          <w:shd w:val="clear" w:color="auto" w:fill="FFFFFF"/>
          <w:lang w:eastAsia="en-GB"/>
        </w:rPr>
        <w:t>imidacloprid</w:t>
      </w:r>
      <w:proofErr w:type="spellEnd"/>
      <w:r w:rsidRPr="00F62DBC">
        <w:rPr>
          <w:rFonts w:eastAsia="Times New Roman" w:cs="Times New Roman"/>
          <w:b/>
          <w:szCs w:val="20"/>
          <w:shd w:val="clear" w:color="auto" w:fill="FFFFFF"/>
          <w:lang w:eastAsia="en-GB"/>
        </w:rPr>
        <w:t xml:space="preserve"> as regards its maximum residue</w:t>
      </w:r>
      <w:r w:rsidRPr="00F62DBC">
        <w:rPr>
          <w:rFonts w:eastAsia="Times New Roman" w:cs="Times New Roman"/>
          <w:b/>
          <w:szCs w:val="20"/>
          <w:shd w:val="clear" w:color="auto" w:fill="FFFFFF"/>
          <w:lang w:eastAsia="en-GB"/>
        </w:rPr>
        <w:br/>
        <w:t>limit in foodstuffs of animal origin</w:t>
      </w:r>
      <w:bookmarkEnd w:id="0"/>
    </w:p>
    <w:p w:rsidR="00F62DBC" w:rsidRPr="00F62DBC" w:rsidRDefault="00F62DBC" w:rsidP="00F62DBC">
      <w:pPr>
        <w:numPr>
          <w:ilvl w:val="0"/>
          <w:numId w:val="2"/>
        </w:numPr>
        <w:spacing w:after="240" w:line="240" w:lineRule="auto"/>
        <w:jc w:val="both"/>
        <w:rPr>
          <w:rFonts w:eastAsia="Times New Roman" w:cs="Times New Roman"/>
          <w:b/>
          <w:szCs w:val="24"/>
          <w:lang w:eastAsia="en-GB"/>
        </w:rPr>
      </w:pPr>
      <w:r w:rsidRPr="00F62DBC">
        <w:rPr>
          <w:rFonts w:eastAsia="Times New Roman" w:cs="Times New Roman"/>
          <w:b/>
          <w:szCs w:val="24"/>
          <w:lang w:eastAsia="en-GB"/>
        </w:rPr>
        <w:t>Resolution tabled pursuant to Rule 112 (2) and (3) of the European Parliament's Rules of procedure</w:t>
      </w:r>
    </w:p>
    <w:p w:rsidR="00F62DBC" w:rsidRPr="00F62DBC" w:rsidRDefault="00F62DBC" w:rsidP="00F62DBC">
      <w:pPr>
        <w:numPr>
          <w:ilvl w:val="0"/>
          <w:numId w:val="2"/>
        </w:numPr>
        <w:spacing w:after="240" w:line="240" w:lineRule="auto"/>
        <w:jc w:val="both"/>
        <w:rPr>
          <w:rFonts w:eastAsia="Times New Roman" w:cs="Times New Roman"/>
          <w:b/>
          <w:szCs w:val="24"/>
          <w:lang w:eastAsia="en-GB"/>
        </w:rPr>
      </w:pPr>
      <w:r w:rsidRPr="00F62DBC">
        <w:rPr>
          <w:rFonts w:eastAsia="Times New Roman" w:cs="Times New Roman"/>
          <w:b/>
          <w:szCs w:val="24"/>
          <w:lang w:eastAsia="en-GB"/>
        </w:rPr>
        <w:t xml:space="preserve">Reference numbers: </w:t>
      </w:r>
      <w:r w:rsidRPr="00F62DBC">
        <w:rPr>
          <w:rFonts w:eastAsia="Times New Roman" w:cs="Times New Roman"/>
          <w:szCs w:val="24"/>
          <w:lang w:eastAsia="en-GB"/>
        </w:rPr>
        <w:t>2021/2705 (RSP) / B9-0313/2021 / P9_TA(2021)0284</w:t>
      </w:r>
    </w:p>
    <w:p w:rsidR="00F62DBC" w:rsidRPr="00F62DBC" w:rsidRDefault="00F62DBC" w:rsidP="00F62DBC">
      <w:pPr>
        <w:numPr>
          <w:ilvl w:val="0"/>
          <w:numId w:val="2"/>
        </w:numPr>
        <w:spacing w:after="240" w:line="240" w:lineRule="auto"/>
        <w:jc w:val="both"/>
        <w:rPr>
          <w:rFonts w:eastAsia="Times New Roman" w:cs="Times New Roman"/>
          <w:szCs w:val="24"/>
          <w:lang w:eastAsia="en-GB"/>
        </w:rPr>
      </w:pPr>
      <w:r w:rsidRPr="00F62DBC">
        <w:rPr>
          <w:rFonts w:eastAsia="Times New Roman" w:cs="Times New Roman"/>
          <w:b/>
          <w:szCs w:val="24"/>
          <w:lang w:eastAsia="en-GB"/>
        </w:rPr>
        <w:t>Date of adoption of the resolution:</w:t>
      </w:r>
      <w:r w:rsidRPr="00F62DBC">
        <w:rPr>
          <w:rFonts w:eastAsia="Times New Roman" w:cs="Times New Roman"/>
          <w:szCs w:val="24"/>
          <w:lang w:eastAsia="en-GB"/>
        </w:rPr>
        <w:t xml:space="preserve"> </w:t>
      </w:r>
      <w:r w:rsidRPr="00F62DBC">
        <w:rPr>
          <w:rFonts w:eastAsia="Calibri" w:cs="Times New Roman"/>
          <w:szCs w:val="24"/>
          <w:lang w:val="en-US"/>
        </w:rPr>
        <w:t>10 June 2021</w:t>
      </w:r>
    </w:p>
    <w:p w:rsidR="00F62DBC" w:rsidRPr="00F62DBC" w:rsidRDefault="00F62DBC" w:rsidP="00F62DBC">
      <w:pPr>
        <w:numPr>
          <w:ilvl w:val="0"/>
          <w:numId w:val="2"/>
        </w:numPr>
        <w:spacing w:after="240" w:line="276" w:lineRule="auto"/>
        <w:contextualSpacing/>
        <w:jc w:val="both"/>
        <w:rPr>
          <w:rFonts w:eastAsia="Calibri" w:cs="Times New Roman"/>
          <w:szCs w:val="24"/>
        </w:rPr>
      </w:pPr>
      <w:r w:rsidRPr="00F62DBC">
        <w:rPr>
          <w:rFonts w:eastAsia="Calibri" w:cs="Times New Roman"/>
          <w:b/>
          <w:szCs w:val="24"/>
        </w:rPr>
        <w:t>Competent Parliamentary Committee:</w:t>
      </w:r>
      <w:r w:rsidRPr="00F62DBC">
        <w:rPr>
          <w:rFonts w:eastAsia="Calibri" w:cs="Times New Roman"/>
          <w:szCs w:val="24"/>
        </w:rPr>
        <w:t xml:space="preserve"> Committee on Environment, Public Health and Food Safety (ENVI)</w:t>
      </w:r>
    </w:p>
    <w:p w:rsidR="00F62DBC" w:rsidRPr="00F62DBC" w:rsidRDefault="00F62DBC" w:rsidP="00F62DBC">
      <w:pPr>
        <w:widowControl w:val="0"/>
        <w:numPr>
          <w:ilvl w:val="0"/>
          <w:numId w:val="2"/>
        </w:numPr>
        <w:spacing w:after="240" w:line="240" w:lineRule="auto"/>
        <w:jc w:val="both"/>
        <w:rPr>
          <w:rFonts w:eastAsia="Times New Roman" w:cs="Times New Roman"/>
          <w:szCs w:val="24"/>
          <w:lang w:eastAsia="en-GB"/>
        </w:rPr>
      </w:pPr>
      <w:r w:rsidRPr="00F62DBC">
        <w:rPr>
          <w:rFonts w:eastAsia="Times New Roman" w:cs="Times New Roman"/>
          <w:b/>
          <w:szCs w:val="24"/>
          <w:lang w:eastAsia="en-GB"/>
        </w:rPr>
        <w:t>Brief analysis/assessment of the resolution and requests made in it:</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The resolution relates to the setting of a maximum residue limit (</w:t>
      </w:r>
      <w:proofErr w:type="spellStart"/>
      <w:r w:rsidRPr="00F62DBC">
        <w:rPr>
          <w:rFonts w:eastAsia="Times New Roman" w:cs="Times New Roman"/>
          <w:szCs w:val="24"/>
          <w:lang w:eastAsia="en-GB"/>
        </w:rPr>
        <w:t>MRL</w:t>
      </w:r>
      <w:proofErr w:type="spellEnd"/>
      <w:r w:rsidRPr="00F62DBC">
        <w:rPr>
          <w:rFonts w:eastAsia="Times New Roman" w:cs="Times New Roman"/>
          <w:szCs w:val="24"/>
          <w:lang w:eastAsia="en-GB"/>
        </w:rPr>
        <w:t xml:space="preserve">) for the active substance </w:t>
      </w:r>
      <w:proofErr w:type="spellStart"/>
      <w:r w:rsidRPr="00F62DBC">
        <w:rPr>
          <w:rFonts w:eastAsia="Times New Roman" w:cs="Times New Roman"/>
          <w:szCs w:val="24"/>
          <w:lang w:eastAsia="en-GB"/>
        </w:rPr>
        <w:t>imidacloprid</w:t>
      </w:r>
      <w:proofErr w:type="spellEnd"/>
      <w:r w:rsidRPr="00F62DBC">
        <w:rPr>
          <w:rFonts w:eastAsia="Times New Roman" w:cs="Times New Roman"/>
          <w:szCs w:val="24"/>
          <w:lang w:eastAsia="en-GB"/>
        </w:rPr>
        <w:t>, to be included in veterinary medicines for food-producing animals.</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 xml:space="preserve">It refers to the procedure for establishing </w:t>
      </w:r>
      <w:proofErr w:type="spellStart"/>
      <w:r w:rsidRPr="00F62DBC">
        <w:rPr>
          <w:rFonts w:eastAsia="Times New Roman" w:cs="Times New Roman"/>
          <w:szCs w:val="24"/>
          <w:lang w:eastAsia="en-GB"/>
        </w:rPr>
        <w:t>MRLs</w:t>
      </w:r>
      <w:proofErr w:type="spellEnd"/>
      <w:r w:rsidRPr="00F62DBC">
        <w:rPr>
          <w:rFonts w:eastAsia="Times New Roman" w:cs="Times New Roman"/>
          <w:szCs w:val="24"/>
          <w:lang w:eastAsia="en-GB"/>
        </w:rPr>
        <w:t xml:space="preserve"> and the European Medicines Agency (EMA) opinion on </w:t>
      </w:r>
      <w:proofErr w:type="spellStart"/>
      <w:r w:rsidRPr="00F62DBC">
        <w:rPr>
          <w:rFonts w:eastAsia="Times New Roman" w:cs="Times New Roman"/>
          <w:szCs w:val="24"/>
          <w:lang w:eastAsia="en-GB"/>
        </w:rPr>
        <w:t>MRL</w:t>
      </w:r>
      <w:proofErr w:type="spellEnd"/>
      <w:r w:rsidRPr="00F62DBC">
        <w:rPr>
          <w:rFonts w:eastAsia="Times New Roman" w:cs="Times New Roman"/>
          <w:szCs w:val="24"/>
          <w:lang w:eastAsia="en-GB"/>
        </w:rPr>
        <w:t xml:space="preserve"> for </w:t>
      </w:r>
      <w:proofErr w:type="spellStart"/>
      <w:r w:rsidRPr="00F62DBC">
        <w:rPr>
          <w:rFonts w:eastAsia="Times New Roman" w:cs="Times New Roman"/>
          <w:szCs w:val="24"/>
          <w:lang w:eastAsia="en-GB"/>
        </w:rPr>
        <w:t>imidacloprid</w:t>
      </w:r>
      <w:proofErr w:type="spellEnd"/>
      <w:r w:rsidRPr="00F62DBC">
        <w:rPr>
          <w:rFonts w:eastAsia="Times New Roman" w:cs="Times New Roman"/>
          <w:szCs w:val="24"/>
          <w:lang w:eastAsia="en-GB"/>
        </w:rPr>
        <w:t xml:space="preserve"> (</w:t>
      </w:r>
      <w:r w:rsidRPr="00F62DBC">
        <w:rPr>
          <w:rFonts w:eastAsia="Times New Roman" w:cs="Times New Roman"/>
          <w:b/>
          <w:szCs w:val="24"/>
          <w:lang w:eastAsia="en-GB"/>
        </w:rPr>
        <w:t xml:space="preserve">recitals H, I, J </w:t>
      </w:r>
      <w:r w:rsidRPr="00F62DBC">
        <w:rPr>
          <w:rFonts w:eastAsia="Times New Roman" w:cs="Times New Roman"/>
          <w:szCs w:val="24"/>
          <w:lang w:eastAsia="en-GB"/>
        </w:rPr>
        <w:t xml:space="preserve">and </w:t>
      </w:r>
      <w:r w:rsidRPr="00F62DBC">
        <w:rPr>
          <w:rFonts w:eastAsia="Times New Roman" w:cs="Times New Roman"/>
          <w:b/>
          <w:szCs w:val="24"/>
          <w:lang w:eastAsia="en-GB"/>
        </w:rPr>
        <w:t>K</w:t>
      </w:r>
      <w:r w:rsidRPr="00F62DBC">
        <w:rPr>
          <w:rFonts w:eastAsia="Times New Roman" w:cs="Times New Roman"/>
          <w:szCs w:val="24"/>
          <w:lang w:eastAsia="en-GB"/>
        </w:rPr>
        <w:t>), noting that such an opinion should be made publicly available and should be easily accessible (</w:t>
      </w:r>
      <w:r w:rsidRPr="00F62DBC">
        <w:rPr>
          <w:rFonts w:eastAsia="Times New Roman" w:cs="Times New Roman"/>
          <w:b/>
          <w:szCs w:val="24"/>
          <w:lang w:eastAsia="en-GB"/>
        </w:rPr>
        <w:t>recital L</w:t>
      </w:r>
      <w:r w:rsidRPr="00F62DBC">
        <w:rPr>
          <w:rFonts w:eastAsia="Times New Roman" w:cs="Times New Roman"/>
          <w:szCs w:val="24"/>
          <w:lang w:eastAsia="en-GB"/>
        </w:rPr>
        <w:t xml:space="preserve">). It considers that ensuring that the risk assessment process is transparent promotes public understanding, contributes to giving EMA greater legitimacy in the eyes of consumers and the </w:t>
      </w:r>
      <w:proofErr w:type="gramStart"/>
      <w:r w:rsidRPr="00F62DBC">
        <w:rPr>
          <w:rFonts w:eastAsia="Times New Roman" w:cs="Times New Roman"/>
          <w:szCs w:val="24"/>
          <w:lang w:eastAsia="en-GB"/>
        </w:rPr>
        <w:t>general public</w:t>
      </w:r>
      <w:proofErr w:type="gramEnd"/>
      <w:r w:rsidRPr="00F62DBC">
        <w:rPr>
          <w:rFonts w:eastAsia="Times New Roman" w:cs="Times New Roman"/>
          <w:szCs w:val="24"/>
          <w:lang w:eastAsia="en-GB"/>
        </w:rPr>
        <w:t xml:space="preserve"> and provides greater accountability to Union citizens in a democratic system (</w:t>
      </w:r>
      <w:r w:rsidRPr="00F62DBC">
        <w:rPr>
          <w:rFonts w:eastAsia="Times New Roman" w:cs="Times New Roman"/>
          <w:b/>
          <w:szCs w:val="24"/>
          <w:lang w:eastAsia="en-GB"/>
        </w:rPr>
        <w:t>recital M</w:t>
      </w:r>
      <w:r w:rsidRPr="00F62DBC">
        <w:rPr>
          <w:rFonts w:eastAsia="Times New Roman" w:cs="Times New Roman"/>
          <w:szCs w:val="24"/>
          <w:lang w:eastAsia="en-GB"/>
        </w:rPr>
        <w:t>).</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It further notes the European Chemicals Agency (</w:t>
      </w:r>
      <w:proofErr w:type="spellStart"/>
      <w:r w:rsidRPr="00F62DBC">
        <w:rPr>
          <w:rFonts w:eastAsia="Times New Roman" w:cs="Times New Roman"/>
          <w:szCs w:val="24"/>
          <w:lang w:eastAsia="en-GB"/>
        </w:rPr>
        <w:t>ECHA</w:t>
      </w:r>
      <w:proofErr w:type="spellEnd"/>
      <w:r w:rsidRPr="00F62DBC">
        <w:rPr>
          <w:rFonts w:eastAsia="Times New Roman" w:cs="Times New Roman"/>
          <w:szCs w:val="24"/>
          <w:lang w:eastAsia="en-GB"/>
        </w:rPr>
        <w:t>) assessment report of 18 February 2011 (</w:t>
      </w:r>
      <w:r w:rsidRPr="00F62DBC">
        <w:rPr>
          <w:rFonts w:eastAsia="Times New Roman" w:cs="Times New Roman"/>
          <w:b/>
          <w:szCs w:val="24"/>
          <w:lang w:eastAsia="en-GB"/>
        </w:rPr>
        <w:t>recital C</w:t>
      </w:r>
      <w:r w:rsidRPr="00F62DBC">
        <w:rPr>
          <w:rFonts w:eastAsia="Times New Roman" w:cs="Times New Roman"/>
          <w:szCs w:val="24"/>
          <w:lang w:eastAsia="en-GB"/>
        </w:rPr>
        <w:t xml:space="preserve">) and the </w:t>
      </w:r>
      <w:r w:rsidRPr="00F62DBC">
        <w:rPr>
          <w:rFonts w:eastAsia="Times New Roman" w:cs="Times New Roman"/>
          <w:szCs w:val="24"/>
          <w:lang w:val="en" w:eastAsia="en-GB"/>
        </w:rPr>
        <w:t xml:space="preserve">chemical characteristics of </w:t>
      </w:r>
      <w:proofErr w:type="spellStart"/>
      <w:r w:rsidRPr="00F62DBC">
        <w:rPr>
          <w:rFonts w:eastAsia="Times New Roman" w:cs="Times New Roman"/>
          <w:szCs w:val="24"/>
          <w:lang w:val="en" w:eastAsia="en-GB"/>
        </w:rPr>
        <w:t>imidacloprid</w:t>
      </w:r>
      <w:proofErr w:type="spellEnd"/>
      <w:r w:rsidRPr="00F62DBC">
        <w:rPr>
          <w:rFonts w:eastAsia="Times New Roman" w:cs="Times New Roman"/>
          <w:szCs w:val="24"/>
          <w:lang w:val="en" w:eastAsia="en-GB"/>
        </w:rPr>
        <w:t xml:space="preserve"> (</w:t>
      </w:r>
      <w:r w:rsidRPr="00F62DBC">
        <w:rPr>
          <w:rFonts w:eastAsia="Times New Roman" w:cs="Times New Roman"/>
          <w:b/>
          <w:szCs w:val="24"/>
          <w:lang w:val="en" w:eastAsia="en-GB"/>
        </w:rPr>
        <w:t>recital N</w:t>
      </w:r>
      <w:r w:rsidRPr="00F62DBC">
        <w:rPr>
          <w:rFonts w:eastAsia="Times New Roman" w:cs="Times New Roman"/>
          <w:szCs w:val="24"/>
          <w:lang w:val="en" w:eastAsia="en-GB"/>
        </w:rPr>
        <w:t xml:space="preserve">) and notes that Commission Implementing Regulation (EU) 2018/783 bans the use of </w:t>
      </w:r>
      <w:proofErr w:type="spellStart"/>
      <w:r w:rsidRPr="00F62DBC">
        <w:rPr>
          <w:rFonts w:eastAsia="Times New Roman" w:cs="Times New Roman"/>
          <w:szCs w:val="24"/>
          <w:lang w:val="en" w:eastAsia="en-GB"/>
        </w:rPr>
        <w:t>imidacloprid</w:t>
      </w:r>
      <w:proofErr w:type="spellEnd"/>
      <w:r w:rsidRPr="00F62DBC">
        <w:rPr>
          <w:rFonts w:eastAsia="Times New Roman" w:cs="Times New Roman"/>
          <w:szCs w:val="24"/>
          <w:lang w:val="en" w:eastAsia="en-GB"/>
        </w:rPr>
        <w:t xml:space="preserve"> on all crops grown outdoors, because of its adverse effects on pollinators (</w:t>
      </w:r>
      <w:r w:rsidRPr="00F62DBC">
        <w:rPr>
          <w:rFonts w:eastAsia="Times New Roman" w:cs="Times New Roman"/>
          <w:b/>
          <w:szCs w:val="24"/>
          <w:lang w:val="en" w:eastAsia="en-GB"/>
        </w:rPr>
        <w:t>recital O</w:t>
      </w:r>
      <w:r w:rsidRPr="00F62DBC">
        <w:rPr>
          <w:rFonts w:eastAsia="Times New Roman" w:cs="Times New Roman"/>
          <w:szCs w:val="24"/>
          <w:lang w:val="en" w:eastAsia="en-GB"/>
        </w:rPr>
        <w:t>).</w:t>
      </w:r>
    </w:p>
    <w:p w:rsidR="00F62DBC" w:rsidRPr="00F62DBC" w:rsidRDefault="00F62DBC" w:rsidP="00F62DBC">
      <w:pPr>
        <w:spacing w:after="120" w:line="240" w:lineRule="auto"/>
        <w:jc w:val="both"/>
        <w:rPr>
          <w:rFonts w:eastAsia="Times New Roman" w:cs="Times New Roman"/>
          <w:szCs w:val="24"/>
          <w:lang w:val="en" w:eastAsia="en-GB"/>
        </w:rPr>
      </w:pPr>
      <w:r w:rsidRPr="00F62DBC">
        <w:rPr>
          <w:rFonts w:eastAsia="Times New Roman" w:cs="Times New Roman"/>
          <w:szCs w:val="24"/>
          <w:lang w:val="en" w:eastAsia="en-GB"/>
        </w:rPr>
        <w:t xml:space="preserve">It also considers possible negative impacts of </w:t>
      </w:r>
      <w:proofErr w:type="spellStart"/>
      <w:r w:rsidRPr="00F62DBC">
        <w:rPr>
          <w:rFonts w:eastAsia="Times New Roman" w:cs="Times New Roman"/>
          <w:szCs w:val="24"/>
          <w:lang w:val="en" w:eastAsia="en-GB"/>
        </w:rPr>
        <w:t>imidacloprid</w:t>
      </w:r>
      <w:proofErr w:type="spellEnd"/>
      <w:r w:rsidRPr="00F62DBC">
        <w:rPr>
          <w:rFonts w:eastAsia="Times New Roman" w:cs="Times New Roman"/>
          <w:szCs w:val="24"/>
          <w:lang w:val="en" w:eastAsia="en-GB"/>
        </w:rPr>
        <w:t xml:space="preserve"> on biodiversity, the potential for contamination of ground and surface water (</w:t>
      </w:r>
      <w:r w:rsidRPr="00F62DBC">
        <w:rPr>
          <w:rFonts w:eastAsia="Times New Roman" w:cs="Times New Roman"/>
          <w:b/>
          <w:szCs w:val="24"/>
          <w:lang w:val="en" w:eastAsia="en-GB"/>
        </w:rPr>
        <w:t>recital P</w:t>
      </w:r>
      <w:r w:rsidRPr="00F62DBC">
        <w:rPr>
          <w:rFonts w:eastAsia="Times New Roman" w:cs="Times New Roman"/>
          <w:szCs w:val="24"/>
          <w:lang w:val="en" w:eastAsia="en-GB"/>
        </w:rPr>
        <w:t>), as well as concerns about impacts on soil quality (</w:t>
      </w:r>
      <w:r w:rsidRPr="00F62DBC">
        <w:rPr>
          <w:rFonts w:eastAsia="Times New Roman" w:cs="Times New Roman"/>
          <w:b/>
          <w:szCs w:val="24"/>
          <w:lang w:val="en" w:eastAsia="en-GB"/>
        </w:rPr>
        <w:t>recital Q</w:t>
      </w:r>
      <w:r w:rsidRPr="00F62DBC">
        <w:rPr>
          <w:rFonts w:eastAsia="Times New Roman" w:cs="Times New Roman"/>
          <w:szCs w:val="24"/>
          <w:lang w:val="en" w:eastAsia="en-GB"/>
        </w:rPr>
        <w:t>).</w:t>
      </w:r>
    </w:p>
    <w:p w:rsidR="00F62DBC" w:rsidRPr="00F62DBC" w:rsidRDefault="00F62DBC" w:rsidP="00F62DBC">
      <w:pPr>
        <w:spacing w:after="120" w:line="240" w:lineRule="auto"/>
        <w:jc w:val="both"/>
        <w:rPr>
          <w:rFonts w:eastAsia="Times New Roman" w:cs="Times New Roman"/>
          <w:szCs w:val="24"/>
          <w:lang w:val="en" w:eastAsia="en-GB"/>
        </w:rPr>
      </w:pPr>
      <w:proofErr w:type="gramStart"/>
      <w:r w:rsidRPr="00F62DBC">
        <w:rPr>
          <w:rFonts w:eastAsia="Times New Roman" w:cs="Times New Roman"/>
          <w:szCs w:val="24"/>
          <w:lang w:val="en" w:eastAsia="en-GB"/>
        </w:rPr>
        <w:t>It notes that the knowledge is lacking of the pollutant effects in the environment of many individual chemicals and chemical mixtures (</w:t>
      </w:r>
      <w:r w:rsidRPr="00F62DBC">
        <w:rPr>
          <w:rFonts w:eastAsia="Times New Roman" w:cs="Times New Roman"/>
          <w:b/>
          <w:szCs w:val="24"/>
          <w:lang w:val="en" w:eastAsia="en-GB"/>
        </w:rPr>
        <w:t>recital Z</w:t>
      </w:r>
      <w:r w:rsidRPr="00F62DBC">
        <w:rPr>
          <w:rFonts w:eastAsia="Times New Roman" w:cs="Times New Roman"/>
          <w:szCs w:val="24"/>
          <w:lang w:val="en" w:eastAsia="en-GB"/>
        </w:rPr>
        <w:t>) and regrets the lack of access to scientific studies submitted to EMA as well as the lack of information on the feasibility of controls on and risk management of waste water discharge into the aquatic environment (</w:t>
      </w:r>
      <w:r w:rsidRPr="00F62DBC">
        <w:rPr>
          <w:rFonts w:eastAsia="Times New Roman" w:cs="Times New Roman"/>
          <w:b/>
          <w:szCs w:val="24"/>
          <w:lang w:val="en" w:eastAsia="en-GB"/>
        </w:rPr>
        <w:t>recital AB</w:t>
      </w:r>
      <w:r w:rsidRPr="00F62DBC">
        <w:rPr>
          <w:rFonts w:eastAsia="Times New Roman" w:cs="Times New Roman"/>
          <w:szCs w:val="24"/>
          <w:lang w:val="en" w:eastAsia="en-GB"/>
        </w:rPr>
        <w:t>).</w:t>
      </w:r>
      <w:proofErr w:type="gramEnd"/>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val="en" w:eastAsia="en-GB"/>
        </w:rPr>
        <w:t xml:space="preserve">It notes the new provisions in recently adopted Regulation (EU) 2019/6, on veterinary medicinal products, that risk </w:t>
      </w:r>
      <w:r w:rsidRPr="00F62DBC">
        <w:rPr>
          <w:rFonts w:eastAsia="Times New Roman" w:cs="Times New Roman"/>
          <w:szCs w:val="24"/>
          <w:lang w:eastAsia="en-GB"/>
        </w:rPr>
        <w:t xml:space="preserve">management decisions should take into account ‘other relevant factors, including societal, economical, ethical, </w:t>
      </w:r>
      <w:proofErr w:type="gramStart"/>
      <w:r w:rsidRPr="00F62DBC">
        <w:rPr>
          <w:rFonts w:eastAsia="Times New Roman" w:cs="Times New Roman"/>
          <w:szCs w:val="24"/>
          <w:lang w:eastAsia="en-GB"/>
        </w:rPr>
        <w:t>environmental</w:t>
      </w:r>
      <w:proofErr w:type="gramEnd"/>
      <w:r w:rsidRPr="00F62DBC">
        <w:rPr>
          <w:rFonts w:eastAsia="Times New Roman" w:cs="Times New Roman"/>
          <w:szCs w:val="24"/>
          <w:lang w:eastAsia="en-GB"/>
        </w:rPr>
        <w:t xml:space="preserve"> and welfare factors and the feasibility of controls’ </w:t>
      </w:r>
      <w:r w:rsidRPr="00F62DBC">
        <w:rPr>
          <w:rFonts w:eastAsia="Times New Roman" w:cs="Times New Roman"/>
          <w:b/>
          <w:szCs w:val="24"/>
          <w:lang w:eastAsia="en-GB"/>
        </w:rPr>
        <w:t>(recitals AA</w:t>
      </w:r>
      <w:r w:rsidRPr="00F62DBC">
        <w:rPr>
          <w:rFonts w:eastAsia="Times New Roman" w:cs="Times New Roman"/>
          <w:szCs w:val="24"/>
          <w:lang w:eastAsia="en-GB"/>
        </w:rPr>
        <w:t>). It further notes that this Regulation envisages the possible refusal of marketing authorisations for veterinary medicines if risks to public or animal health or to the environment are not sufficiently addressed (</w:t>
      </w:r>
      <w:r w:rsidRPr="00F62DBC">
        <w:rPr>
          <w:rFonts w:eastAsia="Times New Roman" w:cs="Times New Roman"/>
          <w:b/>
          <w:szCs w:val="24"/>
          <w:lang w:eastAsia="en-GB"/>
        </w:rPr>
        <w:t>recital AE</w:t>
      </w:r>
      <w:r w:rsidRPr="00F62DBC">
        <w:rPr>
          <w:rFonts w:eastAsia="Times New Roman" w:cs="Times New Roman"/>
          <w:szCs w:val="24"/>
          <w:lang w:eastAsia="en-GB"/>
        </w:rPr>
        <w:t>).</w:t>
      </w:r>
    </w:p>
    <w:p w:rsidR="00F62DBC" w:rsidRPr="00F62DBC" w:rsidRDefault="00F62DBC" w:rsidP="00F62DBC">
      <w:pPr>
        <w:spacing w:after="120" w:line="240" w:lineRule="auto"/>
        <w:jc w:val="both"/>
        <w:rPr>
          <w:rFonts w:eastAsia="Times New Roman" w:cs="Times New Roman"/>
          <w:szCs w:val="24"/>
          <w:lang w:val="en" w:eastAsia="en-GB"/>
        </w:rPr>
      </w:pPr>
      <w:r w:rsidRPr="00F62DBC">
        <w:rPr>
          <w:rFonts w:eastAsia="Times New Roman" w:cs="Times New Roman"/>
          <w:szCs w:val="24"/>
          <w:lang w:eastAsia="en-GB"/>
        </w:rPr>
        <w:t>The resolution states that Implementing Regulation (EU) 2021/621 exceeds the implementing powers provided for in Regulation (EC) No 470/2008 (</w:t>
      </w:r>
      <w:r w:rsidRPr="00F62DBC">
        <w:rPr>
          <w:rFonts w:eastAsia="Times New Roman" w:cs="Times New Roman"/>
          <w:b/>
          <w:szCs w:val="24"/>
          <w:lang w:eastAsia="en-GB"/>
        </w:rPr>
        <w:t>paragraph</w:t>
      </w:r>
      <w:r w:rsidRPr="00F62DBC">
        <w:rPr>
          <w:rFonts w:eastAsia="Times New Roman" w:cs="Times New Roman"/>
          <w:b/>
          <w:szCs w:val="24"/>
          <w:lang w:val="en" w:eastAsia="en-GB"/>
        </w:rPr>
        <w:t xml:space="preserve"> 1</w:t>
      </w:r>
      <w:r w:rsidRPr="00F62DBC">
        <w:rPr>
          <w:rFonts w:eastAsia="Times New Roman" w:cs="Times New Roman"/>
          <w:szCs w:val="24"/>
          <w:lang w:val="en" w:eastAsia="en-GB"/>
        </w:rPr>
        <w:t>).</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val="en" w:eastAsia="en-GB"/>
        </w:rPr>
        <w:t xml:space="preserve">The resolution claims that Implementing Regulation (EU) 2021/621 </w:t>
      </w:r>
      <w:r w:rsidRPr="00F62DBC">
        <w:rPr>
          <w:rFonts w:eastAsia="Times New Roman" w:cs="Times New Roman"/>
          <w:szCs w:val="24"/>
          <w:lang w:eastAsia="en-GB"/>
        </w:rPr>
        <w:t xml:space="preserve">violates the freedom of information and the fundamental principles of transparency, democratic scrutiny, and </w:t>
      </w:r>
      <w:r w:rsidRPr="00F62DBC">
        <w:rPr>
          <w:rFonts w:eastAsia="Times New Roman" w:cs="Times New Roman"/>
          <w:szCs w:val="24"/>
          <w:lang w:eastAsia="en-GB"/>
        </w:rPr>
        <w:lastRenderedPageBreak/>
        <w:t xml:space="preserve">accountability, insofar as the underlying opinion by the Committee for Medicinal Products for Veterinary Use </w:t>
      </w:r>
      <w:proofErr w:type="gramStart"/>
      <w:r w:rsidRPr="00F62DBC">
        <w:rPr>
          <w:rFonts w:eastAsia="Times New Roman" w:cs="Times New Roman"/>
          <w:szCs w:val="24"/>
          <w:lang w:eastAsia="en-GB"/>
        </w:rPr>
        <w:t>has only been made</w:t>
      </w:r>
      <w:proofErr w:type="gramEnd"/>
      <w:r w:rsidRPr="00F62DBC">
        <w:rPr>
          <w:rFonts w:eastAsia="Times New Roman" w:cs="Times New Roman"/>
          <w:szCs w:val="24"/>
          <w:lang w:eastAsia="en-GB"/>
        </w:rPr>
        <w:t xml:space="preserve"> available in summary (</w:t>
      </w:r>
      <w:r w:rsidRPr="00F62DBC">
        <w:rPr>
          <w:rFonts w:eastAsia="Times New Roman" w:cs="Times New Roman"/>
          <w:b/>
          <w:szCs w:val="24"/>
          <w:lang w:val="en" w:eastAsia="en-GB"/>
        </w:rPr>
        <w:t>paragraph 2</w:t>
      </w:r>
      <w:r w:rsidRPr="00F62DBC">
        <w:rPr>
          <w:rFonts w:eastAsia="Times New Roman" w:cs="Times New Roman"/>
          <w:szCs w:val="24"/>
          <w:lang w:val="en" w:eastAsia="en-GB"/>
        </w:rPr>
        <w:t>).</w:t>
      </w:r>
    </w:p>
    <w:p w:rsidR="00F62DBC" w:rsidRPr="00F62DBC" w:rsidRDefault="00F62DBC" w:rsidP="00F62DBC">
      <w:pPr>
        <w:spacing w:after="120" w:line="240" w:lineRule="auto"/>
        <w:jc w:val="both"/>
        <w:rPr>
          <w:rFonts w:eastAsia="Times New Roman" w:cs="Times New Roman"/>
          <w:szCs w:val="24"/>
          <w:lang w:val="en" w:eastAsia="en-GB"/>
        </w:rPr>
      </w:pPr>
      <w:r w:rsidRPr="00F62DBC">
        <w:rPr>
          <w:rFonts w:eastAsia="Times New Roman" w:cs="Times New Roman"/>
          <w:szCs w:val="24"/>
          <w:lang w:val="en" w:eastAsia="en-GB"/>
        </w:rPr>
        <w:t>It calls on the Commission:</w:t>
      </w:r>
    </w:p>
    <w:p w:rsidR="00F62DBC" w:rsidRPr="00F62DBC" w:rsidRDefault="00F62DBC" w:rsidP="00F62DBC">
      <w:pPr>
        <w:numPr>
          <w:ilvl w:val="0"/>
          <w:numId w:val="1"/>
        </w:numPr>
        <w:spacing w:after="120" w:line="240" w:lineRule="auto"/>
        <w:ind w:left="641" w:hanging="357"/>
        <w:jc w:val="both"/>
        <w:rPr>
          <w:rFonts w:eastAsia="Times New Roman" w:cs="Times New Roman"/>
          <w:szCs w:val="24"/>
          <w:lang w:eastAsia="en-GB"/>
        </w:rPr>
      </w:pPr>
      <w:r w:rsidRPr="00F62DBC">
        <w:rPr>
          <w:rFonts w:eastAsia="Times New Roman" w:cs="Times New Roman"/>
          <w:szCs w:val="24"/>
          <w:lang w:eastAsia="en-GB"/>
        </w:rPr>
        <w:t xml:space="preserve">to repeal Implementing Regulation (EU) 2021/621 and to submit a new draft to the committee including </w:t>
      </w:r>
      <w:proofErr w:type="spellStart"/>
      <w:r w:rsidRPr="00F62DBC">
        <w:rPr>
          <w:rFonts w:eastAsia="Times New Roman" w:cs="Times New Roman"/>
          <w:szCs w:val="24"/>
          <w:lang w:eastAsia="en-GB"/>
        </w:rPr>
        <w:t>imidacloprid</w:t>
      </w:r>
      <w:proofErr w:type="spellEnd"/>
      <w:r w:rsidRPr="00F62DBC">
        <w:rPr>
          <w:rFonts w:eastAsia="Times New Roman" w:cs="Times New Roman"/>
          <w:szCs w:val="24"/>
          <w:lang w:eastAsia="en-GB"/>
        </w:rPr>
        <w:t xml:space="preserve"> in the list set out in Annex IV to Regulation (EC) No 396/2005 of pharmacologically active substances for which no maximum levels can be fixed for aquatic use</w:t>
      </w:r>
      <w:r w:rsidRPr="00F62DBC">
        <w:rPr>
          <w:rFonts w:eastAsia="Times New Roman" w:cs="Times New Roman"/>
          <w:b/>
          <w:szCs w:val="24"/>
          <w:lang w:val="en" w:eastAsia="en-GB"/>
        </w:rPr>
        <w:t xml:space="preserve"> (paragraph 3</w:t>
      </w:r>
      <w:r w:rsidRPr="00F62DBC">
        <w:rPr>
          <w:rFonts w:eastAsia="Times New Roman" w:cs="Times New Roman"/>
          <w:szCs w:val="24"/>
          <w:lang w:val="en" w:eastAsia="en-GB"/>
        </w:rPr>
        <w:t>)</w:t>
      </w:r>
      <w:r w:rsidRPr="00F62DBC">
        <w:rPr>
          <w:rFonts w:eastAsia="Times New Roman" w:cs="Times New Roman"/>
          <w:szCs w:val="24"/>
          <w:lang w:eastAsia="en-GB"/>
        </w:rPr>
        <w:t>;</w:t>
      </w:r>
    </w:p>
    <w:p w:rsidR="00F62DBC" w:rsidRPr="00F62DBC" w:rsidRDefault="00F62DBC" w:rsidP="00F62DBC">
      <w:pPr>
        <w:numPr>
          <w:ilvl w:val="0"/>
          <w:numId w:val="1"/>
        </w:numPr>
        <w:spacing w:after="120" w:line="240" w:lineRule="auto"/>
        <w:ind w:left="641" w:hanging="357"/>
        <w:jc w:val="both"/>
        <w:rPr>
          <w:rFonts w:eastAsia="Times New Roman" w:cs="Times New Roman"/>
          <w:szCs w:val="24"/>
          <w:lang w:eastAsia="en-GB"/>
        </w:rPr>
      </w:pPr>
      <w:r w:rsidRPr="00F62DBC">
        <w:rPr>
          <w:rFonts w:eastAsia="Times New Roman" w:cs="Times New Roman"/>
          <w:szCs w:val="24"/>
          <w:lang w:eastAsia="en-GB"/>
        </w:rPr>
        <w:t xml:space="preserve">to apply the precautionary principle when following an assessment of available information, so that the risk of harmful effects on the environment, biodiversity, animal welfare and human health is quantified </w:t>
      </w:r>
      <w:r w:rsidRPr="00F62DBC">
        <w:rPr>
          <w:rFonts w:eastAsia="Times New Roman" w:cs="Times New Roman"/>
          <w:b/>
          <w:szCs w:val="24"/>
          <w:lang w:val="en" w:eastAsia="en-GB"/>
        </w:rPr>
        <w:t>(paragraph 10</w:t>
      </w:r>
      <w:r w:rsidRPr="00F62DBC">
        <w:rPr>
          <w:rFonts w:eastAsia="Times New Roman" w:cs="Times New Roman"/>
          <w:szCs w:val="24"/>
          <w:lang w:val="en" w:eastAsia="en-GB"/>
        </w:rPr>
        <w:t>)</w:t>
      </w:r>
      <w:r w:rsidRPr="00F62DBC">
        <w:rPr>
          <w:rFonts w:eastAsia="Times New Roman" w:cs="Times New Roman"/>
          <w:szCs w:val="24"/>
          <w:lang w:eastAsia="en-GB"/>
        </w:rPr>
        <w:t>;</w:t>
      </w:r>
    </w:p>
    <w:p w:rsidR="00F62DBC" w:rsidRPr="00F62DBC" w:rsidRDefault="00F62DBC" w:rsidP="00F62DBC">
      <w:pPr>
        <w:numPr>
          <w:ilvl w:val="0"/>
          <w:numId w:val="1"/>
        </w:numPr>
        <w:spacing w:after="120" w:line="240" w:lineRule="auto"/>
        <w:ind w:left="641" w:hanging="357"/>
        <w:jc w:val="both"/>
        <w:rPr>
          <w:rFonts w:eastAsia="Times New Roman" w:cs="Times New Roman"/>
          <w:szCs w:val="24"/>
          <w:lang w:eastAsia="en-GB"/>
        </w:rPr>
      </w:pPr>
      <w:r w:rsidRPr="00F62DBC">
        <w:rPr>
          <w:rFonts w:eastAsia="Times New Roman" w:cs="Times New Roman"/>
          <w:szCs w:val="24"/>
          <w:lang w:eastAsia="en-GB"/>
        </w:rPr>
        <w:t xml:space="preserve">to communicate systematically on how the precautionary principle and the principle of informed consent have been taken into account and how the conclusions of the opinion of the Committee for Medicinal Products for Veterinary Use were derived </w:t>
      </w:r>
      <w:r w:rsidRPr="00F62DBC">
        <w:rPr>
          <w:rFonts w:eastAsia="Times New Roman" w:cs="Times New Roman"/>
          <w:b/>
          <w:szCs w:val="24"/>
          <w:lang w:val="en" w:eastAsia="en-GB"/>
        </w:rPr>
        <w:t>(paragraph 11</w:t>
      </w:r>
      <w:r w:rsidRPr="00F62DBC">
        <w:rPr>
          <w:rFonts w:eastAsia="Times New Roman" w:cs="Times New Roman"/>
          <w:szCs w:val="24"/>
          <w:lang w:val="en" w:eastAsia="en-GB"/>
        </w:rPr>
        <w:t>)</w:t>
      </w:r>
      <w:r w:rsidRPr="00F62DBC">
        <w:rPr>
          <w:rFonts w:eastAsia="Times New Roman" w:cs="Times New Roman"/>
          <w:szCs w:val="24"/>
          <w:lang w:eastAsia="en-GB"/>
        </w:rPr>
        <w:t>;</w:t>
      </w:r>
    </w:p>
    <w:p w:rsidR="00F62DBC" w:rsidRPr="00F62DBC" w:rsidRDefault="00F62DBC" w:rsidP="00F62DBC">
      <w:pPr>
        <w:numPr>
          <w:ilvl w:val="0"/>
          <w:numId w:val="1"/>
        </w:numPr>
        <w:spacing w:after="120" w:line="240" w:lineRule="auto"/>
        <w:ind w:left="641" w:hanging="357"/>
        <w:jc w:val="both"/>
        <w:rPr>
          <w:rFonts w:eastAsia="Times New Roman" w:cs="Times New Roman"/>
          <w:szCs w:val="24"/>
          <w:lang w:eastAsia="en-GB"/>
        </w:rPr>
      </w:pPr>
      <w:r w:rsidRPr="00F62DBC">
        <w:rPr>
          <w:rFonts w:eastAsia="Times New Roman" w:cs="Times New Roman"/>
          <w:szCs w:val="24"/>
          <w:lang w:eastAsia="en-GB"/>
        </w:rPr>
        <w:t xml:space="preserve">to uphold the democratic principle of informed consent and to undertake a fitness check of the risk assessment process to establish </w:t>
      </w:r>
      <w:proofErr w:type="spellStart"/>
      <w:r w:rsidRPr="00F62DBC">
        <w:rPr>
          <w:rFonts w:eastAsia="Times New Roman" w:cs="Times New Roman"/>
          <w:szCs w:val="24"/>
          <w:lang w:eastAsia="en-GB"/>
        </w:rPr>
        <w:t>MRLs</w:t>
      </w:r>
      <w:proofErr w:type="spellEnd"/>
      <w:r w:rsidRPr="00F62DBC">
        <w:rPr>
          <w:rFonts w:eastAsia="Times New Roman" w:cs="Times New Roman"/>
          <w:szCs w:val="24"/>
          <w:lang w:eastAsia="en-GB"/>
        </w:rPr>
        <w:t xml:space="preserve"> for veterinary medicinal products in foodstuffs of animal origin; considers it essential that it should be fully consistent as regards the aims referred to in the Commission communication of 11 December 2019 entitled ‘The European Green Deal’, the Commission communication of 20 May 2020 entitled ‘A Farm to Fork Strategy for a fair, healthy and environmentally-friendly food system’ and the EU biodiversity strategy for 2030 </w:t>
      </w:r>
      <w:r w:rsidRPr="00F62DBC">
        <w:rPr>
          <w:rFonts w:eastAsia="Times New Roman" w:cs="Times New Roman"/>
          <w:b/>
          <w:szCs w:val="24"/>
          <w:lang w:val="en" w:eastAsia="en-GB"/>
        </w:rPr>
        <w:t>(paragraph 12</w:t>
      </w:r>
      <w:r w:rsidRPr="00F62DBC">
        <w:rPr>
          <w:rFonts w:eastAsia="Times New Roman" w:cs="Times New Roman"/>
          <w:szCs w:val="24"/>
          <w:lang w:val="en" w:eastAsia="en-GB"/>
        </w:rPr>
        <w:t>)</w:t>
      </w:r>
      <w:r w:rsidRPr="00F62DBC">
        <w:rPr>
          <w:rFonts w:eastAsia="Times New Roman" w:cs="Times New Roman"/>
          <w:szCs w:val="24"/>
          <w:lang w:eastAsia="en-GB"/>
        </w:rPr>
        <w:t>;</w:t>
      </w:r>
    </w:p>
    <w:p w:rsidR="00F62DBC" w:rsidRPr="00F62DBC" w:rsidRDefault="00F62DBC" w:rsidP="00F62DBC">
      <w:pPr>
        <w:numPr>
          <w:ilvl w:val="0"/>
          <w:numId w:val="1"/>
        </w:numPr>
        <w:spacing w:after="120" w:line="240" w:lineRule="auto"/>
        <w:ind w:left="641" w:hanging="357"/>
        <w:jc w:val="both"/>
        <w:rPr>
          <w:rFonts w:eastAsia="Times New Roman" w:cs="Times New Roman"/>
          <w:szCs w:val="24"/>
          <w:lang w:eastAsia="en-GB"/>
        </w:rPr>
      </w:pPr>
      <w:r w:rsidRPr="00F62DBC">
        <w:rPr>
          <w:rFonts w:eastAsia="Times New Roman" w:cs="Times New Roman"/>
          <w:szCs w:val="24"/>
          <w:lang w:eastAsia="en-GB"/>
        </w:rPr>
        <w:t xml:space="preserve">to ensure that time-cumulative, up-to-date, peer-reviewed, eco-toxicological tests for non-target species in the soil and aquatic environment are included in the risk assessment, and that it also covers environmental residues in the air, soil and water, including the long-term, cumulative toxic effects, and that it specifies the independent, peer-reviewed scientific studies and scientific opinions that were considered; stresses that this information should be publically accessible </w:t>
      </w:r>
      <w:r w:rsidRPr="00F62DBC">
        <w:rPr>
          <w:rFonts w:eastAsia="Times New Roman" w:cs="Times New Roman"/>
          <w:b/>
          <w:szCs w:val="24"/>
          <w:lang w:val="en" w:eastAsia="en-GB"/>
        </w:rPr>
        <w:t>(paragraph 13</w:t>
      </w:r>
      <w:r w:rsidRPr="00F62DBC">
        <w:rPr>
          <w:rFonts w:eastAsia="Times New Roman" w:cs="Times New Roman"/>
          <w:szCs w:val="24"/>
          <w:lang w:val="en" w:eastAsia="en-GB"/>
        </w:rPr>
        <w:t>)</w:t>
      </w:r>
      <w:r w:rsidRPr="00F62DBC">
        <w:rPr>
          <w:rFonts w:eastAsia="Times New Roman" w:cs="Times New Roman"/>
          <w:szCs w:val="24"/>
          <w:lang w:eastAsia="en-GB"/>
        </w:rPr>
        <w:t>;</w:t>
      </w:r>
    </w:p>
    <w:p w:rsidR="00F62DBC" w:rsidRPr="00F62DBC" w:rsidRDefault="00F62DBC" w:rsidP="00F62DBC">
      <w:pPr>
        <w:numPr>
          <w:ilvl w:val="0"/>
          <w:numId w:val="1"/>
        </w:numPr>
        <w:spacing w:after="120" w:line="240" w:lineRule="auto"/>
        <w:ind w:left="641" w:hanging="357"/>
        <w:jc w:val="both"/>
        <w:rPr>
          <w:rFonts w:eastAsia="Times New Roman" w:cs="Times New Roman"/>
          <w:szCs w:val="24"/>
          <w:lang w:eastAsia="en-GB"/>
        </w:rPr>
      </w:pPr>
      <w:proofErr w:type="gramStart"/>
      <w:r w:rsidRPr="00F62DBC">
        <w:rPr>
          <w:rFonts w:eastAsia="Times New Roman" w:cs="Times New Roman"/>
          <w:szCs w:val="24"/>
          <w:lang w:eastAsia="en-GB"/>
        </w:rPr>
        <w:t xml:space="preserve">to submit a legislative proposal to ensure that there is consistency with and coherence as regards Regulations (EU) 2019/6 and (EU) 2019/1381 and all food-related legislation in the event that the risk assessment to establish </w:t>
      </w:r>
      <w:proofErr w:type="spellStart"/>
      <w:r w:rsidRPr="00F62DBC">
        <w:rPr>
          <w:rFonts w:eastAsia="Times New Roman" w:cs="Times New Roman"/>
          <w:szCs w:val="24"/>
          <w:lang w:eastAsia="en-GB"/>
        </w:rPr>
        <w:t>MRLs</w:t>
      </w:r>
      <w:proofErr w:type="spellEnd"/>
      <w:r w:rsidRPr="00F62DBC">
        <w:rPr>
          <w:rFonts w:eastAsia="Times New Roman" w:cs="Times New Roman"/>
          <w:szCs w:val="24"/>
          <w:lang w:eastAsia="en-GB"/>
        </w:rPr>
        <w:t xml:space="preserve"> is undertaken by agencies other than the European Food Safety Authority (</w:t>
      </w:r>
      <w:proofErr w:type="spellStart"/>
      <w:r w:rsidRPr="00F62DBC">
        <w:rPr>
          <w:rFonts w:eastAsia="Times New Roman" w:cs="Times New Roman"/>
          <w:szCs w:val="24"/>
          <w:lang w:eastAsia="en-GB"/>
        </w:rPr>
        <w:t>EFSA</w:t>
      </w:r>
      <w:proofErr w:type="spellEnd"/>
      <w:r w:rsidRPr="00F62DBC">
        <w:rPr>
          <w:rFonts w:eastAsia="Times New Roman" w:cs="Times New Roman"/>
          <w:szCs w:val="24"/>
          <w:lang w:eastAsia="en-GB"/>
        </w:rPr>
        <w:t xml:space="preserve">); and calls on the Commission to ensure also that such assessment is transparent and serves to better protect biodiversity and aquatic ecosystems, insects, earthworms and soil microorganisms </w:t>
      </w:r>
      <w:r w:rsidRPr="00F62DBC">
        <w:rPr>
          <w:rFonts w:eastAsia="Times New Roman" w:cs="Times New Roman"/>
          <w:b/>
          <w:szCs w:val="24"/>
          <w:lang w:val="en" w:eastAsia="en-GB"/>
        </w:rPr>
        <w:t>(paragraph 14</w:t>
      </w:r>
      <w:r w:rsidRPr="00F62DBC">
        <w:rPr>
          <w:rFonts w:eastAsia="Times New Roman" w:cs="Times New Roman"/>
          <w:szCs w:val="24"/>
          <w:lang w:val="en" w:eastAsia="en-GB"/>
        </w:rPr>
        <w:t>)</w:t>
      </w:r>
      <w:r w:rsidRPr="00F62DBC">
        <w:rPr>
          <w:rFonts w:eastAsia="Times New Roman" w:cs="Times New Roman"/>
          <w:szCs w:val="24"/>
          <w:lang w:eastAsia="en-GB"/>
        </w:rPr>
        <w:t>.</w:t>
      </w:r>
      <w:proofErr w:type="gramEnd"/>
    </w:p>
    <w:p w:rsidR="00F62DBC" w:rsidRPr="00F62DBC" w:rsidRDefault="00F62DBC" w:rsidP="00F62DBC">
      <w:pPr>
        <w:widowControl w:val="0"/>
        <w:numPr>
          <w:ilvl w:val="0"/>
          <w:numId w:val="2"/>
        </w:numPr>
        <w:spacing w:after="240" w:line="240" w:lineRule="auto"/>
        <w:contextualSpacing/>
        <w:jc w:val="both"/>
        <w:rPr>
          <w:rFonts w:eastAsia="Calibri" w:cs="Times New Roman"/>
          <w:b/>
          <w:i/>
          <w:szCs w:val="24"/>
        </w:rPr>
      </w:pPr>
      <w:r w:rsidRPr="00F62DBC">
        <w:rPr>
          <w:rFonts w:eastAsia="Calibri" w:cs="Times New Roman"/>
          <w:b/>
          <w:szCs w:val="24"/>
        </w:rPr>
        <w:t>Response to the requests and overview of the action taken, or intended to be taken, by the Commission:</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val="en-US" w:eastAsia="en-GB"/>
        </w:rPr>
        <w:t>T</w:t>
      </w:r>
      <w:r w:rsidRPr="00F62DBC">
        <w:rPr>
          <w:rFonts w:eastAsia="Times New Roman" w:cs="Times New Roman"/>
          <w:szCs w:val="24"/>
          <w:lang w:eastAsia="en-GB"/>
        </w:rPr>
        <w:t>he Commission has carefully considered the positions expressed by the European Parliament and would like to make the following comments:</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 xml:space="preserve">The Commission would first like to note in reaction to </w:t>
      </w:r>
      <w:r w:rsidRPr="00F62DBC">
        <w:rPr>
          <w:rFonts w:eastAsia="Times New Roman" w:cs="Times New Roman"/>
          <w:b/>
          <w:szCs w:val="24"/>
          <w:lang w:val="en" w:eastAsia="en-GB"/>
        </w:rPr>
        <w:t xml:space="preserve">paragraphs 1, 2 </w:t>
      </w:r>
      <w:r w:rsidRPr="00F62DBC">
        <w:rPr>
          <w:rFonts w:eastAsia="Times New Roman" w:cs="Times New Roman"/>
          <w:szCs w:val="24"/>
          <w:lang w:val="en" w:eastAsia="en-GB"/>
        </w:rPr>
        <w:t>and</w:t>
      </w:r>
      <w:r w:rsidRPr="00F62DBC">
        <w:rPr>
          <w:rFonts w:eastAsia="Times New Roman" w:cs="Times New Roman"/>
          <w:szCs w:val="24"/>
          <w:lang w:eastAsia="en-GB"/>
        </w:rPr>
        <w:t xml:space="preserve"> </w:t>
      </w:r>
      <w:r w:rsidRPr="00F62DBC">
        <w:rPr>
          <w:rFonts w:eastAsia="Times New Roman" w:cs="Times New Roman"/>
          <w:b/>
          <w:szCs w:val="24"/>
          <w:lang w:eastAsia="en-GB"/>
        </w:rPr>
        <w:t>3</w:t>
      </w:r>
      <w:r w:rsidRPr="00F62DBC">
        <w:rPr>
          <w:rFonts w:eastAsia="Times New Roman" w:cs="Times New Roman"/>
          <w:szCs w:val="24"/>
          <w:lang w:eastAsia="en-GB"/>
        </w:rPr>
        <w:t xml:space="preserve"> that the procedure for the establishment of </w:t>
      </w:r>
      <w:proofErr w:type="spellStart"/>
      <w:r w:rsidRPr="00F62DBC">
        <w:rPr>
          <w:rFonts w:eastAsia="Times New Roman" w:cs="Times New Roman"/>
          <w:szCs w:val="24"/>
          <w:lang w:eastAsia="en-GB"/>
        </w:rPr>
        <w:t>MRLs</w:t>
      </w:r>
      <w:proofErr w:type="spellEnd"/>
      <w:r w:rsidRPr="00F62DBC">
        <w:rPr>
          <w:rFonts w:eastAsia="Times New Roman" w:cs="Times New Roman"/>
          <w:szCs w:val="24"/>
          <w:lang w:eastAsia="en-GB"/>
        </w:rPr>
        <w:t xml:space="preserve"> is set out in Regulation (EC) 470/2009 on the establishment of residue limits of pharmacologically active substances in foodstuffs of animal origin, in its Articles 8, 12, 14 and 17. This regulation establishes </w:t>
      </w:r>
      <w:proofErr w:type="spellStart"/>
      <w:r w:rsidRPr="00F62DBC">
        <w:rPr>
          <w:rFonts w:eastAsia="Times New Roman" w:cs="Times New Roman"/>
          <w:szCs w:val="24"/>
          <w:lang w:eastAsia="en-GB"/>
        </w:rPr>
        <w:t>MRLs</w:t>
      </w:r>
      <w:proofErr w:type="spellEnd"/>
      <w:r w:rsidRPr="00F62DBC">
        <w:rPr>
          <w:rFonts w:eastAsia="Times New Roman" w:cs="Times New Roman"/>
          <w:szCs w:val="24"/>
          <w:lang w:eastAsia="en-GB"/>
        </w:rPr>
        <w:t xml:space="preserve"> of pharmacologically active substances in foodstuffs of animal origin.</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lastRenderedPageBreak/>
        <w:t xml:space="preserve">This Commission implementing regulation is fully in line with the implementing powers provided for in the basic act. The Commission, therefore, considers that by adopting a regulation that fully complies with the procedural steps and legal requirements set out by the co-legislators in the legislation on </w:t>
      </w:r>
      <w:proofErr w:type="spellStart"/>
      <w:r w:rsidRPr="00F62DBC">
        <w:rPr>
          <w:rFonts w:eastAsia="Times New Roman" w:cs="Times New Roman"/>
          <w:szCs w:val="24"/>
          <w:lang w:eastAsia="en-GB"/>
        </w:rPr>
        <w:t>MRLs</w:t>
      </w:r>
      <w:proofErr w:type="spellEnd"/>
      <w:r w:rsidRPr="00F62DBC">
        <w:rPr>
          <w:rFonts w:eastAsia="Times New Roman" w:cs="Times New Roman"/>
          <w:szCs w:val="24"/>
          <w:lang w:eastAsia="en-GB"/>
        </w:rPr>
        <w:t>, the Commission does not exceed its implementing powers. Consequently, there are no reasons to repeal the regulation.</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 xml:space="preserve">Regarding </w:t>
      </w:r>
      <w:r w:rsidRPr="00F62DBC">
        <w:rPr>
          <w:rFonts w:eastAsia="Times New Roman" w:cs="Times New Roman"/>
          <w:b/>
          <w:szCs w:val="24"/>
          <w:lang w:val="en" w:eastAsia="en-GB"/>
        </w:rPr>
        <w:t>paragraphs</w:t>
      </w:r>
      <w:r w:rsidRPr="00F62DBC">
        <w:rPr>
          <w:rFonts w:eastAsia="Times New Roman" w:cs="Times New Roman"/>
          <w:b/>
          <w:szCs w:val="24"/>
          <w:lang w:eastAsia="en-GB"/>
        </w:rPr>
        <w:t xml:space="preserve"> 10 </w:t>
      </w:r>
      <w:r w:rsidRPr="00F62DBC">
        <w:rPr>
          <w:rFonts w:eastAsia="Times New Roman" w:cs="Times New Roman"/>
          <w:szCs w:val="24"/>
          <w:lang w:eastAsia="en-GB"/>
        </w:rPr>
        <w:t xml:space="preserve">and </w:t>
      </w:r>
      <w:r w:rsidRPr="00F62DBC">
        <w:rPr>
          <w:rFonts w:eastAsia="Times New Roman" w:cs="Times New Roman"/>
          <w:b/>
          <w:szCs w:val="24"/>
          <w:lang w:eastAsia="en-GB"/>
        </w:rPr>
        <w:t>13</w:t>
      </w:r>
      <w:r w:rsidRPr="00F62DBC">
        <w:rPr>
          <w:rFonts w:eastAsia="Times New Roman" w:cs="Times New Roman"/>
          <w:szCs w:val="24"/>
          <w:lang w:eastAsia="en-GB"/>
        </w:rPr>
        <w:t xml:space="preserve">, the Commission would like to point out that Commission Regulation (EU) 2018/782 on establishing principles for the risk assessment and risk management recommendations, adopted under </w:t>
      </w:r>
      <w:proofErr w:type="gramStart"/>
      <w:r w:rsidRPr="00F62DBC">
        <w:rPr>
          <w:rFonts w:eastAsia="Times New Roman" w:cs="Times New Roman"/>
          <w:szCs w:val="24"/>
          <w:lang w:eastAsia="en-GB"/>
        </w:rPr>
        <w:t>Regulation 470/2009</w:t>
      </w:r>
      <w:proofErr w:type="gramEnd"/>
      <w:r w:rsidRPr="00F62DBC">
        <w:rPr>
          <w:rFonts w:eastAsia="Times New Roman" w:cs="Times New Roman"/>
          <w:szCs w:val="24"/>
          <w:lang w:eastAsia="en-GB"/>
        </w:rPr>
        <w:t xml:space="preserve"> lays down the methodology to be used in the scientific risk assessment and the establishment of risk management recommendations relevant to </w:t>
      </w:r>
      <w:proofErr w:type="spellStart"/>
      <w:r w:rsidRPr="00F62DBC">
        <w:rPr>
          <w:rFonts w:eastAsia="Times New Roman" w:cs="Times New Roman"/>
          <w:szCs w:val="24"/>
          <w:lang w:eastAsia="en-GB"/>
        </w:rPr>
        <w:t>MRL</w:t>
      </w:r>
      <w:proofErr w:type="spellEnd"/>
      <w:r w:rsidRPr="00F62DBC">
        <w:rPr>
          <w:rFonts w:eastAsia="Times New Roman" w:cs="Times New Roman"/>
          <w:szCs w:val="24"/>
          <w:lang w:eastAsia="en-GB"/>
        </w:rPr>
        <w:t xml:space="preserve"> applications.</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 xml:space="preserve">When preparing an opinion on a </w:t>
      </w:r>
      <w:proofErr w:type="spellStart"/>
      <w:r w:rsidRPr="00F62DBC">
        <w:rPr>
          <w:rFonts w:eastAsia="Times New Roman" w:cs="Times New Roman"/>
          <w:szCs w:val="24"/>
          <w:lang w:eastAsia="en-GB"/>
        </w:rPr>
        <w:t>MRL</w:t>
      </w:r>
      <w:proofErr w:type="spellEnd"/>
      <w:r w:rsidRPr="00F62DBC">
        <w:rPr>
          <w:rFonts w:eastAsia="Times New Roman" w:cs="Times New Roman"/>
          <w:szCs w:val="24"/>
          <w:lang w:eastAsia="en-GB"/>
        </w:rPr>
        <w:t xml:space="preserve">, the EMA assessment focusses on the consumer safety of the residues of a substance remaining post-treatment in foodstuffs of animal origin. To this end, EMA has thoroughly examined the possible risks that the residues of </w:t>
      </w:r>
      <w:proofErr w:type="spellStart"/>
      <w:r w:rsidRPr="00F62DBC">
        <w:rPr>
          <w:rFonts w:eastAsia="Times New Roman" w:cs="Times New Roman"/>
          <w:szCs w:val="24"/>
          <w:lang w:eastAsia="en-GB"/>
        </w:rPr>
        <w:t>imidacloprid</w:t>
      </w:r>
      <w:proofErr w:type="spellEnd"/>
      <w:r w:rsidRPr="00F62DBC">
        <w:rPr>
          <w:rFonts w:eastAsia="Times New Roman" w:cs="Times New Roman"/>
          <w:szCs w:val="24"/>
          <w:lang w:eastAsia="en-GB"/>
        </w:rPr>
        <w:t xml:space="preserve"> could pose to human health and concluded that the proposed </w:t>
      </w:r>
      <w:proofErr w:type="spellStart"/>
      <w:r w:rsidRPr="00F62DBC">
        <w:rPr>
          <w:rFonts w:eastAsia="Times New Roman" w:cs="Times New Roman"/>
          <w:szCs w:val="24"/>
          <w:lang w:eastAsia="en-GB"/>
        </w:rPr>
        <w:t>MRL</w:t>
      </w:r>
      <w:proofErr w:type="spellEnd"/>
      <w:r w:rsidRPr="00F62DBC">
        <w:rPr>
          <w:rFonts w:eastAsia="Times New Roman" w:cs="Times New Roman"/>
          <w:szCs w:val="24"/>
          <w:lang w:eastAsia="en-GB"/>
        </w:rPr>
        <w:t xml:space="preserve"> values would sufficiently safeguard public health. In its assessment, EMA took due account of the assessment of </w:t>
      </w:r>
      <w:proofErr w:type="spellStart"/>
      <w:r w:rsidRPr="00F62DBC">
        <w:rPr>
          <w:rFonts w:eastAsia="Times New Roman" w:cs="Times New Roman"/>
          <w:szCs w:val="24"/>
          <w:lang w:eastAsia="en-GB"/>
        </w:rPr>
        <w:t>imidacloprid</w:t>
      </w:r>
      <w:proofErr w:type="spellEnd"/>
      <w:r w:rsidRPr="00F62DBC">
        <w:rPr>
          <w:rFonts w:eastAsia="Times New Roman" w:cs="Times New Roman"/>
          <w:szCs w:val="24"/>
          <w:lang w:eastAsia="en-GB"/>
        </w:rPr>
        <w:t xml:space="preserve"> by the Joint World Health Organization/Food and Agriculture Organization Meeting on Pesticides (</w:t>
      </w:r>
      <w:proofErr w:type="spellStart"/>
      <w:r w:rsidRPr="00F62DBC">
        <w:rPr>
          <w:rFonts w:eastAsia="Times New Roman" w:cs="Times New Roman"/>
          <w:szCs w:val="24"/>
          <w:lang w:eastAsia="en-GB"/>
        </w:rPr>
        <w:t>JMPR</w:t>
      </w:r>
      <w:proofErr w:type="spellEnd"/>
      <w:r w:rsidRPr="00F62DBC">
        <w:rPr>
          <w:rFonts w:eastAsia="Times New Roman" w:cs="Times New Roman"/>
          <w:szCs w:val="24"/>
          <w:lang w:eastAsia="en-GB"/>
        </w:rPr>
        <w:t xml:space="preserve">) as well as by </w:t>
      </w:r>
      <w:proofErr w:type="spellStart"/>
      <w:r w:rsidRPr="00F62DBC">
        <w:rPr>
          <w:rFonts w:eastAsia="Times New Roman" w:cs="Times New Roman"/>
          <w:szCs w:val="24"/>
          <w:lang w:eastAsia="en-GB"/>
        </w:rPr>
        <w:t>EFSA</w:t>
      </w:r>
      <w:proofErr w:type="spellEnd"/>
      <w:r w:rsidRPr="00F62DBC">
        <w:rPr>
          <w:rFonts w:eastAsia="Times New Roman" w:cs="Times New Roman"/>
          <w:szCs w:val="24"/>
          <w:lang w:eastAsia="en-GB"/>
        </w:rPr>
        <w:t xml:space="preserve"> and </w:t>
      </w:r>
      <w:proofErr w:type="spellStart"/>
      <w:r w:rsidRPr="00F62DBC">
        <w:rPr>
          <w:rFonts w:eastAsia="Times New Roman" w:cs="Times New Roman"/>
          <w:szCs w:val="24"/>
          <w:lang w:eastAsia="en-GB"/>
        </w:rPr>
        <w:t>ECHA</w:t>
      </w:r>
      <w:proofErr w:type="spellEnd"/>
      <w:r w:rsidRPr="00F62DBC">
        <w:rPr>
          <w:rFonts w:eastAsia="Times New Roman" w:cs="Times New Roman"/>
          <w:szCs w:val="24"/>
          <w:lang w:eastAsia="en-GB"/>
        </w:rPr>
        <w:t>.</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T</w:t>
      </w:r>
      <w:r w:rsidRPr="00F62DBC">
        <w:rPr>
          <w:rFonts w:eastAsia="Times New Roman" w:cs="Times New Roman"/>
          <w:szCs w:val="24"/>
          <w:lang w:val="en" w:eastAsia="en-GB"/>
        </w:rPr>
        <w:t xml:space="preserve">he Commission would like to recall that </w:t>
      </w:r>
      <w:r w:rsidRPr="00F62DBC">
        <w:rPr>
          <w:rFonts w:eastAsia="Times New Roman" w:cs="Times New Roman"/>
          <w:szCs w:val="24"/>
          <w:lang w:eastAsia="en-GB"/>
        </w:rPr>
        <w:t xml:space="preserve">an established </w:t>
      </w:r>
      <w:proofErr w:type="spellStart"/>
      <w:r w:rsidRPr="00F62DBC">
        <w:rPr>
          <w:rFonts w:eastAsia="Times New Roman" w:cs="Times New Roman"/>
          <w:szCs w:val="24"/>
          <w:lang w:eastAsia="en-GB"/>
        </w:rPr>
        <w:t>MRL</w:t>
      </w:r>
      <w:proofErr w:type="spellEnd"/>
      <w:r w:rsidRPr="00F62DBC">
        <w:rPr>
          <w:rFonts w:eastAsia="Times New Roman" w:cs="Times New Roman"/>
          <w:szCs w:val="24"/>
          <w:lang w:eastAsia="en-GB"/>
        </w:rPr>
        <w:t xml:space="preserve"> is a precondition to apply for a marketing authorisation for a veterinary medicine intended for food-producing animals. The active substance </w:t>
      </w:r>
      <w:proofErr w:type="gramStart"/>
      <w:r w:rsidRPr="00F62DBC">
        <w:rPr>
          <w:rFonts w:eastAsia="Times New Roman" w:cs="Times New Roman"/>
          <w:szCs w:val="24"/>
          <w:lang w:eastAsia="en-GB"/>
        </w:rPr>
        <w:t>cannot be used</w:t>
      </w:r>
      <w:proofErr w:type="gramEnd"/>
      <w:r w:rsidRPr="00F62DBC">
        <w:rPr>
          <w:rFonts w:eastAsia="Times New Roman" w:cs="Times New Roman"/>
          <w:szCs w:val="24"/>
          <w:lang w:eastAsia="en-GB"/>
        </w:rPr>
        <w:t xml:space="preserve"> in food-producing animals until a marketing authorisation is granted for a veterinary medicine. During the assessment of an application for a marketing authorisation for any veterinary medicine under the centralised procedure, the EMA and the Commission examine the safety of the product for human health, animal health and the environment.</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In relation to</w:t>
      </w:r>
      <w:r w:rsidRPr="00F62DBC">
        <w:rPr>
          <w:rFonts w:eastAsia="Times New Roman" w:cs="Times New Roman"/>
          <w:b/>
          <w:szCs w:val="24"/>
          <w:lang w:eastAsia="en-GB"/>
        </w:rPr>
        <w:t xml:space="preserve"> </w:t>
      </w:r>
      <w:r w:rsidRPr="00F62DBC">
        <w:rPr>
          <w:rFonts w:eastAsia="Times New Roman" w:cs="Times New Roman"/>
          <w:b/>
          <w:szCs w:val="24"/>
          <w:lang w:val="en" w:eastAsia="en-GB"/>
        </w:rPr>
        <w:t xml:space="preserve">paragraphs 11 </w:t>
      </w:r>
      <w:r w:rsidRPr="00F62DBC">
        <w:rPr>
          <w:rFonts w:eastAsia="Times New Roman" w:cs="Times New Roman"/>
          <w:szCs w:val="24"/>
          <w:lang w:val="en" w:eastAsia="en-GB"/>
        </w:rPr>
        <w:t xml:space="preserve">and </w:t>
      </w:r>
      <w:r w:rsidRPr="00F62DBC">
        <w:rPr>
          <w:rFonts w:eastAsia="Times New Roman" w:cs="Times New Roman"/>
          <w:b/>
          <w:szCs w:val="24"/>
          <w:lang w:val="en" w:eastAsia="en-GB"/>
        </w:rPr>
        <w:t xml:space="preserve">14, </w:t>
      </w:r>
      <w:r w:rsidRPr="00F62DBC">
        <w:rPr>
          <w:rFonts w:eastAsia="Times New Roman" w:cs="Times New Roman"/>
          <w:szCs w:val="24"/>
          <w:lang w:val="en" w:eastAsia="en-GB"/>
        </w:rPr>
        <w:t xml:space="preserve">the Commission would like </w:t>
      </w:r>
      <w:r w:rsidRPr="00F62DBC">
        <w:rPr>
          <w:rFonts w:eastAsia="Times New Roman" w:cs="Times New Roman"/>
          <w:szCs w:val="24"/>
          <w:lang w:eastAsia="en-GB"/>
        </w:rPr>
        <w:t xml:space="preserve">to emphasise that </w:t>
      </w:r>
      <w:r w:rsidRPr="00F62DBC">
        <w:rPr>
          <w:rFonts w:eastAsia="Times New Roman" w:cs="Times New Roman"/>
          <w:szCs w:val="24"/>
          <w:lang w:val="en" w:eastAsia="en-GB"/>
        </w:rPr>
        <w:t xml:space="preserve">the Commission and EMA are fully committed to transparency of the work of EMA, including on the opinions on </w:t>
      </w:r>
      <w:proofErr w:type="spellStart"/>
      <w:r w:rsidRPr="00F62DBC">
        <w:rPr>
          <w:rFonts w:eastAsia="Times New Roman" w:cs="Times New Roman"/>
          <w:szCs w:val="24"/>
          <w:lang w:val="en" w:eastAsia="en-GB"/>
        </w:rPr>
        <w:t>MRLs</w:t>
      </w:r>
      <w:proofErr w:type="spellEnd"/>
      <w:r w:rsidRPr="00F62DBC">
        <w:rPr>
          <w:rFonts w:eastAsia="Times New Roman" w:cs="Times New Roman"/>
          <w:szCs w:val="24"/>
          <w:lang w:val="en" w:eastAsia="en-GB"/>
        </w:rPr>
        <w:t xml:space="preserve"> of active substances contained in veterinary medicinal products in foodstuffs. Immediately after the EMA opinion is adopted, a summary opinion is published on </w:t>
      </w:r>
      <w:proofErr w:type="spellStart"/>
      <w:r w:rsidRPr="00F62DBC">
        <w:rPr>
          <w:rFonts w:eastAsia="Times New Roman" w:cs="Times New Roman"/>
          <w:szCs w:val="24"/>
          <w:lang w:val="en" w:eastAsia="en-GB"/>
        </w:rPr>
        <w:t>EMA`s</w:t>
      </w:r>
      <w:proofErr w:type="spellEnd"/>
      <w:r w:rsidRPr="00F62DBC">
        <w:rPr>
          <w:rFonts w:eastAsia="Times New Roman" w:cs="Times New Roman"/>
          <w:szCs w:val="24"/>
          <w:lang w:val="en" w:eastAsia="en-GB"/>
        </w:rPr>
        <w:t xml:space="preserve"> website. Once the Commission publishes the </w:t>
      </w:r>
      <w:proofErr w:type="spellStart"/>
      <w:r w:rsidRPr="00F62DBC">
        <w:rPr>
          <w:rFonts w:eastAsia="Times New Roman" w:cs="Times New Roman"/>
          <w:szCs w:val="24"/>
          <w:lang w:val="en" w:eastAsia="en-GB"/>
        </w:rPr>
        <w:t>MRL</w:t>
      </w:r>
      <w:proofErr w:type="spellEnd"/>
      <w:r w:rsidRPr="00F62DBC">
        <w:rPr>
          <w:rFonts w:eastAsia="Times New Roman" w:cs="Times New Roman"/>
          <w:szCs w:val="24"/>
          <w:lang w:val="en" w:eastAsia="en-GB"/>
        </w:rPr>
        <w:t xml:space="preserve"> Regulation in the Official Journal of the European Union, the full EMA opinion and the European public </w:t>
      </w:r>
      <w:proofErr w:type="spellStart"/>
      <w:r w:rsidRPr="00F62DBC">
        <w:rPr>
          <w:rFonts w:eastAsia="Times New Roman" w:cs="Times New Roman"/>
          <w:szCs w:val="24"/>
          <w:lang w:val="en" w:eastAsia="en-GB"/>
        </w:rPr>
        <w:t>MRL</w:t>
      </w:r>
      <w:proofErr w:type="spellEnd"/>
      <w:r w:rsidRPr="00F62DBC">
        <w:rPr>
          <w:rFonts w:eastAsia="Times New Roman" w:cs="Times New Roman"/>
          <w:szCs w:val="24"/>
          <w:lang w:val="en" w:eastAsia="en-GB"/>
        </w:rPr>
        <w:t xml:space="preserve"> assessment report (</w:t>
      </w:r>
      <w:proofErr w:type="spellStart"/>
      <w:r w:rsidRPr="00F62DBC">
        <w:rPr>
          <w:rFonts w:eastAsia="Times New Roman" w:cs="Times New Roman"/>
          <w:szCs w:val="24"/>
          <w:lang w:val="en" w:eastAsia="en-GB"/>
        </w:rPr>
        <w:t>EPMAR</w:t>
      </w:r>
      <w:proofErr w:type="spellEnd"/>
      <w:r w:rsidRPr="00F62DBC">
        <w:rPr>
          <w:rFonts w:eastAsia="Times New Roman" w:cs="Times New Roman"/>
          <w:szCs w:val="24"/>
          <w:lang w:val="en" w:eastAsia="en-GB"/>
        </w:rPr>
        <w:t xml:space="preserve">) </w:t>
      </w:r>
      <w:proofErr w:type="gramStart"/>
      <w:r w:rsidRPr="00F62DBC">
        <w:rPr>
          <w:rFonts w:eastAsia="Times New Roman" w:cs="Times New Roman"/>
          <w:szCs w:val="24"/>
          <w:lang w:val="en" w:eastAsia="en-GB"/>
        </w:rPr>
        <w:t>are published</w:t>
      </w:r>
      <w:proofErr w:type="gramEnd"/>
      <w:r w:rsidRPr="00F62DBC">
        <w:rPr>
          <w:rFonts w:eastAsia="Times New Roman" w:cs="Times New Roman"/>
          <w:szCs w:val="24"/>
          <w:lang w:val="en" w:eastAsia="en-GB"/>
        </w:rPr>
        <w:t xml:space="preserve"> on the EMA website.</w:t>
      </w:r>
    </w:p>
    <w:p w:rsidR="00F62DBC" w:rsidRPr="00F62DBC" w:rsidRDefault="00F62DBC" w:rsidP="00F62DBC">
      <w:pPr>
        <w:spacing w:after="120" w:line="240" w:lineRule="auto"/>
        <w:jc w:val="both"/>
        <w:rPr>
          <w:rFonts w:eastAsia="Times New Roman" w:cs="Times New Roman"/>
          <w:szCs w:val="24"/>
          <w:lang w:val="en" w:eastAsia="en-GB"/>
        </w:rPr>
      </w:pPr>
      <w:r w:rsidRPr="00F62DBC">
        <w:rPr>
          <w:rFonts w:eastAsia="Times New Roman" w:cs="Times New Roman"/>
          <w:szCs w:val="24"/>
          <w:lang w:val="en" w:eastAsia="en-GB"/>
        </w:rPr>
        <w:t xml:space="preserve">During the preparation of its opinion as regards the establishment of </w:t>
      </w:r>
      <w:proofErr w:type="spellStart"/>
      <w:r w:rsidRPr="00F62DBC">
        <w:rPr>
          <w:rFonts w:eastAsia="Times New Roman" w:cs="Times New Roman"/>
          <w:szCs w:val="24"/>
          <w:lang w:val="en" w:eastAsia="en-GB"/>
        </w:rPr>
        <w:t>MRLs</w:t>
      </w:r>
      <w:proofErr w:type="spellEnd"/>
      <w:r w:rsidRPr="00F62DBC">
        <w:rPr>
          <w:rFonts w:eastAsia="Times New Roman" w:cs="Times New Roman"/>
          <w:szCs w:val="24"/>
          <w:lang w:val="en" w:eastAsia="en-GB"/>
        </w:rPr>
        <w:t xml:space="preserve">, EMA thoroughly examines the possible risks that residues of the active substances could pose to human health and proposes </w:t>
      </w:r>
      <w:proofErr w:type="spellStart"/>
      <w:r w:rsidRPr="00F62DBC">
        <w:rPr>
          <w:rFonts w:eastAsia="Times New Roman" w:cs="Times New Roman"/>
          <w:szCs w:val="24"/>
          <w:lang w:val="en" w:eastAsia="en-GB"/>
        </w:rPr>
        <w:t>MRL</w:t>
      </w:r>
      <w:proofErr w:type="spellEnd"/>
      <w:r w:rsidRPr="00F62DBC">
        <w:rPr>
          <w:rFonts w:eastAsia="Times New Roman" w:cs="Times New Roman"/>
          <w:szCs w:val="24"/>
          <w:lang w:val="en" w:eastAsia="en-GB"/>
        </w:rPr>
        <w:t xml:space="preserve"> values that sufficiently safeguard public health.</w:t>
      </w:r>
    </w:p>
    <w:p w:rsidR="00F62DBC" w:rsidRPr="00F62DBC" w:rsidRDefault="00F62DBC" w:rsidP="00F62DBC">
      <w:pPr>
        <w:spacing w:after="120" w:line="240" w:lineRule="auto"/>
        <w:jc w:val="both"/>
        <w:rPr>
          <w:rFonts w:eastAsia="Times New Roman" w:cs="Times New Roman"/>
          <w:szCs w:val="24"/>
          <w:lang w:val="en" w:eastAsia="en-GB"/>
        </w:rPr>
      </w:pPr>
      <w:r w:rsidRPr="00F62DBC">
        <w:rPr>
          <w:rFonts w:eastAsia="Times New Roman" w:cs="Times New Roman"/>
          <w:szCs w:val="24"/>
          <w:lang w:val="en" w:eastAsia="en-GB"/>
        </w:rPr>
        <w:t xml:space="preserve">As regards </w:t>
      </w:r>
      <w:r w:rsidRPr="00F62DBC">
        <w:rPr>
          <w:rFonts w:eastAsia="Times New Roman" w:cs="Times New Roman"/>
          <w:b/>
          <w:szCs w:val="24"/>
          <w:lang w:val="en" w:eastAsia="en-GB"/>
        </w:rPr>
        <w:t>paragraph 12</w:t>
      </w:r>
      <w:r w:rsidRPr="00F62DBC">
        <w:rPr>
          <w:rFonts w:eastAsia="Times New Roman" w:cs="Times New Roman"/>
          <w:szCs w:val="24"/>
          <w:lang w:val="en" w:eastAsia="en-GB"/>
        </w:rPr>
        <w:t>, the Commission would like to point out that Regulation (EU) 2019/6 (regulating veterinary medicinal products), which becomes applicable on 28 January 2022 and will replace the current framework (Directive 2001/82/EC), consolidates environmental protection requirements and puts specific emphasis on fighting antimicrobial resistance.</w:t>
      </w:r>
    </w:p>
    <w:p w:rsidR="00F62DBC" w:rsidRPr="00F62DBC" w:rsidRDefault="00F62DBC" w:rsidP="00F62DBC">
      <w:pPr>
        <w:spacing w:after="120" w:line="240" w:lineRule="auto"/>
        <w:jc w:val="both"/>
        <w:rPr>
          <w:rFonts w:eastAsia="Times New Roman" w:cs="Times New Roman"/>
          <w:szCs w:val="24"/>
          <w:lang w:val="en" w:eastAsia="en-GB"/>
        </w:rPr>
      </w:pPr>
      <w:r w:rsidRPr="00F62DBC">
        <w:rPr>
          <w:rFonts w:eastAsia="Times New Roman" w:cs="Times New Roman"/>
          <w:szCs w:val="24"/>
          <w:lang w:eastAsia="en-GB"/>
        </w:rPr>
        <w:t xml:space="preserve">Regulation (EU) 2019/6 maintains the requirement for the environmental risk assessment, to continue to be part of the authorisation documentation. In addition, environmental incidents observed following the administration of a veterinary medicinal product </w:t>
      </w:r>
      <w:proofErr w:type="gramStart"/>
      <w:r w:rsidRPr="00F62DBC">
        <w:rPr>
          <w:rFonts w:eastAsia="Times New Roman" w:cs="Times New Roman"/>
          <w:szCs w:val="24"/>
          <w:lang w:eastAsia="en-GB"/>
        </w:rPr>
        <w:t>are considered</w:t>
      </w:r>
      <w:proofErr w:type="gramEnd"/>
      <w:r w:rsidRPr="00F62DBC">
        <w:rPr>
          <w:rFonts w:eastAsia="Times New Roman" w:cs="Times New Roman"/>
          <w:szCs w:val="24"/>
          <w:lang w:eastAsia="en-GB"/>
        </w:rPr>
        <w:t xml:space="preserve"> as adverse events, which are taken into account for the benefit-risk balance of veterinary medicinal products. Article 37(2</w:t>
      </w:r>
      <w:proofErr w:type="gramStart"/>
      <w:r w:rsidRPr="00F62DBC">
        <w:rPr>
          <w:rFonts w:eastAsia="Times New Roman" w:cs="Times New Roman"/>
          <w:szCs w:val="24"/>
          <w:lang w:eastAsia="en-GB"/>
        </w:rPr>
        <w:t>)(</w:t>
      </w:r>
      <w:proofErr w:type="gramEnd"/>
      <w:r w:rsidRPr="00F62DBC">
        <w:rPr>
          <w:rFonts w:eastAsia="Times New Roman" w:cs="Times New Roman"/>
          <w:szCs w:val="24"/>
          <w:lang w:eastAsia="en-GB"/>
        </w:rPr>
        <w:t>j) also provides for a possibility to refuse a marketing authorisation for a veterinary</w:t>
      </w:r>
      <w:r w:rsidRPr="00F62DBC">
        <w:rPr>
          <w:rFonts w:eastAsia="Times New Roman" w:cs="Times New Roman"/>
          <w:szCs w:val="24"/>
          <w:lang w:val="en" w:eastAsia="en-GB"/>
        </w:rPr>
        <w:t xml:space="preserve"> medicinal product, where the active substance is considered persistent, </w:t>
      </w:r>
      <w:proofErr w:type="spellStart"/>
      <w:r w:rsidRPr="00F62DBC">
        <w:rPr>
          <w:rFonts w:eastAsia="Times New Roman" w:cs="Times New Roman"/>
          <w:szCs w:val="24"/>
          <w:lang w:val="en" w:eastAsia="en-GB"/>
        </w:rPr>
        <w:t>bioaccumulative</w:t>
      </w:r>
      <w:proofErr w:type="spellEnd"/>
      <w:r w:rsidRPr="00F62DBC">
        <w:rPr>
          <w:rFonts w:eastAsia="Times New Roman" w:cs="Times New Roman"/>
          <w:szCs w:val="24"/>
          <w:lang w:val="en" w:eastAsia="en-GB"/>
        </w:rPr>
        <w:t xml:space="preserve"> and toxic or very persistent, </w:t>
      </w:r>
      <w:proofErr w:type="spellStart"/>
      <w:r w:rsidRPr="00F62DBC">
        <w:rPr>
          <w:rFonts w:eastAsia="Times New Roman" w:cs="Times New Roman"/>
          <w:szCs w:val="24"/>
          <w:lang w:val="en" w:eastAsia="en-GB"/>
        </w:rPr>
        <w:t>bioaccumulative</w:t>
      </w:r>
      <w:proofErr w:type="spellEnd"/>
      <w:r w:rsidRPr="00F62DBC">
        <w:rPr>
          <w:rFonts w:eastAsia="Times New Roman" w:cs="Times New Roman"/>
          <w:szCs w:val="24"/>
          <w:lang w:val="en" w:eastAsia="en-GB"/>
        </w:rPr>
        <w:t xml:space="preserve"> and toxic and is intended for food-producing animals. In addition, Article 72 of that Regulation provides for a </w:t>
      </w:r>
      <w:r w:rsidRPr="00F62DBC">
        <w:rPr>
          <w:rFonts w:eastAsia="Times New Roman" w:cs="Times New Roman"/>
          <w:szCs w:val="24"/>
          <w:lang w:val="en" w:eastAsia="en-GB"/>
        </w:rPr>
        <w:lastRenderedPageBreak/>
        <w:t xml:space="preserve">catching-up procedure in respect of veterinary medicinal products </w:t>
      </w:r>
      <w:proofErr w:type="spellStart"/>
      <w:r w:rsidRPr="00F62DBC">
        <w:rPr>
          <w:rFonts w:eastAsia="Times New Roman" w:cs="Times New Roman"/>
          <w:szCs w:val="24"/>
          <w:lang w:val="en" w:eastAsia="en-GB"/>
        </w:rPr>
        <w:t>authorised</w:t>
      </w:r>
      <w:proofErr w:type="spellEnd"/>
      <w:r w:rsidRPr="00F62DBC">
        <w:rPr>
          <w:rFonts w:eastAsia="Times New Roman" w:cs="Times New Roman"/>
          <w:szCs w:val="24"/>
          <w:lang w:val="en" w:eastAsia="en-GB"/>
        </w:rPr>
        <w:t xml:space="preserve"> before 1 October 2005 and identified as potentially harmful to the environment and which have not been subject to an environmental risk assessment.</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val="en" w:eastAsia="en-GB"/>
        </w:rPr>
        <w:t xml:space="preserve">The above provisions are in line with </w:t>
      </w:r>
      <w:r w:rsidRPr="00F62DBC">
        <w:rPr>
          <w:rFonts w:eastAsia="Times New Roman" w:cs="Times New Roman"/>
          <w:szCs w:val="24"/>
          <w:lang w:eastAsia="en-GB"/>
        </w:rPr>
        <w:t xml:space="preserve">the aims of the ‘The European Green Deal’ and the ‘Farm to Fork Strategy’ for a fair, healthy and </w:t>
      </w:r>
      <w:proofErr w:type="gramStart"/>
      <w:r w:rsidRPr="00F62DBC">
        <w:rPr>
          <w:rFonts w:eastAsia="Times New Roman" w:cs="Times New Roman"/>
          <w:szCs w:val="24"/>
          <w:lang w:eastAsia="en-GB"/>
        </w:rPr>
        <w:t>environmentally-friendly</w:t>
      </w:r>
      <w:proofErr w:type="gramEnd"/>
      <w:r w:rsidRPr="00F62DBC">
        <w:rPr>
          <w:rFonts w:eastAsia="Times New Roman" w:cs="Times New Roman"/>
          <w:szCs w:val="24"/>
          <w:lang w:eastAsia="en-GB"/>
        </w:rPr>
        <w:t xml:space="preserve"> food system.</w:t>
      </w:r>
    </w:p>
    <w:p w:rsidR="00F62DBC" w:rsidRPr="00F62DBC" w:rsidRDefault="00F62DBC" w:rsidP="00F62DBC">
      <w:pPr>
        <w:spacing w:after="120" w:line="240" w:lineRule="auto"/>
        <w:jc w:val="both"/>
        <w:rPr>
          <w:rFonts w:eastAsia="Times New Roman" w:cs="Times New Roman"/>
          <w:szCs w:val="24"/>
          <w:lang w:eastAsia="en-GB"/>
        </w:rPr>
      </w:pPr>
      <w:r w:rsidRPr="00F62DBC">
        <w:rPr>
          <w:rFonts w:eastAsia="Times New Roman" w:cs="Times New Roman"/>
          <w:szCs w:val="24"/>
          <w:lang w:eastAsia="en-GB"/>
        </w:rPr>
        <w:t>In conclusion, the Commission considers that it is implementing the regulatory framework agreed by the co-legislators, which obliges the Commission to adopt the Regulation upon meeting the conditions set out in Regulation (EC) No 470/2009. Therefore, the Commission did not exceed its implementing powers.</w:t>
      </w:r>
    </w:p>
    <w:p w:rsidR="00F36993" w:rsidRDefault="00F36993"/>
    <w:sectPr w:rsidR="00F3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C0298"/>
    <w:multiLevelType w:val="hybridMultilevel"/>
    <w:tmpl w:val="7494E44A"/>
    <w:lvl w:ilvl="0" w:tplc="3C4813B0">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6F1C5A"/>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C"/>
    <w:rsid w:val="0065281F"/>
    <w:rsid w:val="00BB0D4A"/>
    <w:rsid w:val="00F36993"/>
    <w:rsid w:val="00F62DBC"/>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0C14"/>
  <w15:chartTrackingRefBased/>
  <w15:docId w15:val="{7481497A-46B2-4F14-9A2E-8BEEF249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9325</Characters>
  <Application>Microsoft Office Word</Application>
  <DocSecurity>0</DocSecurity>
  <Lines>139</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2021-07-28T09:05:00Z</dcterms:created>
  <dcterms:modified xsi:type="dcterms:W3CDTF">2021-07-28T09:06:00Z</dcterms:modified>
</cp:coreProperties>
</file>