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ACBB" w14:textId="75827F02" w:rsidR="00857CA8" w:rsidRPr="00C33439" w:rsidRDefault="00857CA8" w:rsidP="008C6F6A">
      <w:pPr>
        <w:spacing w:after="600"/>
        <w:jc w:val="center"/>
        <w:rPr>
          <w:rFonts w:ascii="Times New Roman" w:hAnsi="Times New Roman"/>
          <w:b/>
          <w:bCs/>
          <w:szCs w:val="24"/>
        </w:rPr>
      </w:pPr>
      <w:bookmarkStart w:id="0" w:name="conditionality"/>
      <w:bookmarkStart w:id="1" w:name="macroeconomic"/>
      <w:bookmarkStart w:id="2" w:name="_GoBack"/>
      <w:bookmarkEnd w:id="2"/>
      <w:r w:rsidRPr="00C33439">
        <w:rPr>
          <w:rFonts w:ascii="Times New Roman" w:hAnsi="Times New Roman"/>
          <w:b/>
          <w:szCs w:val="24"/>
        </w:rPr>
        <w:t xml:space="preserve">Follow-up to the European Parliament non-legislative resolution </w:t>
      </w:r>
      <w:bookmarkEnd w:id="0"/>
      <w:r w:rsidR="00C24E8C" w:rsidRPr="00C24E8C">
        <w:rPr>
          <w:rFonts w:ascii="Times New Roman" w:hAnsi="Times New Roman"/>
          <w:b/>
          <w:bCs/>
          <w:szCs w:val="24"/>
        </w:rPr>
        <w:t xml:space="preserve">on the review of the macroeconomic legislative framework for a better impact on Europe’s real economy </w:t>
      </w:r>
      <w:r w:rsidR="0042072C">
        <w:rPr>
          <w:rFonts w:ascii="Times New Roman" w:hAnsi="Times New Roman"/>
          <w:b/>
          <w:bCs/>
          <w:szCs w:val="24"/>
        </w:rPr>
        <w:br/>
      </w:r>
      <w:r w:rsidR="00C24E8C" w:rsidRPr="00C24E8C">
        <w:rPr>
          <w:rFonts w:ascii="Times New Roman" w:hAnsi="Times New Roman"/>
          <w:b/>
          <w:bCs/>
          <w:szCs w:val="24"/>
        </w:rPr>
        <w:t>and improved transparency of decision-making and democratic accountability</w:t>
      </w:r>
      <w:bookmarkEnd w:id="1"/>
    </w:p>
    <w:p w14:paraId="0E60375C" w14:textId="22B8EE53" w:rsidR="00857CA8" w:rsidRPr="008E7A7B" w:rsidRDefault="00857CA8" w:rsidP="001D68F2">
      <w:pPr>
        <w:numPr>
          <w:ilvl w:val="0"/>
          <w:numId w:val="30"/>
        </w:numPr>
        <w:ind w:left="567" w:hanging="567"/>
        <w:rPr>
          <w:rFonts w:ascii="Times New Roman" w:hAnsi="Times New Roman"/>
          <w:i/>
          <w:szCs w:val="24"/>
          <w:lang w:val="it-IT"/>
        </w:rPr>
      </w:pPr>
      <w:r w:rsidRPr="008E7A7B">
        <w:rPr>
          <w:rFonts w:ascii="Times New Roman" w:hAnsi="Times New Roman"/>
          <w:b/>
          <w:szCs w:val="24"/>
          <w:lang w:val="it-IT"/>
        </w:rPr>
        <w:t>Rapporteur:</w:t>
      </w:r>
      <w:r w:rsidRPr="008E7A7B">
        <w:rPr>
          <w:rFonts w:ascii="Times New Roman" w:hAnsi="Times New Roman"/>
          <w:szCs w:val="24"/>
          <w:lang w:val="it-IT"/>
        </w:rPr>
        <w:t xml:space="preserve"> </w:t>
      </w:r>
      <w:r w:rsidR="00C24E8C">
        <w:rPr>
          <w:rFonts w:ascii="Times New Roman" w:hAnsi="Times New Roman"/>
          <w:szCs w:val="24"/>
          <w:lang w:val="pt-PT"/>
        </w:rPr>
        <w:t>Margarida MARQUES</w:t>
      </w:r>
      <w:r w:rsidR="001142A3">
        <w:rPr>
          <w:rFonts w:ascii="Times New Roman" w:hAnsi="Times New Roman"/>
          <w:szCs w:val="24"/>
          <w:lang w:val="pt-PT"/>
        </w:rPr>
        <w:t xml:space="preserve"> </w:t>
      </w:r>
      <w:r w:rsidRPr="008E7A7B">
        <w:rPr>
          <w:rFonts w:ascii="Times New Roman" w:hAnsi="Times New Roman"/>
          <w:szCs w:val="24"/>
          <w:lang w:val="it-IT"/>
        </w:rPr>
        <w:t>(S&amp;D</w:t>
      </w:r>
      <w:r w:rsidR="00F66368">
        <w:rPr>
          <w:rFonts w:ascii="Times New Roman" w:hAnsi="Times New Roman"/>
          <w:szCs w:val="24"/>
          <w:lang w:val="it-IT"/>
        </w:rPr>
        <w:t xml:space="preserve"> </w:t>
      </w:r>
      <w:r w:rsidRPr="008E7A7B">
        <w:rPr>
          <w:rFonts w:ascii="Times New Roman" w:hAnsi="Times New Roman"/>
          <w:szCs w:val="24"/>
          <w:lang w:val="it-IT"/>
        </w:rPr>
        <w:t>/</w:t>
      </w:r>
      <w:r w:rsidR="00F66368">
        <w:rPr>
          <w:rFonts w:ascii="Times New Roman" w:hAnsi="Times New Roman"/>
          <w:szCs w:val="24"/>
          <w:lang w:val="it-IT"/>
        </w:rPr>
        <w:t xml:space="preserve"> </w:t>
      </w:r>
      <w:r w:rsidR="00C24E8C">
        <w:rPr>
          <w:rFonts w:ascii="Times New Roman" w:hAnsi="Times New Roman"/>
          <w:szCs w:val="24"/>
          <w:lang w:val="it-IT"/>
        </w:rPr>
        <w:t>PT</w:t>
      </w:r>
      <w:r w:rsidRPr="008E7A7B">
        <w:rPr>
          <w:rFonts w:ascii="Times New Roman" w:hAnsi="Times New Roman"/>
          <w:szCs w:val="24"/>
          <w:lang w:val="it-IT"/>
        </w:rPr>
        <w:t>)</w:t>
      </w:r>
    </w:p>
    <w:p w14:paraId="1C388B75" w14:textId="10C0C558" w:rsidR="00857CA8" w:rsidRPr="00694676" w:rsidRDefault="00857CA8" w:rsidP="001D68F2">
      <w:pPr>
        <w:numPr>
          <w:ilvl w:val="0"/>
          <w:numId w:val="30"/>
        </w:numPr>
        <w:ind w:left="567" w:hanging="567"/>
        <w:rPr>
          <w:rFonts w:ascii="Times New Roman" w:hAnsi="Times New Roman"/>
          <w:i/>
          <w:szCs w:val="24"/>
        </w:rPr>
      </w:pPr>
      <w:r w:rsidRPr="00694676">
        <w:rPr>
          <w:rFonts w:ascii="Times New Roman" w:hAnsi="Times New Roman"/>
          <w:b/>
          <w:szCs w:val="24"/>
        </w:rPr>
        <w:t>Reference number:</w:t>
      </w:r>
      <w:r>
        <w:rPr>
          <w:rFonts w:ascii="Times New Roman" w:hAnsi="Times New Roman"/>
          <w:b/>
          <w:szCs w:val="24"/>
        </w:rPr>
        <w:t xml:space="preserve"> </w:t>
      </w:r>
      <w:hyperlink r:id="rId8" w:history="1">
        <w:r w:rsidRPr="00694676">
          <w:rPr>
            <w:rFonts w:ascii="Times New Roman" w:eastAsia="Calibri" w:hAnsi="Times New Roman"/>
            <w:bCs/>
            <w:lang w:eastAsia="en-US"/>
          </w:rPr>
          <w:t>202</w:t>
        </w:r>
        <w:r w:rsidR="00C24E8C">
          <w:rPr>
            <w:rFonts w:ascii="Times New Roman" w:eastAsia="Calibri" w:hAnsi="Times New Roman"/>
            <w:bCs/>
            <w:lang w:eastAsia="en-US"/>
          </w:rPr>
          <w:t>0</w:t>
        </w:r>
        <w:r w:rsidRPr="00694676">
          <w:rPr>
            <w:rFonts w:ascii="Times New Roman" w:eastAsia="Calibri" w:hAnsi="Times New Roman"/>
            <w:bCs/>
            <w:lang w:eastAsia="en-US"/>
          </w:rPr>
          <w:t>/207</w:t>
        </w:r>
        <w:r w:rsidR="00C24E8C">
          <w:rPr>
            <w:rFonts w:ascii="Times New Roman" w:eastAsia="Calibri" w:hAnsi="Times New Roman"/>
            <w:bCs/>
            <w:lang w:eastAsia="en-US"/>
          </w:rPr>
          <w:t>5</w:t>
        </w:r>
        <w:r w:rsidR="001142A3">
          <w:rPr>
            <w:rFonts w:ascii="Times New Roman" w:eastAsia="Calibri" w:hAnsi="Times New Roman"/>
            <w:bCs/>
            <w:lang w:eastAsia="en-US"/>
          </w:rPr>
          <w:t xml:space="preserve"> </w:t>
        </w:r>
        <w:r w:rsidRPr="00694676">
          <w:rPr>
            <w:rFonts w:ascii="Times New Roman" w:eastAsia="Calibri" w:hAnsi="Times New Roman"/>
            <w:bCs/>
            <w:lang w:eastAsia="en-US"/>
          </w:rPr>
          <w:t>(INI)</w:t>
        </w:r>
      </w:hyperlink>
      <w:r>
        <w:rPr>
          <w:rFonts w:ascii="Times New Roman" w:eastAsia="Calibri" w:hAnsi="Times New Roman"/>
          <w:bCs/>
          <w:lang w:eastAsia="en-US"/>
        </w:rPr>
        <w:t xml:space="preserve"> </w:t>
      </w:r>
      <w:r w:rsidRPr="00694676">
        <w:rPr>
          <w:rFonts w:ascii="Times New Roman" w:eastAsia="Calibri" w:hAnsi="Times New Roman"/>
          <w:bCs/>
          <w:lang w:eastAsia="en-US"/>
        </w:rPr>
        <w:t>/</w:t>
      </w:r>
      <w:r>
        <w:rPr>
          <w:rFonts w:ascii="Times New Roman" w:eastAsia="Calibri" w:hAnsi="Times New Roman"/>
          <w:bCs/>
          <w:lang w:eastAsia="en-US"/>
        </w:rPr>
        <w:t xml:space="preserve"> </w:t>
      </w:r>
      <w:r w:rsidRPr="00694676">
        <w:rPr>
          <w:rFonts w:ascii="Times New Roman" w:hAnsi="Times New Roman"/>
        </w:rPr>
        <w:t>A9-02</w:t>
      </w:r>
      <w:r w:rsidR="00C24E8C">
        <w:rPr>
          <w:rFonts w:ascii="Times New Roman" w:hAnsi="Times New Roman"/>
        </w:rPr>
        <w:t>1</w:t>
      </w:r>
      <w:r w:rsidRPr="00694676">
        <w:rPr>
          <w:rFonts w:ascii="Times New Roman" w:hAnsi="Times New Roman"/>
        </w:rPr>
        <w:t xml:space="preserve">2/2021 </w:t>
      </w:r>
      <w:r w:rsidRPr="00694676">
        <w:rPr>
          <w:rFonts w:ascii="Times New Roman" w:hAnsi="Times New Roman"/>
          <w:lang w:val="en-US"/>
        </w:rPr>
        <w:t xml:space="preserve">/ </w:t>
      </w:r>
      <w:r w:rsidRPr="00694676">
        <w:rPr>
          <w:rFonts w:ascii="Times New Roman" w:hAnsi="Times New Roman"/>
        </w:rPr>
        <w:t>P9_TA</w:t>
      </w:r>
      <w:r>
        <w:rPr>
          <w:rFonts w:ascii="Times New Roman" w:hAnsi="Times New Roman"/>
        </w:rPr>
        <w:t>-PROV</w:t>
      </w:r>
      <w:r w:rsidR="00C24E8C">
        <w:rPr>
          <w:rFonts w:ascii="Times New Roman" w:hAnsi="Times New Roman"/>
        </w:rPr>
        <w:t>(2021)035</w:t>
      </w:r>
      <w:r w:rsidRPr="00694676">
        <w:rPr>
          <w:rFonts w:ascii="Times New Roman" w:hAnsi="Times New Roman"/>
        </w:rPr>
        <w:t>8</w:t>
      </w:r>
    </w:p>
    <w:p w14:paraId="404AC279" w14:textId="77777777" w:rsidR="00857CA8" w:rsidRDefault="00857CA8" w:rsidP="001D68F2">
      <w:pPr>
        <w:numPr>
          <w:ilvl w:val="0"/>
          <w:numId w:val="30"/>
        </w:numPr>
        <w:ind w:left="567" w:hanging="567"/>
        <w:rPr>
          <w:rFonts w:ascii="Times New Roman" w:hAnsi="Times New Roman"/>
          <w:szCs w:val="24"/>
        </w:rPr>
      </w:pPr>
      <w:r w:rsidRPr="001F0B89">
        <w:rPr>
          <w:rFonts w:ascii="Times New Roman" w:hAnsi="Times New Roman"/>
          <w:b/>
          <w:szCs w:val="24"/>
        </w:rPr>
        <w:t>Date of adoption of the resolution:</w:t>
      </w:r>
      <w:r w:rsidRPr="001F0B89">
        <w:rPr>
          <w:rFonts w:ascii="Times New Roman" w:hAnsi="Times New Roman"/>
          <w:szCs w:val="24"/>
        </w:rPr>
        <w:t xml:space="preserve"> </w:t>
      </w:r>
      <w:r w:rsidRPr="008E613B">
        <w:rPr>
          <w:rFonts w:ascii="Times New Roman" w:hAnsi="Times New Roman"/>
          <w:szCs w:val="24"/>
        </w:rPr>
        <w:t>8 July 2021</w:t>
      </w:r>
    </w:p>
    <w:p w14:paraId="0F1373ED" w14:textId="53B65769" w:rsidR="00857CA8" w:rsidRPr="00A0010B" w:rsidRDefault="00857CA8" w:rsidP="001D68F2">
      <w:pPr>
        <w:numPr>
          <w:ilvl w:val="0"/>
          <w:numId w:val="30"/>
        </w:numPr>
        <w:ind w:left="567" w:hanging="567"/>
        <w:rPr>
          <w:rFonts w:ascii="Times New Roman" w:hAnsi="Times New Roman"/>
          <w:i/>
          <w:szCs w:val="24"/>
        </w:rPr>
      </w:pPr>
      <w:r w:rsidRPr="001F0B89">
        <w:rPr>
          <w:rFonts w:ascii="Times New Roman" w:hAnsi="Times New Roman"/>
          <w:b/>
          <w:szCs w:val="24"/>
        </w:rPr>
        <w:t>Competent Parliamentary Committee:</w:t>
      </w:r>
      <w:r w:rsidRPr="00A0010B">
        <w:rPr>
          <w:rFonts w:ascii="Times New Roman" w:hAnsi="Times New Roman"/>
          <w:b/>
          <w:szCs w:val="24"/>
        </w:rPr>
        <w:t xml:space="preserve"> </w:t>
      </w:r>
      <w:r w:rsidRPr="00FA7A5C">
        <w:rPr>
          <w:rFonts w:ascii="Times New Roman" w:hAnsi="Times New Roman"/>
          <w:szCs w:val="24"/>
        </w:rPr>
        <w:t xml:space="preserve">Committee on </w:t>
      </w:r>
      <w:r w:rsidR="00C24E8C">
        <w:rPr>
          <w:rFonts w:ascii="Times New Roman" w:hAnsi="Times New Roman"/>
          <w:szCs w:val="24"/>
        </w:rPr>
        <w:t>Economic and Monetary affairs (ECON)</w:t>
      </w:r>
    </w:p>
    <w:p w14:paraId="78530803" w14:textId="43D6ACD0" w:rsidR="00857CA8" w:rsidRPr="00593B95" w:rsidRDefault="00857CA8" w:rsidP="001D68F2">
      <w:pPr>
        <w:widowControl w:val="0"/>
        <w:numPr>
          <w:ilvl w:val="0"/>
          <w:numId w:val="30"/>
        </w:numPr>
        <w:ind w:left="567" w:hanging="567"/>
        <w:rPr>
          <w:rFonts w:ascii="Times New Roman" w:hAnsi="Times New Roman"/>
          <w:b/>
          <w:szCs w:val="24"/>
        </w:rPr>
      </w:pPr>
      <w:r w:rsidRPr="00C33439">
        <w:rPr>
          <w:rFonts w:ascii="Times New Roman" w:hAnsi="Times New Roman"/>
          <w:b/>
          <w:szCs w:val="24"/>
        </w:rPr>
        <w:t>Brief analysis/assessment of the resolution and requests made in it:</w:t>
      </w:r>
    </w:p>
    <w:p w14:paraId="48E4F68A" w14:textId="0A29D888" w:rsidR="00C24E8C" w:rsidRPr="00B159BD" w:rsidRDefault="00C24E8C" w:rsidP="00C24E8C">
      <w:pPr>
        <w:widowControl w:val="0"/>
        <w:spacing w:after="120"/>
        <w:rPr>
          <w:rFonts w:ascii="Times New Roman" w:hAnsi="Times New Roman"/>
        </w:rPr>
      </w:pPr>
      <w:r w:rsidRPr="00B159BD">
        <w:rPr>
          <w:rFonts w:ascii="Times New Roman" w:hAnsi="Times New Roman"/>
        </w:rPr>
        <w:t>The resolution constitutes the European Parliament’s contribution to the review of the EU economic governance framework. It calls on the Commission to relaunch the public debate on the review of the European economic governance framework and to come forward with comprehensive, forward</w:t>
      </w:r>
      <w:r w:rsidR="00720ED0">
        <w:rPr>
          <w:rFonts w:ascii="Times New Roman" w:hAnsi="Times New Roman"/>
        </w:rPr>
        <w:t>-looking legislative proposals.</w:t>
      </w:r>
    </w:p>
    <w:p w14:paraId="12D2F9AE" w14:textId="77777777" w:rsidR="00C24E8C" w:rsidRDefault="00C24E8C" w:rsidP="00C24E8C">
      <w:pPr>
        <w:widowControl w:val="0"/>
        <w:spacing w:after="120"/>
        <w:rPr>
          <w:rFonts w:ascii="Times New Roman" w:hAnsi="Times New Roman"/>
        </w:rPr>
      </w:pPr>
      <w:r w:rsidRPr="6E0B1181">
        <w:rPr>
          <w:rFonts w:ascii="Times New Roman" w:hAnsi="Times New Roman"/>
        </w:rPr>
        <w:t>The resolution agrees with the Commission on the near-term priorities for fiscal policy. It calls for a continued expansionary fiscal stance as long as needed to support the recovery from the pandemic, while ensuring fiscal sustainability in the medium term. It agrees with the Commission’s recommendation that fiscal policy should remain agile and adjust to the evolving situation as warranted</w:t>
      </w:r>
      <w:r>
        <w:rPr>
          <w:rFonts w:ascii="Times New Roman" w:hAnsi="Times New Roman"/>
        </w:rPr>
        <w:t xml:space="preserve"> and c</w:t>
      </w:r>
      <w:r w:rsidRPr="00542AF9">
        <w:rPr>
          <w:rFonts w:ascii="Times New Roman" w:hAnsi="Times New Roman"/>
        </w:rPr>
        <w:t>alls on the Commission to ensure that Member States develop credible exit strategies from the crisis-related measures, while not pre-empting future fiscal trajectories. Furthermore, it calls on the Member States to embed the high-quality fiscal support in credible medium-term frameworks and prepare robust plans for medium-term fiscal policy.</w:t>
      </w:r>
    </w:p>
    <w:p w14:paraId="42C1511E" w14:textId="56838D2D" w:rsidR="00C24E8C" w:rsidRDefault="00C24E8C" w:rsidP="00C24E8C">
      <w:pPr>
        <w:widowControl w:val="0"/>
        <w:spacing w:after="120"/>
        <w:rPr>
          <w:rFonts w:ascii="Times New Roman" w:hAnsi="Times New Roman"/>
        </w:rPr>
      </w:pPr>
      <w:r>
        <w:rPr>
          <w:rFonts w:ascii="Times New Roman" w:hAnsi="Times New Roman"/>
        </w:rPr>
        <w:t>The</w:t>
      </w:r>
      <w:r w:rsidRPr="6E0B1181">
        <w:rPr>
          <w:rFonts w:ascii="Times New Roman" w:hAnsi="Times New Roman"/>
        </w:rPr>
        <w:t xml:space="preserve"> resolution refers to the challenges facing the EU fiscal framework and calls for making fiscal rules simpler and improving their enforceability. </w:t>
      </w:r>
      <w:r w:rsidRPr="002B41A5">
        <w:rPr>
          <w:rFonts w:ascii="Times New Roman" w:hAnsi="Times New Roman"/>
        </w:rPr>
        <w:t>T</w:t>
      </w:r>
      <w:r w:rsidRPr="6E0B1181">
        <w:rPr>
          <w:rFonts w:ascii="Times New Roman" w:hAnsi="Times New Roman"/>
        </w:rPr>
        <w:t>he resolution highlights the sharp increase in public debt in the EU since the start of the pandemic and</w:t>
      </w:r>
      <w:r>
        <w:rPr>
          <w:rFonts w:ascii="Times New Roman" w:hAnsi="Times New Roman"/>
        </w:rPr>
        <w:t xml:space="preserve"> </w:t>
      </w:r>
      <w:r w:rsidRPr="002B41A5">
        <w:rPr>
          <w:rFonts w:ascii="Times New Roman" w:hAnsi="Times New Roman"/>
        </w:rPr>
        <w:t xml:space="preserve">considers a proper and credible economic governance framework a necessary requirement </w:t>
      </w:r>
      <w:r>
        <w:rPr>
          <w:rFonts w:ascii="Times New Roman" w:hAnsi="Times New Roman"/>
        </w:rPr>
        <w:t xml:space="preserve">for sustainable fiscal </w:t>
      </w:r>
      <w:r w:rsidRPr="008C48D6">
        <w:rPr>
          <w:rFonts w:ascii="Times New Roman" w:hAnsi="Times New Roman"/>
        </w:rPr>
        <w:t xml:space="preserve">policies. </w:t>
      </w:r>
      <w:r w:rsidRPr="00542AF9">
        <w:rPr>
          <w:rFonts w:ascii="Times New Roman" w:hAnsi="Times New Roman"/>
        </w:rPr>
        <w:t>It highlights t</w:t>
      </w:r>
      <w:r w:rsidRPr="008C48D6">
        <w:rPr>
          <w:rFonts w:ascii="Times New Roman" w:hAnsi="Times New Roman"/>
        </w:rPr>
        <w:t>he need to ensure a country-specific pace of debt reduction that safeguards both fiscal sustainability and sustainable and inclusive growth</w:t>
      </w:r>
      <w:r>
        <w:rPr>
          <w:rFonts w:ascii="Times New Roman" w:hAnsi="Times New Roman"/>
        </w:rPr>
        <w:t>. It also</w:t>
      </w:r>
      <w:r w:rsidRPr="002B41A5">
        <w:rPr>
          <w:rFonts w:ascii="Times New Roman" w:hAnsi="Times New Roman"/>
        </w:rPr>
        <w:t xml:space="preserve"> considers that the framework should integrate elements to avoid pro-cyclical policies and build sufficient buffers in good times, to be able to perform, when necessary, a short-term stabilisation function</w:t>
      </w:r>
      <w:r>
        <w:rPr>
          <w:rFonts w:ascii="Times New Roman" w:hAnsi="Times New Roman"/>
        </w:rPr>
        <w:t xml:space="preserve">. </w:t>
      </w:r>
      <w:r w:rsidRPr="6E0B1181">
        <w:rPr>
          <w:rFonts w:ascii="Times New Roman" w:hAnsi="Times New Roman"/>
        </w:rPr>
        <w:t xml:space="preserve">The resolution </w:t>
      </w:r>
      <w:r>
        <w:rPr>
          <w:rFonts w:ascii="Times New Roman" w:hAnsi="Times New Roman"/>
        </w:rPr>
        <w:t>also</w:t>
      </w:r>
      <w:r w:rsidRPr="6E0B1181">
        <w:rPr>
          <w:rFonts w:ascii="Times New Roman" w:hAnsi="Times New Roman"/>
        </w:rPr>
        <w:t xml:space="preserve"> stresses the importance of a framework that ensures fiscal policy coordination, considers changes in economi</w:t>
      </w:r>
      <w:r>
        <w:rPr>
          <w:rFonts w:ascii="Times New Roman" w:hAnsi="Times New Roman"/>
        </w:rPr>
        <w:t>c</w:t>
      </w:r>
      <w:r w:rsidRPr="6E0B1181">
        <w:rPr>
          <w:rFonts w:ascii="Times New Roman" w:hAnsi="Times New Roman"/>
        </w:rPr>
        <w:t xml:space="preserve"> and financing conditions</w:t>
      </w:r>
      <w:r>
        <w:rPr>
          <w:rFonts w:ascii="Times New Roman" w:hAnsi="Times New Roman"/>
        </w:rPr>
        <w:t>,</w:t>
      </w:r>
      <w:r w:rsidRPr="6E0B1181">
        <w:rPr>
          <w:rFonts w:ascii="Times New Roman" w:hAnsi="Times New Roman"/>
        </w:rPr>
        <w:t xml:space="preserve"> and takes into account the specificities and policy objectives of </w:t>
      </w:r>
      <w:r w:rsidR="00720ED0">
        <w:rPr>
          <w:rFonts w:ascii="Times New Roman" w:hAnsi="Times New Roman"/>
        </w:rPr>
        <w:t xml:space="preserve">the </w:t>
      </w:r>
      <w:r w:rsidRPr="6E0B1181">
        <w:rPr>
          <w:rFonts w:ascii="Times New Roman" w:hAnsi="Times New Roman"/>
        </w:rPr>
        <w:t xml:space="preserve">Member States. </w:t>
      </w:r>
      <w:r w:rsidRPr="008262E9">
        <w:rPr>
          <w:rFonts w:ascii="Times New Roman" w:hAnsi="Times New Roman"/>
        </w:rPr>
        <w:t>It also ca</w:t>
      </w:r>
      <w:r>
        <w:rPr>
          <w:rFonts w:ascii="Times New Roman" w:hAnsi="Times New Roman"/>
        </w:rPr>
        <w:t xml:space="preserve">lls for the reviewed framework to </w:t>
      </w:r>
      <w:r w:rsidRPr="008262E9">
        <w:rPr>
          <w:rFonts w:ascii="Times New Roman" w:hAnsi="Times New Roman"/>
        </w:rPr>
        <w:t>put greater emphasis on the quality of public finances as a way to improve both debt sustainability and growth potential.</w:t>
      </w:r>
      <w:r>
        <w:rPr>
          <w:rFonts w:ascii="Times New Roman" w:hAnsi="Times New Roman"/>
        </w:rPr>
        <w:t xml:space="preserve"> </w:t>
      </w:r>
      <w:r w:rsidRPr="6E0B1181">
        <w:rPr>
          <w:rFonts w:ascii="Times New Roman" w:hAnsi="Times New Roman"/>
        </w:rPr>
        <w:t>It further calls on the Commission to pursue a comprehensive and transparent sovereign debt sustainability analysis (SDSA) in order to support policymakers’ decision to set an appropriate country-specific, clear and transparent adjustment path.</w:t>
      </w:r>
      <w:r w:rsidRPr="008C48D6">
        <w:rPr>
          <w:rFonts w:ascii="Times New Roman" w:hAnsi="Times New Roman"/>
        </w:rPr>
        <w:t xml:space="preserve"> </w:t>
      </w:r>
      <w:r w:rsidRPr="6E0B1181">
        <w:rPr>
          <w:rFonts w:ascii="Times New Roman" w:hAnsi="Times New Roman"/>
        </w:rPr>
        <w:t>It takes note of the European Fiscal Board’s (EFB) proposal that the EU fiscal framework should be rebuilt on three principles: (i) a debt anchor</w:t>
      </w:r>
      <w:r>
        <w:rPr>
          <w:rFonts w:ascii="Times New Roman" w:hAnsi="Times New Roman"/>
        </w:rPr>
        <w:t>;</w:t>
      </w:r>
      <w:r w:rsidRPr="6E0B1181">
        <w:rPr>
          <w:rFonts w:ascii="Times New Roman" w:hAnsi="Times New Roman"/>
        </w:rPr>
        <w:t xml:space="preserve"> (ii) a single indicator of fiscal performance</w:t>
      </w:r>
      <w:r>
        <w:rPr>
          <w:rFonts w:ascii="Times New Roman" w:hAnsi="Times New Roman"/>
        </w:rPr>
        <w:t>;</w:t>
      </w:r>
      <w:r w:rsidRPr="6E0B1181">
        <w:rPr>
          <w:rFonts w:ascii="Times New Roman" w:hAnsi="Times New Roman"/>
        </w:rPr>
        <w:t xml:space="preserve"> and (iii) a general escape clause supported by an opinion on the basis of independent analysis and advice.</w:t>
      </w:r>
    </w:p>
    <w:p w14:paraId="0FCBD2B0" w14:textId="77777777" w:rsidR="0042072C" w:rsidRDefault="0042072C" w:rsidP="00C24E8C">
      <w:pPr>
        <w:widowControl w:val="0"/>
        <w:spacing w:after="120"/>
        <w:rPr>
          <w:rFonts w:ascii="Times New Roman" w:hAnsi="Times New Roman"/>
        </w:rPr>
      </w:pPr>
    </w:p>
    <w:p w14:paraId="0D51BBA0" w14:textId="0B04CB0C" w:rsidR="00C24E8C" w:rsidRDefault="00C24E8C" w:rsidP="00C24E8C">
      <w:pPr>
        <w:widowControl w:val="0"/>
        <w:spacing w:after="120"/>
        <w:rPr>
          <w:rFonts w:ascii="Times New Roman" w:hAnsi="Times New Roman"/>
        </w:rPr>
      </w:pPr>
      <w:r w:rsidRPr="6E0B1181">
        <w:rPr>
          <w:rFonts w:ascii="Times New Roman" w:hAnsi="Times New Roman"/>
        </w:rPr>
        <w:lastRenderedPageBreak/>
        <w:t xml:space="preserve">The resolution, </w:t>
      </w:r>
      <w:r>
        <w:rPr>
          <w:rFonts w:ascii="Times New Roman" w:hAnsi="Times New Roman"/>
        </w:rPr>
        <w:t>in addition</w:t>
      </w:r>
      <w:r w:rsidRPr="6E0B1181">
        <w:rPr>
          <w:rFonts w:ascii="Times New Roman" w:hAnsi="Times New Roman"/>
        </w:rPr>
        <w:t>, stresses the importance of the Macroeconomic Imbalance Procedure (MIP) and calls for a more effective use of th</w:t>
      </w:r>
      <w:r w:rsidR="00720ED0">
        <w:rPr>
          <w:rFonts w:ascii="Times New Roman" w:hAnsi="Times New Roman"/>
        </w:rPr>
        <w:t>e Alert Mechanism Report (AMR).</w:t>
      </w:r>
    </w:p>
    <w:p w14:paraId="5D678605" w14:textId="0DEF7ED3" w:rsidR="00857CA8" w:rsidRPr="000B2D42" w:rsidRDefault="00C24E8C" w:rsidP="00C24E8C">
      <w:pPr>
        <w:widowControl w:val="0"/>
        <w:spacing w:after="120"/>
        <w:rPr>
          <w:rFonts w:ascii="Times New Roman" w:hAnsi="Times New Roman"/>
          <w:szCs w:val="24"/>
        </w:rPr>
      </w:pPr>
      <w:r w:rsidRPr="6E0B1181">
        <w:rPr>
          <w:rFonts w:ascii="Times New Roman" w:hAnsi="Times New Roman"/>
        </w:rPr>
        <w:t>On governance, the resolution points to the need to strengthen the democratic legitimacy, accountability and scrutiny of the economic governance framework</w:t>
      </w:r>
      <w:r>
        <w:rPr>
          <w:rFonts w:ascii="Times New Roman" w:hAnsi="Times New Roman"/>
        </w:rPr>
        <w:t xml:space="preserve">. It </w:t>
      </w:r>
      <w:r w:rsidRPr="6E0B1181">
        <w:rPr>
          <w:rFonts w:ascii="Times New Roman" w:hAnsi="Times New Roman"/>
        </w:rPr>
        <w:t>calls for the implementation of the European Pillar of Social Rights and</w:t>
      </w:r>
      <w:r>
        <w:rPr>
          <w:rFonts w:ascii="Times New Roman" w:hAnsi="Times New Roman"/>
        </w:rPr>
        <w:t xml:space="preserve"> </w:t>
      </w:r>
      <w:r w:rsidRPr="008262E9">
        <w:rPr>
          <w:rFonts w:ascii="Times New Roman" w:hAnsi="Times New Roman"/>
        </w:rPr>
        <w:t>for the revised Social Scoreboard to be fully taken into account for monitoring Member States’ perfo</w:t>
      </w:r>
      <w:r>
        <w:rPr>
          <w:rFonts w:ascii="Times New Roman" w:hAnsi="Times New Roman"/>
        </w:rPr>
        <w:t>rmance on the Pillar principles</w:t>
      </w:r>
      <w:r w:rsidRPr="008262E9">
        <w:rPr>
          <w:rFonts w:ascii="Times New Roman" w:hAnsi="Times New Roman"/>
        </w:rPr>
        <w:t xml:space="preserve">. </w:t>
      </w:r>
      <w:r>
        <w:rPr>
          <w:rFonts w:ascii="Times New Roman" w:hAnsi="Times New Roman"/>
        </w:rPr>
        <w:t>The resolution</w:t>
      </w:r>
      <w:r w:rsidRPr="008262E9">
        <w:rPr>
          <w:rFonts w:ascii="Times New Roman" w:hAnsi="Times New Roman"/>
        </w:rPr>
        <w:t xml:space="preserve"> calls on the Commission to </w:t>
      </w:r>
      <w:r>
        <w:rPr>
          <w:rFonts w:ascii="Times New Roman" w:hAnsi="Times New Roman"/>
        </w:rPr>
        <w:t xml:space="preserve">also </w:t>
      </w:r>
      <w:r w:rsidRPr="008262E9">
        <w:rPr>
          <w:rFonts w:ascii="Times New Roman" w:hAnsi="Times New Roman"/>
        </w:rPr>
        <w:t xml:space="preserve">take into account </w:t>
      </w:r>
      <w:r>
        <w:rPr>
          <w:rFonts w:ascii="Times New Roman" w:hAnsi="Times New Roman"/>
        </w:rPr>
        <w:t xml:space="preserve">the </w:t>
      </w:r>
      <w:r w:rsidRPr="008262E9">
        <w:rPr>
          <w:rFonts w:ascii="Times New Roman" w:hAnsi="Times New Roman"/>
        </w:rPr>
        <w:t>EU’s environmental and sustainable development com</w:t>
      </w:r>
      <w:r>
        <w:rPr>
          <w:rFonts w:ascii="Times New Roman" w:hAnsi="Times New Roman"/>
        </w:rPr>
        <w:t xml:space="preserve">mitments </w:t>
      </w:r>
      <w:r w:rsidRPr="6E0B1181">
        <w:rPr>
          <w:rFonts w:ascii="Times New Roman" w:hAnsi="Times New Roman"/>
        </w:rPr>
        <w:t>in the eco</w:t>
      </w:r>
      <w:r>
        <w:rPr>
          <w:rFonts w:ascii="Times New Roman" w:hAnsi="Times New Roman"/>
        </w:rPr>
        <w:t xml:space="preserve">nomic governance of the Union. </w:t>
      </w:r>
      <w:r w:rsidRPr="6E0B1181">
        <w:rPr>
          <w:rFonts w:ascii="Times New Roman" w:hAnsi="Times New Roman"/>
        </w:rPr>
        <w:t xml:space="preserve">It </w:t>
      </w:r>
      <w:r>
        <w:rPr>
          <w:rFonts w:ascii="Times New Roman" w:hAnsi="Times New Roman"/>
        </w:rPr>
        <w:t>further</w:t>
      </w:r>
      <w:r w:rsidRPr="6E0B1181">
        <w:rPr>
          <w:rFonts w:ascii="Times New Roman" w:hAnsi="Times New Roman"/>
        </w:rPr>
        <w:t xml:space="preserve"> considers that the lack of ownership is one of the main weaknesses of the European Semester and underscores that the decision-making framework for EU economic governance should be under the Community method.</w:t>
      </w:r>
    </w:p>
    <w:p w14:paraId="678D4A33" w14:textId="77777777" w:rsidR="00857CA8" w:rsidRPr="00DF6894" w:rsidRDefault="00857CA8" w:rsidP="001D68F2">
      <w:pPr>
        <w:widowControl w:val="0"/>
        <w:numPr>
          <w:ilvl w:val="0"/>
          <w:numId w:val="30"/>
        </w:numPr>
        <w:ind w:left="567" w:hanging="567"/>
        <w:rPr>
          <w:rFonts w:ascii="Times New Roman" w:hAnsi="Times New Roman"/>
          <w:b/>
          <w:szCs w:val="24"/>
        </w:rPr>
      </w:pPr>
      <w:r w:rsidRPr="00C33439">
        <w:rPr>
          <w:rFonts w:ascii="Times New Roman" w:hAnsi="Times New Roman"/>
          <w:b/>
          <w:szCs w:val="24"/>
        </w:rPr>
        <w:t>Response to requests and overview of action taken, or intended to be taken, by the Commission:</w:t>
      </w:r>
      <w:r>
        <w:rPr>
          <w:rFonts w:ascii="Times New Roman" w:hAnsi="Times New Roman"/>
          <w:b/>
          <w:szCs w:val="24"/>
        </w:rPr>
        <w:t xml:space="preserve"> </w:t>
      </w:r>
    </w:p>
    <w:p w14:paraId="220414AB" w14:textId="6147E184" w:rsidR="00C24E8C" w:rsidRPr="00B159BD" w:rsidRDefault="00C24E8C" w:rsidP="00C24E8C">
      <w:pPr>
        <w:widowControl w:val="0"/>
        <w:spacing w:after="120"/>
        <w:rPr>
          <w:rFonts w:ascii="Times New Roman" w:hAnsi="Times New Roman"/>
          <w:iCs/>
        </w:rPr>
      </w:pPr>
      <w:r w:rsidRPr="00B159BD">
        <w:rPr>
          <w:rFonts w:ascii="Times New Roman" w:hAnsi="Times New Roman"/>
          <w:iCs/>
        </w:rPr>
        <w:t>The Commission welcomes the European Parliament’s resolution, which is a timely contribution to the review of the EU economic governance framework. The Commission launched a public consultation in February 2020, which had to be put on hold due to the onset of the pandemic. When the recovery takes hold, the Commission intends to relaunch the public debate on the</w:t>
      </w:r>
      <w:r w:rsidR="003C6437">
        <w:rPr>
          <w:rFonts w:ascii="Times New Roman" w:hAnsi="Times New Roman"/>
          <w:iCs/>
        </w:rPr>
        <w:t xml:space="preserve"> economic governance framework.</w:t>
      </w:r>
    </w:p>
    <w:p w14:paraId="1199A89C" w14:textId="77777777" w:rsidR="00C24E8C" w:rsidRDefault="00C24E8C" w:rsidP="00C24E8C">
      <w:pPr>
        <w:widowControl w:val="0"/>
        <w:spacing w:after="120"/>
        <w:rPr>
          <w:rFonts w:ascii="Times New Roman" w:hAnsi="Times New Roman"/>
          <w:iCs/>
        </w:rPr>
      </w:pPr>
      <w:r>
        <w:rPr>
          <w:rFonts w:ascii="Times New Roman" w:hAnsi="Times New Roman"/>
          <w:iCs/>
        </w:rPr>
        <w:t xml:space="preserve">The Commission Communication </w:t>
      </w:r>
      <w:r w:rsidRPr="00E34238">
        <w:rPr>
          <w:rFonts w:ascii="Times New Roman" w:hAnsi="Times New Roman"/>
          <w:iCs/>
        </w:rPr>
        <w:t>of February 2020</w:t>
      </w:r>
      <w:r>
        <w:rPr>
          <w:rFonts w:ascii="Times New Roman" w:hAnsi="Times New Roman"/>
          <w:iCs/>
        </w:rPr>
        <w:t xml:space="preserve"> on the Economic Governance Review (the</w:t>
      </w:r>
      <w:r w:rsidRPr="00E34238">
        <w:rPr>
          <w:rFonts w:ascii="Times New Roman" w:hAnsi="Times New Roman"/>
          <w:iCs/>
        </w:rPr>
        <w:t xml:space="preserve"> </w:t>
      </w:r>
      <w:r>
        <w:rPr>
          <w:rFonts w:ascii="Times New Roman" w:hAnsi="Times New Roman"/>
          <w:iCs/>
        </w:rPr>
        <w:t>‘Commission’s R</w:t>
      </w:r>
      <w:r w:rsidRPr="00E34238">
        <w:rPr>
          <w:rFonts w:ascii="Times New Roman" w:hAnsi="Times New Roman"/>
          <w:iCs/>
        </w:rPr>
        <w:t>eview</w:t>
      </w:r>
      <w:r>
        <w:rPr>
          <w:rFonts w:ascii="Times New Roman" w:hAnsi="Times New Roman"/>
          <w:iCs/>
        </w:rPr>
        <w:t>’)</w:t>
      </w:r>
      <w:r w:rsidRPr="00E34238">
        <w:rPr>
          <w:rFonts w:ascii="Times New Roman" w:hAnsi="Times New Roman"/>
          <w:iCs/>
        </w:rPr>
        <w:t xml:space="preserve"> identified well-recognised challenges with the fiscal framework and its implementation</w:t>
      </w:r>
      <w:r>
        <w:rPr>
          <w:rFonts w:ascii="Times New Roman" w:hAnsi="Times New Roman"/>
          <w:iCs/>
        </w:rPr>
        <w:t>:</w:t>
      </w:r>
    </w:p>
    <w:p w14:paraId="4EE61CE5" w14:textId="77777777" w:rsidR="00C24E8C" w:rsidRDefault="00C24E8C" w:rsidP="00C24E8C">
      <w:pPr>
        <w:widowControl w:val="0"/>
        <w:numPr>
          <w:ilvl w:val="0"/>
          <w:numId w:val="44"/>
        </w:numPr>
        <w:spacing w:after="120"/>
        <w:ind w:left="360"/>
        <w:rPr>
          <w:rFonts w:ascii="Times New Roman" w:hAnsi="Times New Roman"/>
          <w:iCs/>
        </w:rPr>
      </w:pPr>
      <w:r>
        <w:rPr>
          <w:rFonts w:ascii="Times New Roman" w:hAnsi="Times New Roman"/>
          <w:iCs/>
        </w:rPr>
        <w:t>w</w:t>
      </w:r>
      <w:r w:rsidRPr="00E34238">
        <w:rPr>
          <w:rFonts w:ascii="Times New Roman" w:hAnsi="Times New Roman"/>
          <w:iCs/>
        </w:rPr>
        <w:t>hile overall deficit and debt levels decreased, very high public debt had persisted in some Member States prior to the current crisis</w:t>
      </w:r>
      <w:r>
        <w:rPr>
          <w:rFonts w:ascii="Times New Roman" w:hAnsi="Times New Roman"/>
          <w:iCs/>
        </w:rPr>
        <w:t>;</w:t>
      </w:r>
    </w:p>
    <w:p w14:paraId="6CEF6E2E" w14:textId="77777777" w:rsidR="00C24E8C" w:rsidRDefault="00C24E8C" w:rsidP="00C24E8C">
      <w:pPr>
        <w:widowControl w:val="0"/>
        <w:numPr>
          <w:ilvl w:val="0"/>
          <w:numId w:val="44"/>
        </w:numPr>
        <w:spacing w:after="120"/>
        <w:ind w:left="360"/>
        <w:rPr>
          <w:rFonts w:ascii="Times New Roman" w:hAnsi="Times New Roman"/>
          <w:iCs/>
        </w:rPr>
      </w:pPr>
      <w:r>
        <w:rPr>
          <w:rFonts w:ascii="Times New Roman" w:hAnsi="Times New Roman"/>
          <w:iCs/>
        </w:rPr>
        <w:t>t</w:t>
      </w:r>
      <w:r w:rsidRPr="00E34238">
        <w:rPr>
          <w:rFonts w:ascii="Times New Roman" w:hAnsi="Times New Roman"/>
          <w:iCs/>
        </w:rPr>
        <w:t>he fiscal stance at Member-State level had frequently been pro-cyclical, both in good and in bad times</w:t>
      </w:r>
      <w:r>
        <w:rPr>
          <w:rFonts w:ascii="Times New Roman" w:hAnsi="Times New Roman"/>
          <w:iCs/>
        </w:rPr>
        <w:t>;</w:t>
      </w:r>
    </w:p>
    <w:p w14:paraId="3862D79E" w14:textId="77777777" w:rsidR="00C24E8C" w:rsidRDefault="00C24E8C" w:rsidP="00C24E8C">
      <w:pPr>
        <w:widowControl w:val="0"/>
        <w:numPr>
          <w:ilvl w:val="0"/>
          <w:numId w:val="44"/>
        </w:numPr>
        <w:spacing w:after="120"/>
        <w:ind w:left="360"/>
        <w:rPr>
          <w:rFonts w:ascii="Times New Roman" w:hAnsi="Times New Roman"/>
          <w:iCs/>
        </w:rPr>
      </w:pPr>
      <w:r>
        <w:rPr>
          <w:rFonts w:ascii="Times New Roman" w:hAnsi="Times New Roman"/>
          <w:iCs/>
        </w:rPr>
        <w:t>t</w:t>
      </w:r>
      <w:r w:rsidRPr="00E34238">
        <w:rPr>
          <w:rFonts w:ascii="Times New Roman" w:hAnsi="Times New Roman"/>
          <w:iCs/>
        </w:rPr>
        <w:t>he composition of public finances had also not become more growth- and investment-friendly</w:t>
      </w:r>
      <w:r>
        <w:rPr>
          <w:rFonts w:ascii="Times New Roman" w:hAnsi="Times New Roman"/>
          <w:iCs/>
        </w:rPr>
        <w:t>;</w:t>
      </w:r>
    </w:p>
    <w:p w14:paraId="42F69A72" w14:textId="3654FE64" w:rsidR="00C24E8C" w:rsidRDefault="00C24E8C" w:rsidP="00C24E8C">
      <w:pPr>
        <w:widowControl w:val="0"/>
        <w:numPr>
          <w:ilvl w:val="0"/>
          <w:numId w:val="44"/>
        </w:numPr>
        <w:spacing w:after="120"/>
        <w:ind w:left="360"/>
        <w:rPr>
          <w:rFonts w:ascii="Times New Roman" w:hAnsi="Times New Roman"/>
          <w:iCs/>
        </w:rPr>
      </w:pPr>
      <w:r>
        <w:rPr>
          <w:rFonts w:ascii="Times New Roman" w:hAnsi="Times New Roman"/>
          <w:iCs/>
        </w:rPr>
        <w:t>i</w:t>
      </w:r>
      <w:r w:rsidRPr="00E34238">
        <w:rPr>
          <w:rFonts w:ascii="Times New Roman" w:hAnsi="Times New Roman"/>
          <w:iCs/>
        </w:rPr>
        <w:t>n the event of large economic shocks, the ability to steer the fiscal stance for the euro area had been hampered by a lack of prudent policies in good times and remained constrained as long as it rested exclusively on coordination of national fiscal policies, in the absence of a central fiscal stabilisation capacity</w:t>
      </w:r>
      <w:r>
        <w:rPr>
          <w:rFonts w:ascii="Times New Roman" w:hAnsi="Times New Roman"/>
          <w:iCs/>
        </w:rPr>
        <w:t>;</w:t>
      </w:r>
    </w:p>
    <w:p w14:paraId="098FDD49" w14:textId="17E254B4" w:rsidR="00C24E8C" w:rsidRPr="00E34238" w:rsidRDefault="00C24E8C" w:rsidP="00C24E8C">
      <w:pPr>
        <w:widowControl w:val="0"/>
        <w:numPr>
          <w:ilvl w:val="0"/>
          <w:numId w:val="44"/>
        </w:numPr>
        <w:spacing w:after="120"/>
        <w:ind w:left="360"/>
        <w:rPr>
          <w:rFonts w:ascii="Times New Roman" w:hAnsi="Times New Roman"/>
          <w:iCs/>
        </w:rPr>
      </w:pPr>
      <w:r w:rsidRPr="00E34238">
        <w:rPr>
          <w:rFonts w:ascii="Times New Roman" w:hAnsi="Times New Roman"/>
          <w:iCs/>
        </w:rPr>
        <w:t xml:space="preserve">the framework </w:t>
      </w:r>
      <w:r w:rsidR="003C6437">
        <w:rPr>
          <w:rFonts w:ascii="Times New Roman" w:hAnsi="Times New Roman"/>
          <w:iCs/>
        </w:rPr>
        <w:t>has grown increasingly complex.</w:t>
      </w:r>
    </w:p>
    <w:p w14:paraId="6F28F323" w14:textId="3B728E67" w:rsidR="00C24E8C" w:rsidRDefault="00C24E8C" w:rsidP="00C24E8C">
      <w:pPr>
        <w:widowControl w:val="0"/>
        <w:spacing w:after="120"/>
        <w:rPr>
          <w:rFonts w:ascii="Times New Roman" w:hAnsi="Times New Roman"/>
          <w:iCs/>
        </w:rPr>
      </w:pPr>
      <w:r w:rsidRPr="00E34238">
        <w:rPr>
          <w:rFonts w:ascii="Times New Roman" w:hAnsi="Times New Roman"/>
          <w:iCs/>
        </w:rPr>
        <w:t>The pandemic has significantly changed the context of the public debate, with higher levels of debt and deficit and significant output losses, increased investment needs and the related introduction of new policy tools at EU level</w:t>
      </w:r>
      <w:r>
        <w:rPr>
          <w:rFonts w:ascii="Times New Roman" w:hAnsi="Times New Roman"/>
          <w:iCs/>
        </w:rPr>
        <w:t xml:space="preserve">, notably the Recovery and Resilience Facility (RRF) and </w:t>
      </w:r>
      <w:r w:rsidR="00B717F8">
        <w:rPr>
          <w:rFonts w:ascii="Times New Roman" w:hAnsi="Times New Roman"/>
          <w:iCs/>
        </w:rPr>
        <w:t xml:space="preserve">the </w:t>
      </w:r>
      <w:r w:rsidR="00B717F8" w:rsidRPr="003C6437">
        <w:rPr>
          <w:rFonts w:ascii="Times New Roman" w:hAnsi="Times New Roman"/>
          <w:bCs/>
          <w:iCs/>
        </w:rPr>
        <w:t>S</w:t>
      </w:r>
      <w:r w:rsidR="00B717F8" w:rsidRPr="003C6437">
        <w:rPr>
          <w:rFonts w:ascii="Times New Roman" w:hAnsi="Times New Roman"/>
          <w:iCs/>
        </w:rPr>
        <w:t>upport to mitigate</w:t>
      </w:r>
      <w:r w:rsidR="00B717F8">
        <w:rPr>
          <w:rFonts w:ascii="Times New Roman" w:hAnsi="Times New Roman"/>
          <w:iCs/>
        </w:rPr>
        <w:t xml:space="preserve"> </w:t>
      </w:r>
      <w:r w:rsidR="00B717F8" w:rsidRPr="003C6437">
        <w:rPr>
          <w:rFonts w:ascii="Times New Roman" w:hAnsi="Times New Roman"/>
          <w:bCs/>
          <w:iCs/>
        </w:rPr>
        <w:t>U</w:t>
      </w:r>
      <w:r w:rsidR="00B717F8">
        <w:rPr>
          <w:rFonts w:ascii="Times New Roman" w:hAnsi="Times New Roman"/>
          <w:iCs/>
        </w:rPr>
        <w:t xml:space="preserve">nemployment </w:t>
      </w:r>
      <w:r w:rsidR="00B717F8" w:rsidRPr="003C6437">
        <w:rPr>
          <w:rFonts w:ascii="Times New Roman" w:hAnsi="Times New Roman"/>
          <w:bCs/>
          <w:iCs/>
        </w:rPr>
        <w:t>R</w:t>
      </w:r>
      <w:r w:rsidR="00B717F8">
        <w:rPr>
          <w:rFonts w:ascii="Times New Roman" w:hAnsi="Times New Roman"/>
          <w:iCs/>
        </w:rPr>
        <w:t xml:space="preserve">isks in an </w:t>
      </w:r>
      <w:r w:rsidR="00B717F8" w:rsidRPr="003C6437">
        <w:rPr>
          <w:rFonts w:ascii="Times New Roman" w:hAnsi="Times New Roman"/>
          <w:bCs/>
          <w:iCs/>
        </w:rPr>
        <w:t>E</w:t>
      </w:r>
      <w:r w:rsidR="00B717F8" w:rsidRPr="003C6437">
        <w:rPr>
          <w:rFonts w:ascii="Times New Roman" w:hAnsi="Times New Roman"/>
          <w:iCs/>
        </w:rPr>
        <w:t>mergency</w:t>
      </w:r>
      <w:r w:rsidR="00B717F8">
        <w:rPr>
          <w:rFonts w:ascii="Times New Roman" w:hAnsi="Times New Roman"/>
          <w:iCs/>
        </w:rPr>
        <w:t xml:space="preserve"> </w:t>
      </w:r>
      <w:r w:rsidR="003C6437">
        <w:rPr>
          <w:rFonts w:ascii="Times New Roman" w:hAnsi="Times New Roman"/>
          <w:iCs/>
        </w:rPr>
        <w:t>(</w:t>
      </w:r>
      <w:r w:rsidR="00B717F8">
        <w:rPr>
          <w:rFonts w:ascii="Times New Roman" w:hAnsi="Times New Roman"/>
          <w:iCs/>
        </w:rPr>
        <w:t>SURE</w:t>
      </w:r>
      <w:r w:rsidR="003C6437">
        <w:rPr>
          <w:rFonts w:ascii="Times New Roman" w:hAnsi="Times New Roman"/>
          <w:iCs/>
        </w:rPr>
        <w:t>)</w:t>
      </w:r>
      <w:r w:rsidRPr="00E34238">
        <w:rPr>
          <w:rFonts w:ascii="Times New Roman" w:hAnsi="Times New Roman"/>
          <w:iCs/>
        </w:rPr>
        <w:t>. Moreover</w:t>
      </w:r>
      <w:r>
        <w:rPr>
          <w:rFonts w:ascii="Times New Roman" w:hAnsi="Times New Roman"/>
          <w:iCs/>
        </w:rPr>
        <w:t xml:space="preserve">, the general escape clause (GEC) was </w:t>
      </w:r>
      <w:r w:rsidRPr="00E34238">
        <w:rPr>
          <w:rFonts w:ascii="Times New Roman" w:hAnsi="Times New Roman"/>
          <w:iCs/>
        </w:rPr>
        <w:t>used for the first time in the implementat</w:t>
      </w:r>
      <w:r w:rsidR="003C6437">
        <w:rPr>
          <w:rFonts w:ascii="Times New Roman" w:hAnsi="Times New Roman"/>
          <w:iCs/>
        </w:rPr>
        <w:t>ion of the fiscal surveillance.</w:t>
      </w:r>
    </w:p>
    <w:p w14:paraId="110479B5" w14:textId="77777777" w:rsidR="00C24E8C" w:rsidRPr="00E34238" w:rsidRDefault="00C24E8C" w:rsidP="00C24E8C">
      <w:pPr>
        <w:widowControl w:val="0"/>
        <w:spacing w:after="120"/>
        <w:rPr>
          <w:rFonts w:ascii="Times New Roman" w:hAnsi="Times New Roman"/>
          <w:iCs/>
        </w:rPr>
      </w:pPr>
      <w:r w:rsidRPr="00E34238">
        <w:rPr>
          <w:rFonts w:ascii="Times New Roman" w:hAnsi="Times New Roman"/>
          <w:iCs/>
        </w:rPr>
        <w:t>In addition, the COVID-19 crisis has</w:t>
      </w:r>
      <w:r>
        <w:rPr>
          <w:rFonts w:ascii="Times New Roman" w:hAnsi="Times New Roman"/>
          <w:iCs/>
        </w:rPr>
        <w:t xml:space="preserve"> also</w:t>
      </w:r>
      <w:r w:rsidRPr="00E34238">
        <w:rPr>
          <w:rFonts w:ascii="Times New Roman" w:hAnsi="Times New Roman"/>
          <w:iCs/>
        </w:rPr>
        <w:t xml:space="preserve"> called for a stronger forward-looking perspective in our MIP surveillance, which </w:t>
      </w:r>
      <w:r>
        <w:rPr>
          <w:rFonts w:ascii="Times New Roman" w:hAnsi="Times New Roman"/>
          <w:iCs/>
        </w:rPr>
        <w:t>has been</w:t>
      </w:r>
      <w:r w:rsidRPr="00E34238">
        <w:rPr>
          <w:rFonts w:ascii="Times New Roman" w:hAnsi="Times New Roman"/>
          <w:iCs/>
        </w:rPr>
        <w:t xml:space="preserve"> pursued for this past year, given the very unusual economic circumstances and exceptional uncertainty.</w:t>
      </w:r>
      <w:r>
        <w:rPr>
          <w:rFonts w:ascii="Times New Roman" w:hAnsi="Times New Roman"/>
          <w:iCs/>
        </w:rPr>
        <w:t xml:space="preserve"> It </w:t>
      </w:r>
      <w:r w:rsidRPr="008262E9">
        <w:rPr>
          <w:rFonts w:ascii="Times New Roman" w:hAnsi="Times New Roman"/>
          <w:iCs/>
        </w:rPr>
        <w:t>has</w:t>
      </w:r>
      <w:r>
        <w:rPr>
          <w:rFonts w:ascii="Times New Roman" w:hAnsi="Times New Roman"/>
          <w:iCs/>
        </w:rPr>
        <w:t xml:space="preserve"> also</w:t>
      </w:r>
      <w:r w:rsidRPr="008262E9">
        <w:rPr>
          <w:rFonts w:ascii="Times New Roman" w:hAnsi="Times New Roman"/>
          <w:iCs/>
        </w:rPr>
        <w:t xml:space="preserve"> had an important impact on labour markets. The sharp increase in the unemployment rate has been contained by the significant support measures</w:t>
      </w:r>
      <w:r>
        <w:rPr>
          <w:rFonts w:ascii="Times New Roman" w:hAnsi="Times New Roman"/>
          <w:iCs/>
        </w:rPr>
        <w:t>,</w:t>
      </w:r>
      <w:r w:rsidRPr="008262E9">
        <w:rPr>
          <w:rFonts w:ascii="Times New Roman" w:hAnsi="Times New Roman"/>
          <w:iCs/>
        </w:rPr>
        <w:t xml:space="preserve"> </w:t>
      </w:r>
      <w:r>
        <w:rPr>
          <w:rFonts w:ascii="Times New Roman" w:hAnsi="Times New Roman"/>
          <w:iCs/>
        </w:rPr>
        <w:t>while</w:t>
      </w:r>
      <w:r w:rsidRPr="008262E9">
        <w:rPr>
          <w:rFonts w:ascii="Times New Roman" w:hAnsi="Times New Roman"/>
          <w:iCs/>
        </w:rPr>
        <w:t xml:space="preserve"> th</w:t>
      </w:r>
      <w:r>
        <w:rPr>
          <w:rFonts w:ascii="Times New Roman" w:hAnsi="Times New Roman"/>
          <w:iCs/>
        </w:rPr>
        <w:t>e social impact (poverty risks,</w:t>
      </w:r>
      <w:r w:rsidRPr="008262E9">
        <w:rPr>
          <w:rFonts w:ascii="Times New Roman" w:hAnsi="Times New Roman"/>
          <w:iCs/>
        </w:rPr>
        <w:t xml:space="preserve"> inequalities</w:t>
      </w:r>
      <w:r>
        <w:rPr>
          <w:rFonts w:ascii="Times New Roman" w:hAnsi="Times New Roman"/>
          <w:iCs/>
        </w:rPr>
        <w:t xml:space="preserve">) </w:t>
      </w:r>
      <w:r w:rsidRPr="008262E9">
        <w:rPr>
          <w:rFonts w:ascii="Times New Roman" w:hAnsi="Times New Roman"/>
          <w:iCs/>
        </w:rPr>
        <w:t>is not yet fully visible.</w:t>
      </w:r>
    </w:p>
    <w:p w14:paraId="73BDCF1F" w14:textId="25707A84" w:rsidR="00C24E8C" w:rsidRDefault="00C24E8C" w:rsidP="00C24E8C">
      <w:pPr>
        <w:widowControl w:val="0"/>
        <w:spacing w:after="120"/>
        <w:rPr>
          <w:rFonts w:ascii="Times New Roman" w:hAnsi="Times New Roman"/>
          <w:iCs/>
        </w:rPr>
      </w:pPr>
      <w:r w:rsidRPr="00E34238">
        <w:rPr>
          <w:rFonts w:ascii="Times New Roman" w:hAnsi="Times New Roman"/>
          <w:iCs/>
        </w:rPr>
        <w:lastRenderedPageBreak/>
        <w:t>Therefore, the crisis has highlighted the relevance and importance of many of the challenges that the Commission sought to discuss and address in the public debate. Relaunching the public consultation on the economic governance framework will allow the Commission to reflect on these challenges and draw lessons</w:t>
      </w:r>
      <w:r>
        <w:rPr>
          <w:rFonts w:ascii="Times New Roman" w:hAnsi="Times New Roman"/>
          <w:iCs/>
        </w:rPr>
        <w:t xml:space="preserve"> </w:t>
      </w:r>
      <w:r w:rsidRPr="00DC57B0">
        <w:rPr>
          <w:rFonts w:ascii="Times New Roman" w:hAnsi="Times New Roman"/>
          <w:b/>
          <w:iCs/>
        </w:rPr>
        <w:t>(paragraph 1)</w:t>
      </w:r>
      <w:r w:rsidRPr="00DC57B0">
        <w:rPr>
          <w:rFonts w:ascii="Times New Roman" w:hAnsi="Times New Roman"/>
          <w:iCs/>
        </w:rPr>
        <w:t>.</w:t>
      </w:r>
    </w:p>
    <w:p w14:paraId="53BFC535" w14:textId="77777777" w:rsidR="00C24E8C" w:rsidRPr="00DC57B0" w:rsidRDefault="00C24E8C" w:rsidP="00C24E8C">
      <w:pPr>
        <w:widowControl w:val="0"/>
        <w:spacing w:after="120"/>
        <w:rPr>
          <w:rFonts w:ascii="Times New Roman" w:hAnsi="Times New Roman"/>
          <w:b/>
          <w:i/>
          <w:iCs/>
        </w:rPr>
      </w:pPr>
      <w:r w:rsidRPr="00DC57B0">
        <w:rPr>
          <w:rFonts w:ascii="Times New Roman" w:hAnsi="Times New Roman"/>
          <w:b/>
          <w:i/>
          <w:iCs/>
        </w:rPr>
        <w:t>Fiscal policy towards a sustainable and inclusive recovery</w:t>
      </w:r>
    </w:p>
    <w:p w14:paraId="7EFD6049" w14:textId="25368B90" w:rsidR="00C24E8C" w:rsidRDefault="00C24E8C" w:rsidP="00C24E8C">
      <w:pPr>
        <w:widowControl w:val="0"/>
        <w:spacing w:after="120"/>
        <w:rPr>
          <w:rFonts w:ascii="Times New Roman" w:hAnsi="Times New Roman"/>
          <w:bCs/>
          <w:iCs/>
        </w:rPr>
      </w:pPr>
      <w:r w:rsidRPr="00F7757F">
        <w:rPr>
          <w:rFonts w:ascii="Times New Roman" w:hAnsi="Times New Roman"/>
          <w:bCs/>
          <w:iCs/>
        </w:rPr>
        <w:t xml:space="preserve">The Commission provided clear fiscal policy recommendations to </w:t>
      </w:r>
      <w:r w:rsidR="00B717F8">
        <w:rPr>
          <w:rFonts w:ascii="Times New Roman" w:hAnsi="Times New Roman"/>
          <w:bCs/>
          <w:iCs/>
        </w:rPr>
        <w:t xml:space="preserve">the </w:t>
      </w:r>
      <w:r w:rsidRPr="00F7757F">
        <w:rPr>
          <w:rFonts w:ascii="Times New Roman" w:hAnsi="Times New Roman"/>
          <w:bCs/>
          <w:iCs/>
        </w:rPr>
        <w:t>Member States for 2022 and the medium term as part of its 2021 spring package. These recommendations were adopted by the Council on 18 June 2021. More precise quantified guidance for the years</w:t>
      </w:r>
      <w:r>
        <w:rPr>
          <w:rFonts w:ascii="Times New Roman" w:hAnsi="Times New Roman"/>
          <w:bCs/>
          <w:iCs/>
        </w:rPr>
        <w:t xml:space="preserve"> to follow</w:t>
      </w:r>
      <w:r w:rsidRPr="00F7757F">
        <w:rPr>
          <w:rFonts w:ascii="Times New Roman" w:hAnsi="Times New Roman"/>
          <w:bCs/>
          <w:iCs/>
        </w:rPr>
        <w:t xml:space="preserve"> should be provided in 2022, once the degree of uncertainty has sufficiently declined</w:t>
      </w:r>
      <w:r>
        <w:rPr>
          <w:rFonts w:ascii="Times New Roman" w:hAnsi="Times New Roman"/>
          <w:bCs/>
          <w:iCs/>
        </w:rPr>
        <w:t>.</w:t>
      </w:r>
      <w:r w:rsidRPr="00804129">
        <w:rPr>
          <w:rFonts w:ascii="Times New Roman" w:hAnsi="Times New Roman"/>
          <w:bCs/>
          <w:iCs/>
        </w:rPr>
        <w:t xml:space="preserve"> </w:t>
      </w:r>
      <w:r w:rsidRPr="00F7757F">
        <w:rPr>
          <w:rFonts w:ascii="Times New Roman" w:hAnsi="Times New Roman"/>
          <w:bCs/>
          <w:iCs/>
        </w:rPr>
        <w:t>Country-specific situations will continue to be taken into account after the deactivatio</w:t>
      </w:r>
      <w:r w:rsidR="00D2492E">
        <w:rPr>
          <w:rFonts w:ascii="Times New Roman" w:hAnsi="Times New Roman"/>
          <w:bCs/>
          <w:iCs/>
        </w:rPr>
        <w:t>n of the general escape clause.</w:t>
      </w:r>
    </w:p>
    <w:p w14:paraId="5963CF26" w14:textId="55B52F59" w:rsidR="00C24E8C" w:rsidRPr="0081737B" w:rsidRDefault="00C24E8C" w:rsidP="00C24E8C">
      <w:pPr>
        <w:widowControl w:val="0"/>
        <w:spacing w:after="120"/>
        <w:rPr>
          <w:rFonts w:ascii="Times New Roman" w:hAnsi="Times New Roman"/>
          <w:bCs/>
          <w:iCs/>
        </w:rPr>
      </w:pPr>
      <w:r w:rsidRPr="0081737B">
        <w:rPr>
          <w:rFonts w:ascii="Times New Roman" w:hAnsi="Times New Roman"/>
          <w:bCs/>
          <w:iCs/>
        </w:rPr>
        <w:t xml:space="preserve">In its February 2020 </w:t>
      </w:r>
      <w:r>
        <w:rPr>
          <w:rFonts w:ascii="Times New Roman" w:hAnsi="Times New Roman"/>
          <w:bCs/>
          <w:iCs/>
        </w:rPr>
        <w:t>Review</w:t>
      </w:r>
      <w:r w:rsidRPr="0081737B">
        <w:rPr>
          <w:rFonts w:ascii="Times New Roman" w:hAnsi="Times New Roman"/>
          <w:bCs/>
          <w:iCs/>
        </w:rPr>
        <w:t>, the Commission set out a number of issues for the public debate, based on the experience with the legislation so far. One of these questions is: “What is the appropriate role for the EU surveillance framework in incentivising Member States to undertake key reforms and investments needed to help tackle today and tomorrow’s economic, social, and environmental challenges while preserving safeguards against risks to debt sustainability?”</w:t>
      </w:r>
      <w:r>
        <w:rPr>
          <w:rFonts w:ascii="Times New Roman" w:hAnsi="Times New Roman"/>
          <w:bCs/>
          <w:iCs/>
        </w:rPr>
        <w:t xml:space="preserve"> </w:t>
      </w:r>
      <w:r w:rsidRPr="0081737B">
        <w:rPr>
          <w:rFonts w:ascii="Times New Roman" w:hAnsi="Times New Roman"/>
          <w:bCs/>
          <w:iCs/>
        </w:rPr>
        <w:t xml:space="preserve">This includes re-assessing the appropriateness of the current flexibility clauses in terms of their scope and eligibility, in order to facilitate the right type and level of investment while </w:t>
      </w:r>
      <w:r w:rsidR="00D2492E">
        <w:rPr>
          <w:rFonts w:ascii="Times New Roman" w:hAnsi="Times New Roman"/>
          <w:bCs/>
          <w:iCs/>
        </w:rPr>
        <w:t>preserving debt sustainability.</w:t>
      </w:r>
    </w:p>
    <w:p w14:paraId="650EBDBE" w14:textId="77777777" w:rsidR="00C24E8C" w:rsidRPr="00DC57B0" w:rsidRDefault="00C24E8C" w:rsidP="00C24E8C">
      <w:pPr>
        <w:widowControl w:val="0"/>
        <w:spacing w:after="120"/>
        <w:rPr>
          <w:rFonts w:ascii="Times New Roman" w:hAnsi="Times New Roman"/>
          <w:bCs/>
          <w:iCs/>
        </w:rPr>
      </w:pPr>
      <w:r w:rsidRPr="00DC57B0">
        <w:rPr>
          <w:rFonts w:ascii="Times New Roman" w:hAnsi="Times New Roman"/>
          <w:bCs/>
          <w:iCs/>
        </w:rPr>
        <w:t xml:space="preserve">Relaunching the public </w:t>
      </w:r>
      <w:r>
        <w:rPr>
          <w:rFonts w:ascii="Times New Roman" w:hAnsi="Times New Roman"/>
          <w:bCs/>
          <w:iCs/>
        </w:rPr>
        <w:t>debate on the economic governance framework when the recovery takes hold,</w:t>
      </w:r>
      <w:r w:rsidRPr="00DC57B0">
        <w:rPr>
          <w:rFonts w:ascii="Times New Roman" w:hAnsi="Times New Roman"/>
          <w:bCs/>
          <w:iCs/>
        </w:rPr>
        <w:t xml:space="preserve"> will allow the Commission to reflect on the challenges identified in the Commission’s </w:t>
      </w:r>
      <w:r>
        <w:rPr>
          <w:rFonts w:ascii="Times New Roman" w:hAnsi="Times New Roman"/>
          <w:bCs/>
          <w:iCs/>
        </w:rPr>
        <w:t>Review</w:t>
      </w:r>
      <w:r w:rsidRPr="00DC57B0">
        <w:rPr>
          <w:rFonts w:ascii="Times New Roman" w:hAnsi="Times New Roman"/>
          <w:bCs/>
          <w:iCs/>
        </w:rPr>
        <w:t xml:space="preserve"> of February 2020 and draw lessons from the crisis</w:t>
      </w:r>
      <w:r w:rsidRPr="00DC57B0">
        <w:rPr>
          <w:rFonts w:ascii="Times New Roman" w:hAnsi="Times New Roman"/>
          <w:b/>
          <w:bCs/>
          <w:iCs/>
        </w:rPr>
        <w:t xml:space="preserve"> (paragraph</w:t>
      </w:r>
      <w:r>
        <w:rPr>
          <w:rFonts w:ascii="Times New Roman" w:hAnsi="Times New Roman"/>
          <w:b/>
          <w:bCs/>
          <w:iCs/>
        </w:rPr>
        <w:t>s 8-10</w:t>
      </w:r>
      <w:r w:rsidRPr="00DC57B0">
        <w:rPr>
          <w:rFonts w:ascii="Times New Roman" w:hAnsi="Times New Roman"/>
          <w:b/>
          <w:bCs/>
          <w:iCs/>
        </w:rPr>
        <w:t>)</w:t>
      </w:r>
      <w:r w:rsidRPr="00F7757F">
        <w:rPr>
          <w:rFonts w:ascii="Times New Roman" w:hAnsi="Times New Roman"/>
          <w:bCs/>
          <w:iCs/>
        </w:rPr>
        <w:t>.</w:t>
      </w:r>
    </w:p>
    <w:p w14:paraId="0192132B" w14:textId="01859B42" w:rsidR="00C24E8C" w:rsidRDefault="00C24E8C" w:rsidP="00C24E8C">
      <w:pPr>
        <w:widowControl w:val="0"/>
        <w:spacing w:after="120"/>
        <w:rPr>
          <w:rFonts w:ascii="Times New Roman" w:hAnsi="Times New Roman"/>
          <w:iCs/>
        </w:rPr>
      </w:pPr>
      <w:r>
        <w:rPr>
          <w:rFonts w:ascii="Times New Roman" w:hAnsi="Times New Roman"/>
          <w:iCs/>
        </w:rPr>
        <w:t xml:space="preserve">As regards Member States’ exit strategies from the crisis-related measures, it </w:t>
      </w:r>
      <w:r w:rsidRPr="00B94EA8">
        <w:rPr>
          <w:rFonts w:ascii="Times New Roman" w:hAnsi="Times New Roman"/>
          <w:iCs/>
        </w:rPr>
        <w:t xml:space="preserve">is important to avoid a premature and abrupt withdrawal of fiscal support. </w:t>
      </w:r>
      <w:r w:rsidRPr="00B321B1">
        <w:rPr>
          <w:rFonts w:ascii="Times New Roman" w:hAnsi="Times New Roman"/>
          <w:iCs/>
        </w:rPr>
        <w:t xml:space="preserve">At the same time, a belated withdrawal could increase unwarranted side effects, postponing the transition to a more sustainable and future-proof economy. </w:t>
      </w:r>
      <w:r w:rsidRPr="00B94EA8">
        <w:rPr>
          <w:rFonts w:ascii="Times New Roman" w:hAnsi="Times New Roman"/>
          <w:iCs/>
        </w:rPr>
        <w:t>Moreover, coordination of national fiscal policies is essential to</w:t>
      </w:r>
      <w:r>
        <w:rPr>
          <w:rFonts w:ascii="Times New Roman" w:hAnsi="Times New Roman"/>
          <w:iCs/>
        </w:rPr>
        <w:t xml:space="preserve"> support the economic recovery. The general escape clause will remain active in 2022 and is expe</w:t>
      </w:r>
      <w:r w:rsidR="00D2492E">
        <w:rPr>
          <w:rFonts w:ascii="Times New Roman" w:hAnsi="Times New Roman"/>
          <w:iCs/>
        </w:rPr>
        <w:t>cted to be deactivated in 2023.</w:t>
      </w:r>
    </w:p>
    <w:p w14:paraId="5BF616BC" w14:textId="77777777" w:rsidR="00C24E8C" w:rsidRDefault="00C24E8C" w:rsidP="00C24E8C">
      <w:pPr>
        <w:widowControl w:val="0"/>
        <w:spacing w:after="120"/>
        <w:rPr>
          <w:rFonts w:ascii="Times New Roman" w:hAnsi="Times New Roman"/>
          <w:iCs/>
        </w:rPr>
      </w:pPr>
      <w:r>
        <w:rPr>
          <w:rFonts w:ascii="Times New Roman" w:hAnsi="Times New Roman"/>
          <w:iCs/>
        </w:rPr>
        <w:t>I</w:t>
      </w:r>
      <w:r w:rsidRPr="00B94EA8">
        <w:rPr>
          <w:rFonts w:ascii="Times New Roman" w:hAnsi="Times New Roman"/>
          <w:iCs/>
        </w:rPr>
        <w:t>n 2021 and 2022, the fiscal stance</w:t>
      </w:r>
      <w:r>
        <w:rPr>
          <w:rFonts w:ascii="Times New Roman" w:hAnsi="Times New Roman"/>
          <w:iCs/>
        </w:rPr>
        <w:t xml:space="preserve">, </w:t>
      </w:r>
      <w:r w:rsidRPr="00B321B1">
        <w:rPr>
          <w:rFonts w:ascii="Times New Roman" w:hAnsi="Times New Roman"/>
          <w:iCs/>
        </w:rPr>
        <w:t>taking into account national budgets and the Recovery and Resilience Facility,</w:t>
      </w:r>
      <w:r w:rsidRPr="00B94EA8">
        <w:rPr>
          <w:rFonts w:ascii="Times New Roman" w:hAnsi="Times New Roman"/>
          <w:iCs/>
        </w:rPr>
        <w:t xml:space="preserve"> should be supportive</w:t>
      </w:r>
      <w:r w:rsidRPr="005F029A">
        <w:rPr>
          <w:rFonts w:ascii="Times New Roman" w:hAnsi="Times New Roman"/>
          <w:iCs/>
        </w:rPr>
        <w:t xml:space="preserve"> excluding the impact of the withdrawal of the COVID-19 emergency measures from </w:t>
      </w:r>
      <w:r>
        <w:rPr>
          <w:rFonts w:ascii="Times New Roman" w:hAnsi="Times New Roman"/>
          <w:iCs/>
        </w:rPr>
        <w:t>the</w:t>
      </w:r>
      <w:r w:rsidRPr="005F029A">
        <w:rPr>
          <w:rFonts w:ascii="Times New Roman" w:hAnsi="Times New Roman"/>
          <w:iCs/>
        </w:rPr>
        <w:t xml:space="preserve"> estimate of the fiscal stance</w:t>
      </w:r>
      <w:r>
        <w:rPr>
          <w:rFonts w:ascii="Times New Roman" w:hAnsi="Times New Roman"/>
          <w:iCs/>
        </w:rPr>
        <w:t>. At the same time, fiscal policies should become more differentiated as of 2022, taking into account country-specific situations.</w:t>
      </w:r>
    </w:p>
    <w:p w14:paraId="0AD31A65" w14:textId="4FB06CED" w:rsidR="00C24E8C" w:rsidRDefault="00C24E8C" w:rsidP="00C24E8C">
      <w:pPr>
        <w:widowControl w:val="0"/>
        <w:spacing w:after="120"/>
        <w:rPr>
          <w:rFonts w:ascii="Times New Roman" w:hAnsi="Times New Roman"/>
          <w:iCs/>
        </w:rPr>
      </w:pPr>
      <w:r>
        <w:rPr>
          <w:rFonts w:ascii="Times New Roman" w:hAnsi="Times New Roman"/>
          <w:iCs/>
        </w:rPr>
        <w:t>The Commission agrees that f</w:t>
      </w:r>
      <w:r w:rsidRPr="00C6621B">
        <w:rPr>
          <w:rFonts w:ascii="Times New Roman" w:hAnsi="Times New Roman"/>
          <w:iCs/>
        </w:rPr>
        <w:t>iscal measures should maximise support to the recovery without pre-empting future</w:t>
      </w:r>
      <w:r>
        <w:rPr>
          <w:rFonts w:ascii="Times New Roman" w:hAnsi="Times New Roman"/>
          <w:iCs/>
        </w:rPr>
        <w:t xml:space="preserve"> </w:t>
      </w:r>
      <w:r w:rsidRPr="00C6621B">
        <w:rPr>
          <w:rFonts w:ascii="Times New Roman" w:hAnsi="Times New Roman"/>
          <w:iCs/>
        </w:rPr>
        <w:t>fiscal trajectories. Therefore, measures should avoid creating a permanent burden on</w:t>
      </w:r>
      <w:r>
        <w:rPr>
          <w:rFonts w:ascii="Times New Roman" w:hAnsi="Times New Roman"/>
          <w:iCs/>
        </w:rPr>
        <w:t xml:space="preserve"> </w:t>
      </w:r>
      <w:r w:rsidRPr="00C6621B">
        <w:rPr>
          <w:rFonts w:ascii="Times New Roman" w:hAnsi="Times New Roman"/>
          <w:iCs/>
        </w:rPr>
        <w:t xml:space="preserve">public finances. When </w:t>
      </w:r>
      <w:r w:rsidR="00B717F8">
        <w:rPr>
          <w:rFonts w:ascii="Times New Roman" w:hAnsi="Times New Roman"/>
          <w:iCs/>
        </w:rPr>
        <w:t xml:space="preserve">the </w:t>
      </w:r>
      <w:r w:rsidRPr="00C6621B">
        <w:rPr>
          <w:rFonts w:ascii="Times New Roman" w:hAnsi="Times New Roman"/>
          <w:iCs/>
        </w:rPr>
        <w:t>Member States introduce permanent measures, they should</w:t>
      </w:r>
      <w:r>
        <w:rPr>
          <w:rFonts w:ascii="Times New Roman" w:hAnsi="Times New Roman"/>
          <w:iCs/>
        </w:rPr>
        <w:t xml:space="preserve"> </w:t>
      </w:r>
      <w:r w:rsidRPr="00C6621B">
        <w:rPr>
          <w:rFonts w:ascii="Times New Roman" w:hAnsi="Times New Roman"/>
          <w:iCs/>
        </w:rPr>
        <w:t>properly fund them to ensure budgetary neutrality in the medium term.</w:t>
      </w:r>
      <w:r>
        <w:rPr>
          <w:rFonts w:ascii="Times New Roman" w:hAnsi="Times New Roman"/>
          <w:iCs/>
        </w:rPr>
        <w:t xml:space="preserve"> Also, support measures should become more targeted and focused, promoting</w:t>
      </w:r>
      <w:r w:rsidRPr="00CB7E27">
        <w:rPr>
          <w:rFonts w:ascii="Times New Roman" w:hAnsi="Times New Roman"/>
          <w:iCs/>
        </w:rPr>
        <w:t xml:space="preserve"> a resilient and sustainable recovery</w:t>
      </w:r>
      <w:r>
        <w:rPr>
          <w:rFonts w:ascii="Times New Roman" w:hAnsi="Times New Roman"/>
          <w:iCs/>
        </w:rPr>
        <w:t>.</w:t>
      </w:r>
    </w:p>
    <w:p w14:paraId="5FA84970" w14:textId="2D9F823A" w:rsidR="00C24E8C" w:rsidRDefault="00C24E8C" w:rsidP="00C24E8C">
      <w:pPr>
        <w:widowControl w:val="0"/>
        <w:spacing w:after="120"/>
        <w:rPr>
          <w:rFonts w:ascii="Times New Roman" w:hAnsi="Times New Roman"/>
          <w:iCs/>
        </w:rPr>
      </w:pPr>
      <w:r>
        <w:rPr>
          <w:rFonts w:ascii="Times New Roman" w:hAnsi="Times New Roman"/>
          <w:iCs/>
        </w:rPr>
        <w:t>The Commission agrees that, in</w:t>
      </w:r>
      <w:r w:rsidRPr="005F029A">
        <w:rPr>
          <w:rFonts w:ascii="Times New Roman" w:hAnsi="Times New Roman"/>
          <w:iCs/>
        </w:rPr>
        <w:t xml:space="preserve"> the medium term, it is important to maintain a credible and coordinated approach. </w:t>
      </w:r>
      <w:r>
        <w:rPr>
          <w:rFonts w:ascii="Times New Roman" w:hAnsi="Times New Roman"/>
          <w:iCs/>
        </w:rPr>
        <w:t>In particular, it has recommended that, w</w:t>
      </w:r>
      <w:r w:rsidRPr="00C6621B">
        <w:rPr>
          <w:rFonts w:ascii="Times New Roman" w:hAnsi="Times New Roman"/>
          <w:iCs/>
        </w:rPr>
        <w:t xml:space="preserve">hen economic conditions allow, </w:t>
      </w:r>
      <w:r w:rsidR="005A2CD2">
        <w:rPr>
          <w:rFonts w:ascii="Times New Roman" w:hAnsi="Times New Roman"/>
          <w:iCs/>
        </w:rPr>
        <w:t xml:space="preserve">the </w:t>
      </w:r>
      <w:r>
        <w:rPr>
          <w:rFonts w:ascii="Times New Roman" w:hAnsi="Times New Roman"/>
          <w:iCs/>
        </w:rPr>
        <w:t xml:space="preserve">Member States should </w:t>
      </w:r>
      <w:r w:rsidRPr="00C6621B">
        <w:rPr>
          <w:rFonts w:ascii="Times New Roman" w:hAnsi="Times New Roman"/>
          <w:iCs/>
        </w:rPr>
        <w:t>pursue a fiscal policy aimed at achieving prudent</w:t>
      </w:r>
      <w:r>
        <w:rPr>
          <w:rFonts w:ascii="Times New Roman" w:hAnsi="Times New Roman"/>
          <w:iCs/>
        </w:rPr>
        <w:t xml:space="preserve"> </w:t>
      </w:r>
      <w:r w:rsidRPr="00C6621B">
        <w:rPr>
          <w:rFonts w:ascii="Times New Roman" w:hAnsi="Times New Roman"/>
          <w:iCs/>
        </w:rPr>
        <w:t>medium-term fiscal positions and ensuring fiscal sustainability in the medium term.</w:t>
      </w:r>
      <w:r>
        <w:rPr>
          <w:rFonts w:ascii="Times New Roman" w:hAnsi="Times New Roman"/>
          <w:iCs/>
        </w:rPr>
        <w:t xml:space="preserve"> Investment, including in human capital, should be </w:t>
      </w:r>
      <w:r w:rsidRPr="00C6621B">
        <w:rPr>
          <w:rFonts w:ascii="Times New Roman" w:hAnsi="Times New Roman"/>
          <w:iCs/>
        </w:rPr>
        <w:t>enhance</w:t>
      </w:r>
      <w:r>
        <w:rPr>
          <w:rFonts w:ascii="Times New Roman" w:hAnsi="Times New Roman"/>
          <w:iCs/>
        </w:rPr>
        <w:t xml:space="preserve">d to boost growth potential and ensure an inclusive recovery </w:t>
      </w:r>
      <w:r w:rsidRPr="0011713E">
        <w:rPr>
          <w:rFonts w:ascii="Times New Roman" w:hAnsi="Times New Roman"/>
          <w:b/>
          <w:iCs/>
        </w:rPr>
        <w:t>(paragraph 12)</w:t>
      </w:r>
      <w:r w:rsidRPr="00154B2F">
        <w:rPr>
          <w:rFonts w:ascii="Times New Roman" w:hAnsi="Times New Roman"/>
          <w:iCs/>
        </w:rPr>
        <w:t>.</w:t>
      </w:r>
    </w:p>
    <w:p w14:paraId="5B53B7CC" w14:textId="77777777" w:rsidR="0042072C" w:rsidRDefault="0042072C" w:rsidP="00C24E8C">
      <w:pPr>
        <w:widowControl w:val="0"/>
        <w:spacing w:after="120"/>
        <w:rPr>
          <w:rFonts w:ascii="Times New Roman" w:hAnsi="Times New Roman"/>
          <w:b/>
          <w:iCs/>
        </w:rPr>
      </w:pPr>
    </w:p>
    <w:p w14:paraId="56164918" w14:textId="77777777" w:rsidR="00C24E8C" w:rsidRPr="0011713E" w:rsidRDefault="00C24E8C" w:rsidP="00C24E8C">
      <w:pPr>
        <w:widowControl w:val="0"/>
        <w:spacing w:after="120"/>
        <w:rPr>
          <w:rFonts w:ascii="Times New Roman" w:hAnsi="Times New Roman"/>
          <w:b/>
          <w:i/>
          <w:iCs/>
        </w:rPr>
      </w:pPr>
      <w:r w:rsidRPr="0011713E">
        <w:rPr>
          <w:rFonts w:ascii="Times New Roman" w:hAnsi="Times New Roman"/>
          <w:b/>
          <w:i/>
          <w:iCs/>
        </w:rPr>
        <w:lastRenderedPageBreak/>
        <w:t>A comprehensive sovereign debt sustainability analysis (SDSA)</w:t>
      </w:r>
    </w:p>
    <w:p w14:paraId="2FFEFDC7" w14:textId="7E8D1195" w:rsidR="00C24E8C" w:rsidRPr="005607BC" w:rsidRDefault="00C24E8C" w:rsidP="00C24E8C">
      <w:pPr>
        <w:widowControl w:val="0"/>
        <w:spacing w:after="120"/>
        <w:rPr>
          <w:rFonts w:ascii="Times New Roman" w:hAnsi="Times New Roman"/>
          <w:iCs/>
        </w:rPr>
      </w:pPr>
      <w:r w:rsidRPr="005607BC">
        <w:rPr>
          <w:rFonts w:ascii="Times New Roman" w:hAnsi="Times New Roman"/>
          <w:iCs/>
        </w:rPr>
        <w:t>The C</w:t>
      </w:r>
      <w:r>
        <w:rPr>
          <w:rFonts w:ascii="Times New Roman" w:hAnsi="Times New Roman"/>
          <w:iCs/>
        </w:rPr>
        <w:t xml:space="preserve">ommission agrees with the need to assess </w:t>
      </w:r>
      <w:r w:rsidRPr="005607BC">
        <w:rPr>
          <w:rFonts w:ascii="Times New Roman" w:hAnsi="Times New Roman"/>
          <w:iCs/>
        </w:rPr>
        <w:t>country-specific debt sustainability risks</w:t>
      </w:r>
      <w:r>
        <w:rPr>
          <w:rFonts w:ascii="Times New Roman" w:hAnsi="Times New Roman"/>
          <w:iCs/>
        </w:rPr>
        <w:t xml:space="preserve"> and </w:t>
      </w:r>
      <w:r w:rsidRPr="005607BC">
        <w:rPr>
          <w:rFonts w:ascii="Times New Roman" w:hAnsi="Times New Roman"/>
          <w:iCs/>
        </w:rPr>
        <w:t xml:space="preserve">has developed since the Global Financial Crisis a state-of-the-art framework </w:t>
      </w:r>
      <w:r>
        <w:rPr>
          <w:rFonts w:ascii="Times New Roman" w:hAnsi="Times New Roman"/>
          <w:iCs/>
        </w:rPr>
        <w:t>in that regard</w:t>
      </w:r>
      <w:r w:rsidRPr="005607BC">
        <w:rPr>
          <w:rFonts w:ascii="Times New Roman" w:hAnsi="Times New Roman"/>
          <w:iCs/>
        </w:rPr>
        <w:t>. This framework, based on a multi</w:t>
      </w:r>
      <w:r>
        <w:rPr>
          <w:rFonts w:ascii="Times New Roman" w:hAnsi="Times New Roman"/>
          <w:iCs/>
        </w:rPr>
        <w:t>-</w:t>
      </w:r>
      <w:r w:rsidRPr="005607BC">
        <w:rPr>
          <w:rFonts w:ascii="Times New Roman" w:hAnsi="Times New Roman"/>
          <w:iCs/>
        </w:rPr>
        <w:t>dimensional approach, provides a comprehensive assessment of debt sustainability risks</w:t>
      </w:r>
      <w:r w:rsidRPr="00E353D7">
        <w:rPr>
          <w:rFonts w:ascii="Times New Roman" w:hAnsi="Times New Roman"/>
          <w:iCs/>
        </w:rPr>
        <w:t xml:space="preserve"> </w:t>
      </w:r>
      <w:r w:rsidRPr="005607BC">
        <w:rPr>
          <w:rFonts w:ascii="Times New Roman" w:hAnsi="Times New Roman"/>
          <w:iCs/>
        </w:rPr>
        <w:t xml:space="preserve">over the short, medium and long term. The </w:t>
      </w:r>
      <w:r>
        <w:rPr>
          <w:rFonts w:ascii="Times New Roman" w:hAnsi="Times New Roman"/>
          <w:iCs/>
        </w:rPr>
        <w:t xml:space="preserve">Commission publishes the </w:t>
      </w:r>
      <w:r w:rsidRPr="005607BC">
        <w:rPr>
          <w:rFonts w:ascii="Times New Roman" w:hAnsi="Times New Roman"/>
          <w:iCs/>
        </w:rPr>
        <w:t>results</w:t>
      </w:r>
      <w:r>
        <w:rPr>
          <w:rFonts w:ascii="Times New Roman" w:hAnsi="Times New Roman"/>
          <w:iCs/>
        </w:rPr>
        <w:t xml:space="preserve"> every year</w:t>
      </w:r>
      <w:r w:rsidRPr="00911316">
        <w:rPr>
          <w:rFonts w:ascii="Times New Roman" w:hAnsi="Times New Roman"/>
          <w:iCs/>
        </w:rPr>
        <w:t xml:space="preserve"> </w:t>
      </w:r>
      <w:r>
        <w:rPr>
          <w:rFonts w:ascii="Times New Roman" w:hAnsi="Times New Roman"/>
          <w:iCs/>
        </w:rPr>
        <w:t xml:space="preserve">in its </w:t>
      </w:r>
      <w:r w:rsidRPr="005607BC">
        <w:rPr>
          <w:rFonts w:ascii="Times New Roman" w:hAnsi="Times New Roman"/>
          <w:iCs/>
        </w:rPr>
        <w:t>Debt Sustainability Monitor, along with transparent information on the assumptions and methodolog</w:t>
      </w:r>
      <w:r w:rsidR="00154B2F">
        <w:rPr>
          <w:rFonts w:ascii="Times New Roman" w:hAnsi="Times New Roman"/>
          <w:iCs/>
        </w:rPr>
        <w:t>ies.</w:t>
      </w:r>
    </w:p>
    <w:p w14:paraId="645A8FE3" w14:textId="2492EB9B" w:rsidR="00C24E8C" w:rsidRPr="005607BC" w:rsidRDefault="00C24E8C" w:rsidP="00C24E8C">
      <w:pPr>
        <w:widowControl w:val="0"/>
        <w:spacing w:after="120"/>
        <w:rPr>
          <w:rFonts w:ascii="Times New Roman" w:hAnsi="Times New Roman"/>
          <w:iCs/>
        </w:rPr>
      </w:pPr>
      <w:r w:rsidRPr="005607BC">
        <w:rPr>
          <w:rFonts w:ascii="Times New Roman" w:hAnsi="Times New Roman"/>
          <w:iCs/>
        </w:rPr>
        <w:t>The C</w:t>
      </w:r>
      <w:r>
        <w:rPr>
          <w:rFonts w:ascii="Times New Roman" w:hAnsi="Times New Roman"/>
          <w:iCs/>
        </w:rPr>
        <w:t xml:space="preserve">ommission </w:t>
      </w:r>
      <w:r w:rsidRPr="005607BC">
        <w:rPr>
          <w:rFonts w:ascii="Times New Roman" w:hAnsi="Times New Roman"/>
          <w:iCs/>
        </w:rPr>
        <w:t>debt sustainability analysis</w:t>
      </w:r>
      <w:r>
        <w:rPr>
          <w:rFonts w:ascii="Times New Roman" w:hAnsi="Times New Roman"/>
          <w:iCs/>
        </w:rPr>
        <w:t xml:space="preserve"> (DSA)</w:t>
      </w:r>
      <w:r w:rsidRPr="005607BC">
        <w:rPr>
          <w:rFonts w:ascii="Times New Roman" w:hAnsi="Times New Roman"/>
          <w:iCs/>
        </w:rPr>
        <w:t xml:space="preserve"> informs the implementation of EU fiscal rules. </w:t>
      </w:r>
      <w:r>
        <w:rPr>
          <w:rFonts w:ascii="Times New Roman" w:hAnsi="Times New Roman"/>
          <w:iCs/>
        </w:rPr>
        <w:t>For example, i</w:t>
      </w:r>
      <w:r w:rsidRPr="005607BC">
        <w:rPr>
          <w:rFonts w:ascii="Times New Roman" w:hAnsi="Times New Roman"/>
          <w:iCs/>
        </w:rPr>
        <w:t xml:space="preserve">t is considered as an important relevant factor in the </w:t>
      </w:r>
      <w:r>
        <w:rPr>
          <w:rFonts w:ascii="Times New Roman" w:hAnsi="Times New Roman"/>
          <w:iCs/>
        </w:rPr>
        <w:t>e</w:t>
      </w:r>
      <w:r w:rsidRPr="005607BC">
        <w:rPr>
          <w:rFonts w:ascii="Times New Roman" w:hAnsi="Times New Roman"/>
          <w:iCs/>
        </w:rPr>
        <w:t xml:space="preserve">xcessive </w:t>
      </w:r>
      <w:r>
        <w:rPr>
          <w:rFonts w:ascii="Times New Roman" w:hAnsi="Times New Roman"/>
          <w:iCs/>
        </w:rPr>
        <w:t>d</w:t>
      </w:r>
      <w:r w:rsidRPr="005607BC">
        <w:rPr>
          <w:rFonts w:ascii="Times New Roman" w:hAnsi="Times New Roman"/>
          <w:iCs/>
        </w:rPr>
        <w:t xml:space="preserve">eficit </w:t>
      </w:r>
      <w:r>
        <w:rPr>
          <w:rFonts w:ascii="Times New Roman" w:hAnsi="Times New Roman"/>
          <w:iCs/>
        </w:rPr>
        <w:t>p</w:t>
      </w:r>
      <w:r w:rsidRPr="005607BC">
        <w:rPr>
          <w:rFonts w:ascii="Times New Roman" w:hAnsi="Times New Roman"/>
          <w:iCs/>
        </w:rPr>
        <w:t xml:space="preserve">rocedure. </w:t>
      </w:r>
      <w:r>
        <w:rPr>
          <w:rFonts w:ascii="Times New Roman" w:hAnsi="Times New Roman"/>
          <w:iCs/>
        </w:rPr>
        <w:t>The recent report under Art</w:t>
      </w:r>
      <w:r w:rsidR="00154B2F">
        <w:rPr>
          <w:rFonts w:ascii="Times New Roman" w:hAnsi="Times New Roman"/>
          <w:iCs/>
        </w:rPr>
        <w:t>icle</w:t>
      </w:r>
      <w:r>
        <w:rPr>
          <w:rFonts w:ascii="Times New Roman" w:hAnsi="Times New Roman"/>
          <w:iCs/>
        </w:rPr>
        <w:t xml:space="preserve"> 126(3) </w:t>
      </w:r>
      <w:r w:rsidR="005A2CD2" w:rsidRPr="005A2CD2">
        <w:rPr>
          <w:rFonts w:ascii="Times New Roman" w:hAnsi="Times New Roman"/>
          <w:iCs/>
        </w:rPr>
        <w:t>of the Treaty on the Functioning of the E</w:t>
      </w:r>
      <w:r w:rsidR="005A2CD2">
        <w:rPr>
          <w:rFonts w:ascii="Times New Roman" w:hAnsi="Times New Roman"/>
          <w:iCs/>
        </w:rPr>
        <w:t xml:space="preserve">uropean </w:t>
      </w:r>
      <w:r w:rsidR="005A2CD2" w:rsidRPr="005A2CD2">
        <w:rPr>
          <w:rFonts w:ascii="Times New Roman" w:hAnsi="Times New Roman"/>
          <w:iCs/>
        </w:rPr>
        <w:t>U</w:t>
      </w:r>
      <w:r w:rsidR="005A2CD2">
        <w:rPr>
          <w:rFonts w:ascii="Times New Roman" w:hAnsi="Times New Roman"/>
          <w:iCs/>
        </w:rPr>
        <w:t xml:space="preserve">nion (TFEU) </w:t>
      </w:r>
      <w:r>
        <w:rPr>
          <w:rFonts w:ascii="Times New Roman" w:hAnsi="Times New Roman"/>
          <w:iCs/>
        </w:rPr>
        <w:t>prepared by the Commission includes the result of the medium-term (10 year) projections of debt under an unchanged policy baseline scenario.</w:t>
      </w:r>
      <w:r w:rsidRPr="006A5555">
        <w:rPr>
          <w:rFonts w:ascii="Times New Roman" w:hAnsi="Times New Roman"/>
          <w:iCs/>
        </w:rPr>
        <w:t xml:space="preserve"> </w:t>
      </w:r>
      <w:r w:rsidRPr="005607BC">
        <w:rPr>
          <w:rFonts w:ascii="Times New Roman" w:hAnsi="Times New Roman"/>
          <w:iCs/>
        </w:rPr>
        <w:t xml:space="preserve">It </w:t>
      </w:r>
      <w:r>
        <w:rPr>
          <w:rFonts w:ascii="Times New Roman" w:hAnsi="Times New Roman"/>
          <w:iCs/>
        </w:rPr>
        <w:t>also has a role</w:t>
      </w:r>
      <w:r w:rsidRPr="005607BC">
        <w:rPr>
          <w:rFonts w:ascii="Times New Roman" w:hAnsi="Times New Roman"/>
          <w:iCs/>
        </w:rPr>
        <w:t xml:space="preserve"> in the preventive arm of the S</w:t>
      </w:r>
      <w:r>
        <w:rPr>
          <w:rFonts w:ascii="Times New Roman" w:hAnsi="Times New Roman"/>
          <w:iCs/>
        </w:rPr>
        <w:t xml:space="preserve">tability and </w:t>
      </w:r>
      <w:r w:rsidRPr="005607BC">
        <w:rPr>
          <w:rFonts w:ascii="Times New Roman" w:hAnsi="Times New Roman"/>
          <w:iCs/>
        </w:rPr>
        <w:t>G</w:t>
      </w:r>
      <w:r>
        <w:rPr>
          <w:rFonts w:ascii="Times New Roman" w:hAnsi="Times New Roman"/>
          <w:iCs/>
        </w:rPr>
        <w:t xml:space="preserve">rowth </w:t>
      </w:r>
      <w:r w:rsidRPr="005607BC">
        <w:rPr>
          <w:rFonts w:ascii="Times New Roman" w:hAnsi="Times New Roman"/>
          <w:iCs/>
        </w:rPr>
        <w:t>P</w:t>
      </w:r>
      <w:r>
        <w:rPr>
          <w:rFonts w:ascii="Times New Roman" w:hAnsi="Times New Roman"/>
          <w:iCs/>
        </w:rPr>
        <w:t>act</w:t>
      </w:r>
      <w:r w:rsidRPr="005607BC">
        <w:rPr>
          <w:rFonts w:ascii="Times New Roman" w:hAnsi="Times New Roman"/>
          <w:iCs/>
        </w:rPr>
        <w:t xml:space="preserve"> to set up the appropriate fiscal adjustment path towards the</w:t>
      </w:r>
      <w:r>
        <w:rPr>
          <w:rFonts w:ascii="Times New Roman" w:hAnsi="Times New Roman"/>
          <w:iCs/>
        </w:rPr>
        <w:t xml:space="preserve"> country-specific</w:t>
      </w:r>
      <w:r w:rsidRPr="005607BC">
        <w:rPr>
          <w:rFonts w:ascii="Times New Roman" w:hAnsi="Times New Roman"/>
          <w:iCs/>
        </w:rPr>
        <w:t xml:space="preserve"> medium-term budgetary objective.</w:t>
      </w:r>
    </w:p>
    <w:p w14:paraId="014ED415" w14:textId="77777777" w:rsidR="00C24E8C" w:rsidRDefault="00C24E8C" w:rsidP="00C24E8C">
      <w:pPr>
        <w:widowControl w:val="0"/>
        <w:spacing w:after="120"/>
        <w:rPr>
          <w:rFonts w:ascii="Times New Roman" w:hAnsi="Times New Roman"/>
          <w:iCs/>
        </w:rPr>
      </w:pPr>
      <w:r w:rsidRPr="005607BC">
        <w:rPr>
          <w:rFonts w:ascii="Times New Roman" w:hAnsi="Times New Roman"/>
          <w:iCs/>
        </w:rPr>
        <w:t>The C</w:t>
      </w:r>
      <w:r>
        <w:rPr>
          <w:rFonts w:ascii="Times New Roman" w:hAnsi="Times New Roman"/>
          <w:iCs/>
        </w:rPr>
        <w:t>ommission</w:t>
      </w:r>
      <w:r w:rsidRPr="005607BC">
        <w:rPr>
          <w:rFonts w:ascii="Times New Roman" w:hAnsi="Times New Roman"/>
          <w:iCs/>
        </w:rPr>
        <w:t xml:space="preserve"> DSA relies on the most innovative tools and techniques, including a wide range of stress tests and stochastic simulations. It also provides a granular analysis of various mitigating and aggravating risk factors, such as the composition of debt, government gross financing needs, the presence of public assets, and contingent and implicit liabilities. Finally, the </w:t>
      </w:r>
      <w:r>
        <w:rPr>
          <w:rFonts w:ascii="Times New Roman" w:hAnsi="Times New Roman"/>
          <w:iCs/>
        </w:rPr>
        <w:t>Commission</w:t>
      </w:r>
      <w:r w:rsidRPr="005607BC">
        <w:rPr>
          <w:rFonts w:ascii="Times New Roman" w:hAnsi="Times New Roman"/>
          <w:iCs/>
        </w:rPr>
        <w:t xml:space="preserve"> analysis pays particular attention to the implications of an ageing population</w:t>
      </w:r>
      <w:r>
        <w:rPr>
          <w:rFonts w:ascii="Times New Roman" w:hAnsi="Times New Roman"/>
          <w:iCs/>
        </w:rPr>
        <w:t xml:space="preserve"> </w:t>
      </w:r>
      <w:r w:rsidRPr="0011713E">
        <w:rPr>
          <w:rFonts w:ascii="Times New Roman" w:hAnsi="Times New Roman"/>
          <w:b/>
          <w:iCs/>
        </w:rPr>
        <w:t>(paragraph 34)</w:t>
      </w:r>
      <w:r w:rsidRPr="005607BC">
        <w:rPr>
          <w:rFonts w:ascii="Times New Roman" w:hAnsi="Times New Roman"/>
          <w:iCs/>
        </w:rPr>
        <w:t>.</w:t>
      </w:r>
    </w:p>
    <w:p w14:paraId="482ACA39" w14:textId="77777777" w:rsidR="00C24E8C" w:rsidRPr="0011713E" w:rsidRDefault="00C24E8C" w:rsidP="00C24E8C">
      <w:pPr>
        <w:widowControl w:val="0"/>
        <w:spacing w:after="120"/>
        <w:rPr>
          <w:rFonts w:ascii="Times New Roman" w:hAnsi="Times New Roman"/>
          <w:b/>
          <w:i/>
          <w:iCs/>
        </w:rPr>
      </w:pPr>
      <w:r w:rsidRPr="0011713E">
        <w:rPr>
          <w:rFonts w:ascii="Times New Roman" w:hAnsi="Times New Roman"/>
          <w:b/>
          <w:i/>
          <w:iCs/>
        </w:rPr>
        <w:t>EU fiscal policy coordination framework</w:t>
      </w:r>
    </w:p>
    <w:p w14:paraId="2C9CC713" w14:textId="61D9DB90" w:rsidR="00C24E8C" w:rsidRPr="00B62FDD" w:rsidRDefault="00C24E8C" w:rsidP="00C24E8C">
      <w:pPr>
        <w:widowControl w:val="0"/>
        <w:spacing w:after="120"/>
        <w:rPr>
          <w:rFonts w:ascii="Times New Roman" w:hAnsi="Times New Roman"/>
          <w:iCs/>
        </w:rPr>
      </w:pPr>
      <w:r w:rsidRPr="00F7757F">
        <w:rPr>
          <w:rFonts w:ascii="Times New Roman" w:hAnsi="Times New Roman"/>
          <w:bCs/>
          <w:iCs/>
        </w:rPr>
        <w:t xml:space="preserve">The </w:t>
      </w:r>
      <w:r>
        <w:rPr>
          <w:rFonts w:ascii="Times New Roman" w:hAnsi="Times New Roman"/>
          <w:bCs/>
          <w:iCs/>
        </w:rPr>
        <w:t>Commission’s Communication on the Economic Governance Review</w:t>
      </w:r>
      <w:r w:rsidRPr="00746967">
        <w:rPr>
          <w:rFonts w:ascii="Times New Roman" w:hAnsi="Times New Roman"/>
          <w:bCs/>
          <w:iCs/>
        </w:rPr>
        <w:t xml:space="preserve"> </w:t>
      </w:r>
      <w:r>
        <w:rPr>
          <w:rFonts w:ascii="Times New Roman" w:hAnsi="Times New Roman"/>
          <w:bCs/>
          <w:iCs/>
        </w:rPr>
        <w:t xml:space="preserve">issued in February 2020 </w:t>
      </w:r>
      <w:r w:rsidRPr="00F7757F">
        <w:rPr>
          <w:rFonts w:ascii="Times New Roman" w:hAnsi="Times New Roman"/>
          <w:bCs/>
          <w:iCs/>
        </w:rPr>
        <w:t>identified a number of well-recognised challenges with the fiscal fr</w:t>
      </w:r>
      <w:r>
        <w:rPr>
          <w:rFonts w:ascii="Times New Roman" w:hAnsi="Times New Roman"/>
          <w:bCs/>
          <w:iCs/>
        </w:rPr>
        <w:t xml:space="preserve">amework and its implementation. </w:t>
      </w:r>
      <w:r w:rsidRPr="00F7757F">
        <w:rPr>
          <w:rFonts w:ascii="Times New Roman" w:hAnsi="Times New Roman"/>
          <w:bCs/>
          <w:iCs/>
        </w:rPr>
        <w:t>These challenges have been usefully reiterated and highlighted in the re</w:t>
      </w:r>
      <w:r w:rsidR="005A2CD2">
        <w:rPr>
          <w:rFonts w:ascii="Times New Roman" w:hAnsi="Times New Roman"/>
          <w:bCs/>
          <w:iCs/>
        </w:rPr>
        <w:t>solution of</w:t>
      </w:r>
      <w:r>
        <w:rPr>
          <w:rFonts w:ascii="Times New Roman" w:hAnsi="Times New Roman"/>
          <w:bCs/>
          <w:iCs/>
        </w:rPr>
        <w:t xml:space="preserve"> the European Parliament</w:t>
      </w:r>
      <w:r w:rsidRPr="00F7757F">
        <w:rPr>
          <w:rFonts w:ascii="Times New Roman" w:hAnsi="Times New Roman"/>
          <w:bCs/>
          <w:iCs/>
        </w:rPr>
        <w:t xml:space="preserve">. </w:t>
      </w:r>
      <w:r w:rsidRPr="00F7757F">
        <w:rPr>
          <w:rFonts w:ascii="Times New Roman" w:hAnsi="Times New Roman"/>
          <w:iCs/>
        </w:rPr>
        <w:t xml:space="preserve">The COVID-19 crisis </w:t>
      </w:r>
      <w:r>
        <w:rPr>
          <w:rFonts w:ascii="Times New Roman" w:hAnsi="Times New Roman"/>
          <w:iCs/>
        </w:rPr>
        <w:t xml:space="preserve">also </w:t>
      </w:r>
      <w:r w:rsidRPr="00F7757F">
        <w:rPr>
          <w:rFonts w:ascii="Times New Roman" w:hAnsi="Times New Roman"/>
          <w:iCs/>
        </w:rPr>
        <w:t>highlighted the relevance of the</w:t>
      </w:r>
      <w:r>
        <w:rPr>
          <w:rFonts w:ascii="Times New Roman" w:hAnsi="Times New Roman"/>
          <w:iCs/>
        </w:rPr>
        <w:t>se</w:t>
      </w:r>
      <w:r w:rsidRPr="00F7757F">
        <w:rPr>
          <w:rFonts w:ascii="Times New Roman" w:hAnsi="Times New Roman"/>
          <w:iCs/>
        </w:rPr>
        <w:t xml:space="preserve"> challenges</w:t>
      </w:r>
      <w:r>
        <w:rPr>
          <w:rFonts w:ascii="Times New Roman" w:hAnsi="Times New Roman"/>
          <w:iCs/>
        </w:rPr>
        <w:t xml:space="preserve"> identified by the Commission.</w:t>
      </w:r>
      <w:r w:rsidRPr="00F7757F">
        <w:rPr>
          <w:rFonts w:ascii="Times New Roman" w:hAnsi="Times New Roman"/>
          <w:iCs/>
        </w:rPr>
        <w:t xml:space="preserve"> At the same time, the pandemic has changed the context of the public debate on the EU fiscal rules, not least due to the significant increase in public debt in the EU, innovations in the EU’s architecture, and increased investment needs</w:t>
      </w:r>
      <w:r>
        <w:rPr>
          <w:rFonts w:ascii="Times New Roman" w:hAnsi="Times New Roman"/>
          <w:iCs/>
        </w:rPr>
        <w:t>, in particular in relation to the climate and digital transitions.</w:t>
      </w:r>
      <w:r>
        <w:t xml:space="preserve"> </w:t>
      </w:r>
      <w:r w:rsidRPr="00F7757F">
        <w:rPr>
          <w:rFonts w:ascii="Times New Roman" w:hAnsi="Times New Roman"/>
          <w:bCs/>
          <w:iCs/>
        </w:rPr>
        <w:t>The</w:t>
      </w:r>
      <w:r>
        <w:rPr>
          <w:rFonts w:ascii="Times New Roman" w:hAnsi="Times New Roman"/>
          <w:bCs/>
          <w:iCs/>
        </w:rPr>
        <w:t xml:space="preserve"> identified challenges</w:t>
      </w:r>
      <w:r w:rsidRPr="00F7757F">
        <w:rPr>
          <w:rFonts w:ascii="Times New Roman" w:hAnsi="Times New Roman"/>
          <w:bCs/>
          <w:iCs/>
        </w:rPr>
        <w:t xml:space="preserve"> will be discussed as part of the public consultation on the economic governance review, in line with the issues for public debate set out in the Co</w:t>
      </w:r>
      <w:r>
        <w:rPr>
          <w:rFonts w:ascii="Times New Roman" w:hAnsi="Times New Roman"/>
          <w:bCs/>
          <w:iCs/>
        </w:rPr>
        <w:t xml:space="preserve">mmission’s Review </w:t>
      </w:r>
      <w:r w:rsidR="005A2CD2">
        <w:rPr>
          <w:rFonts w:ascii="Times New Roman" w:hAnsi="Times New Roman"/>
          <w:b/>
          <w:bCs/>
          <w:iCs/>
        </w:rPr>
        <w:t xml:space="preserve">(paragraphs </w:t>
      </w:r>
      <w:r w:rsidRPr="00B62FDD">
        <w:rPr>
          <w:rFonts w:ascii="Times New Roman" w:hAnsi="Times New Roman"/>
          <w:b/>
          <w:bCs/>
          <w:iCs/>
        </w:rPr>
        <w:t>35-36)</w:t>
      </w:r>
      <w:r w:rsidRPr="00154B2F">
        <w:rPr>
          <w:rFonts w:ascii="Times New Roman" w:hAnsi="Times New Roman"/>
          <w:bCs/>
          <w:iCs/>
        </w:rPr>
        <w:t>.</w:t>
      </w:r>
    </w:p>
    <w:p w14:paraId="158DE518" w14:textId="40E8B398" w:rsidR="00C24E8C" w:rsidRPr="00F7757F" w:rsidRDefault="00C24E8C" w:rsidP="00C24E8C">
      <w:pPr>
        <w:widowControl w:val="0"/>
        <w:spacing w:after="120"/>
        <w:rPr>
          <w:rFonts w:ascii="Times New Roman" w:hAnsi="Times New Roman"/>
          <w:iCs/>
        </w:rPr>
      </w:pPr>
      <w:r w:rsidRPr="00F7757F">
        <w:rPr>
          <w:rFonts w:ascii="Times New Roman" w:hAnsi="Times New Roman"/>
          <w:iCs/>
        </w:rPr>
        <w:t xml:space="preserve">Through </w:t>
      </w:r>
      <w:r>
        <w:rPr>
          <w:rFonts w:ascii="Times New Roman" w:hAnsi="Times New Roman"/>
          <w:iCs/>
        </w:rPr>
        <w:t xml:space="preserve">the </w:t>
      </w:r>
      <w:r w:rsidRPr="003B3F03">
        <w:rPr>
          <w:rFonts w:ascii="Times New Roman" w:hAnsi="Times New Roman"/>
          <w:iCs/>
        </w:rPr>
        <w:t>temporary Support to mitigate Unemployment Risks in an Emergency (SURE)</w:t>
      </w:r>
      <w:r w:rsidRPr="00F7757F">
        <w:rPr>
          <w:rFonts w:ascii="Times New Roman" w:hAnsi="Times New Roman"/>
          <w:iCs/>
        </w:rPr>
        <w:t xml:space="preserve">, the EU has supported and encouraged the use of short-time work policies in </w:t>
      </w:r>
      <w:r w:rsidR="005A2CD2">
        <w:rPr>
          <w:rFonts w:ascii="Times New Roman" w:hAnsi="Times New Roman"/>
          <w:iCs/>
        </w:rPr>
        <w:t xml:space="preserve">the </w:t>
      </w:r>
      <w:r w:rsidRPr="00F7757F">
        <w:rPr>
          <w:rFonts w:ascii="Times New Roman" w:hAnsi="Times New Roman"/>
          <w:iCs/>
        </w:rPr>
        <w:t>Member States as an efficient tool to protect our citizens during external shocks like the COVID-19 crisis. A majority of beneficiary Member States indicated that SURE played a role in their decision to adopt a new short-time work scheme or to modify an existing scheme (such as increasing their coverage and volume). The impact of SURE goes beyond preserving jobs</w:t>
      </w:r>
      <w:r>
        <w:rPr>
          <w:rFonts w:ascii="Times New Roman" w:hAnsi="Times New Roman"/>
          <w:iCs/>
        </w:rPr>
        <w:t xml:space="preserve"> </w:t>
      </w:r>
      <w:r w:rsidRPr="008262E9">
        <w:rPr>
          <w:rFonts w:ascii="Times New Roman" w:hAnsi="Times New Roman"/>
          <w:iCs/>
        </w:rPr>
        <w:t>and avoiding losses in human capital.</w:t>
      </w:r>
      <w:r>
        <w:rPr>
          <w:rFonts w:ascii="Times New Roman" w:hAnsi="Times New Roman"/>
          <w:iCs/>
        </w:rPr>
        <w:t xml:space="preserve"> </w:t>
      </w:r>
      <w:r w:rsidRPr="00F7757F">
        <w:rPr>
          <w:rFonts w:ascii="Times New Roman" w:hAnsi="Times New Roman"/>
          <w:iCs/>
        </w:rPr>
        <w:t xml:space="preserve">SURE has also likely contributed to increasing general confidence in the EU’s ability to respond effectively to an unprecedented crisis and enabled </w:t>
      </w:r>
      <w:r w:rsidR="005A2CD2">
        <w:rPr>
          <w:rFonts w:ascii="Times New Roman" w:hAnsi="Times New Roman"/>
          <w:iCs/>
        </w:rPr>
        <w:t xml:space="preserve">the </w:t>
      </w:r>
      <w:r w:rsidRPr="00F7757F">
        <w:rPr>
          <w:rFonts w:ascii="Times New Roman" w:hAnsi="Times New Roman"/>
          <w:iCs/>
        </w:rPr>
        <w:t>Member States to spend more than they otherwise would have on short-time work schemes and other pandemic-related policies. Member States can still submit requests for support under SURE until the end of 2022.</w:t>
      </w:r>
    </w:p>
    <w:p w14:paraId="7F9A7E3D" w14:textId="7119DC8B" w:rsidR="00C24E8C" w:rsidRPr="00F7757F" w:rsidRDefault="00C24E8C" w:rsidP="00C24E8C">
      <w:pPr>
        <w:widowControl w:val="0"/>
        <w:spacing w:after="120"/>
        <w:rPr>
          <w:rFonts w:ascii="Times New Roman" w:hAnsi="Times New Roman"/>
          <w:iCs/>
        </w:rPr>
      </w:pPr>
      <w:r>
        <w:rPr>
          <w:rFonts w:ascii="Times New Roman" w:hAnsi="Times New Roman"/>
          <w:iCs/>
        </w:rPr>
        <w:t>In line with</w:t>
      </w:r>
      <w:r w:rsidRPr="00F7757F">
        <w:rPr>
          <w:rFonts w:ascii="Times New Roman" w:hAnsi="Times New Roman"/>
          <w:iCs/>
        </w:rPr>
        <w:t xml:space="preserve"> Article 14 of the Regulation (EU) 2020/672, the European Commission shall prepare a report within 6 months of SURE becoming available, and every six months thereafter, on the use of financial assistance under SURE, including outstanding amounts and the applicable repayment schedule. The first such report was forwarded to the European </w:t>
      </w:r>
      <w:r w:rsidRPr="00F7757F">
        <w:rPr>
          <w:rFonts w:ascii="Times New Roman" w:hAnsi="Times New Roman"/>
          <w:iCs/>
        </w:rPr>
        <w:lastRenderedPageBreak/>
        <w:t xml:space="preserve">Parliament, the Council, the Economic and Financial Committee and the Employment Committee. It includes the repayment schedule in section 2 </w:t>
      </w:r>
      <w:r>
        <w:rPr>
          <w:rFonts w:ascii="Times New Roman" w:hAnsi="Times New Roman"/>
          <w:iCs/>
        </w:rPr>
        <w:t>(</w:t>
      </w:r>
      <w:hyperlink r:id="rId9" w:history="1">
        <w:r w:rsidR="0042072C" w:rsidRPr="006419C8">
          <w:rPr>
            <w:rStyle w:val="Hyperlink"/>
            <w:rFonts w:ascii="Times New Roman" w:hAnsi="Times New Roman"/>
            <w:iCs/>
          </w:rPr>
          <w:t>https://ec.europa.eu/commission/presscorner/detail/en/ip_21_1209</w:t>
        </w:r>
      </w:hyperlink>
      <w:r>
        <w:rPr>
          <w:rFonts w:ascii="Times New Roman" w:hAnsi="Times New Roman"/>
          <w:iCs/>
        </w:rPr>
        <w:t xml:space="preserve">). The second </w:t>
      </w:r>
      <w:r w:rsidRPr="00F7757F">
        <w:rPr>
          <w:rFonts w:ascii="Times New Roman" w:hAnsi="Times New Roman"/>
          <w:iCs/>
        </w:rPr>
        <w:t xml:space="preserve">report </w:t>
      </w:r>
      <w:r>
        <w:rPr>
          <w:rFonts w:ascii="Times New Roman" w:hAnsi="Times New Roman"/>
        </w:rPr>
        <w:t>was</w:t>
      </w:r>
      <w:r w:rsidRPr="00804129">
        <w:rPr>
          <w:rFonts w:ascii="Times New Roman" w:hAnsi="Times New Roman"/>
        </w:rPr>
        <w:t xml:space="preserve"> published </w:t>
      </w:r>
      <w:r>
        <w:rPr>
          <w:rFonts w:ascii="Times New Roman" w:hAnsi="Times New Roman"/>
        </w:rPr>
        <w:t>on</w:t>
      </w:r>
      <w:r w:rsidRPr="00804129">
        <w:rPr>
          <w:rFonts w:ascii="Times New Roman" w:hAnsi="Times New Roman"/>
        </w:rPr>
        <w:t xml:space="preserve"> 22 September 2021</w:t>
      </w:r>
      <w:r w:rsidRPr="00804129">
        <w:rPr>
          <w:rFonts w:ascii="Times New Roman" w:hAnsi="Times New Roman"/>
          <w:iCs/>
        </w:rPr>
        <w:t>.</w:t>
      </w:r>
    </w:p>
    <w:p w14:paraId="64E9F706" w14:textId="63213289" w:rsidR="00C24E8C" w:rsidRPr="00F7757F" w:rsidRDefault="00C24E8C" w:rsidP="00C24E8C">
      <w:pPr>
        <w:widowControl w:val="0"/>
        <w:spacing w:after="120"/>
        <w:rPr>
          <w:rFonts w:ascii="Times New Roman" w:hAnsi="Times New Roman"/>
          <w:iCs/>
        </w:rPr>
      </w:pPr>
      <w:r w:rsidRPr="00F7757F">
        <w:rPr>
          <w:rFonts w:ascii="Times New Roman" w:hAnsi="Times New Roman"/>
          <w:iCs/>
        </w:rPr>
        <w:t xml:space="preserve">NextGenerationEU (NGEU) is a </w:t>
      </w:r>
      <w:r w:rsidR="00154B2F">
        <w:rPr>
          <w:rFonts w:ascii="Times New Roman" w:hAnsi="Times New Roman"/>
          <w:iCs/>
        </w:rPr>
        <w:t>EUR</w:t>
      </w:r>
      <w:r>
        <w:rPr>
          <w:rFonts w:ascii="Times New Roman" w:hAnsi="Times New Roman"/>
          <w:iCs/>
        </w:rPr>
        <w:t xml:space="preserve"> 806,9</w:t>
      </w:r>
      <w:r w:rsidRPr="00F7757F">
        <w:rPr>
          <w:rFonts w:ascii="Times New Roman" w:hAnsi="Times New Roman"/>
          <w:iCs/>
        </w:rPr>
        <w:t xml:space="preserve"> billion </w:t>
      </w:r>
      <w:r>
        <w:rPr>
          <w:rFonts w:ascii="Times New Roman" w:hAnsi="Times New Roman"/>
          <w:iCs/>
        </w:rPr>
        <w:t>(</w:t>
      </w:r>
      <w:r w:rsidRPr="00F7757F">
        <w:rPr>
          <w:rFonts w:ascii="Times New Roman" w:hAnsi="Times New Roman"/>
          <w:iCs/>
        </w:rPr>
        <w:t xml:space="preserve">in </w:t>
      </w:r>
      <w:r>
        <w:rPr>
          <w:rFonts w:ascii="Times New Roman" w:hAnsi="Times New Roman"/>
          <w:iCs/>
        </w:rPr>
        <w:t>current</w:t>
      </w:r>
      <w:r w:rsidRPr="00F7757F">
        <w:rPr>
          <w:rFonts w:ascii="Times New Roman" w:hAnsi="Times New Roman"/>
          <w:iCs/>
        </w:rPr>
        <w:t xml:space="preserve"> prices</w:t>
      </w:r>
      <w:r>
        <w:rPr>
          <w:rFonts w:ascii="Times New Roman" w:hAnsi="Times New Roman"/>
          <w:iCs/>
        </w:rPr>
        <w:t xml:space="preserve">) temporary </w:t>
      </w:r>
      <w:r w:rsidRPr="00F7757F">
        <w:rPr>
          <w:rFonts w:ascii="Times New Roman" w:hAnsi="Times New Roman"/>
          <w:iCs/>
        </w:rPr>
        <w:t>instrument to help repair the immediate economic and social damage brought about by the coronavirus pandemic</w:t>
      </w:r>
      <w:r>
        <w:rPr>
          <w:rFonts w:ascii="Times New Roman" w:hAnsi="Times New Roman"/>
          <w:iCs/>
        </w:rPr>
        <w:t xml:space="preserve"> and to emerge stronger from the crisis and transform the economies</w:t>
      </w:r>
      <w:r w:rsidRPr="00F7757F">
        <w:rPr>
          <w:rFonts w:ascii="Times New Roman" w:hAnsi="Times New Roman"/>
          <w:iCs/>
        </w:rPr>
        <w:t xml:space="preserve">. The largest of its share </w:t>
      </w:r>
      <w:r>
        <w:rPr>
          <w:rFonts w:ascii="Times New Roman" w:hAnsi="Times New Roman"/>
          <w:iCs/>
        </w:rPr>
        <w:t>is devoted</w:t>
      </w:r>
      <w:r w:rsidRPr="00F7757F">
        <w:rPr>
          <w:rFonts w:ascii="Times New Roman" w:hAnsi="Times New Roman"/>
          <w:iCs/>
        </w:rPr>
        <w:t xml:space="preserve"> to the Recovery and Resilience Facility (RRF). Having entered into force on 19 February 2021, the Recovery and Resilience Facility will make</w:t>
      </w:r>
      <w:r>
        <w:rPr>
          <w:rFonts w:ascii="Times New Roman" w:hAnsi="Times New Roman"/>
          <w:iCs/>
        </w:rPr>
        <w:t xml:space="preserve"> available</w:t>
      </w:r>
      <w:r w:rsidRPr="00F7757F">
        <w:rPr>
          <w:rFonts w:ascii="Times New Roman" w:hAnsi="Times New Roman"/>
          <w:iCs/>
        </w:rPr>
        <w:t xml:space="preserve"> </w:t>
      </w:r>
      <w:r w:rsidR="00154B2F">
        <w:rPr>
          <w:rFonts w:ascii="Times New Roman" w:hAnsi="Times New Roman"/>
          <w:iCs/>
        </w:rPr>
        <w:t xml:space="preserve">EUR </w:t>
      </w:r>
      <w:r>
        <w:rPr>
          <w:rFonts w:ascii="Times New Roman" w:hAnsi="Times New Roman"/>
          <w:iCs/>
        </w:rPr>
        <w:t>723,8</w:t>
      </w:r>
      <w:r w:rsidRPr="00F7757F">
        <w:rPr>
          <w:rFonts w:ascii="Times New Roman" w:hAnsi="Times New Roman"/>
          <w:iCs/>
        </w:rPr>
        <w:t xml:space="preserve"> billion</w:t>
      </w:r>
      <w:r w:rsidRPr="0060011C">
        <w:t xml:space="preserve"> </w:t>
      </w:r>
      <w:r w:rsidRPr="0060011C">
        <w:rPr>
          <w:rFonts w:ascii="Times New Roman" w:hAnsi="Times New Roman"/>
          <w:iCs/>
        </w:rPr>
        <w:t>non-repayable and loan support</w:t>
      </w:r>
      <w:r w:rsidRPr="00F7757F">
        <w:rPr>
          <w:rFonts w:ascii="Times New Roman" w:hAnsi="Times New Roman"/>
          <w:iCs/>
        </w:rPr>
        <w:t xml:space="preserve"> </w:t>
      </w:r>
      <w:r>
        <w:rPr>
          <w:rFonts w:ascii="Times New Roman" w:hAnsi="Times New Roman"/>
          <w:iCs/>
        </w:rPr>
        <w:t>for</w:t>
      </w:r>
      <w:r w:rsidRPr="00F7757F">
        <w:rPr>
          <w:rFonts w:ascii="Times New Roman" w:hAnsi="Times New Roman"/>
          <w:iCs/>
        </w:rPr>
        <w:t xml:space="preserve"> reforms and investments in Member States</w:t>
      </w:r>
      <w:r>
        <w:rPr>
          <w:rFonts w:ascii="Times New Roman" w:hAnsi="Times New Roman"/>
          <w:iCs/>
        </w:rPr>
        <w:t>.</w:t>
      </w:r>
      <w:r w:rsidRPr="000918E4">
        <w:rPr>
          <w:rFonts w:ascii="Times New Roman" w:hAnsi="Times New Roman"/>
          <w:iCs/>
        </w:rPr>
        <w:t xml:space="preserve"> </w:t>
      </w:r>
      <w:r w:rsidRPr="00F7757F">
        <w:rPr>
          <w:rFonts w:ascii="Times New Roman" w:hAnsi="Times New Roman"/>
          <w:iCs/>
        </w:rPr>
        <w:t xml:space="preserve">This breaks down </w:t>
      </w:r>
      <w:r>
        <w:rPr>
          <w:rFonts w:ascii="Times New Roman" w:hAnsi="Times New Roman"/>
          <w:iCs/>
        </w:rPr>
        <w:t xml:space="preserve">into </w:t>
      </w:r>
      <w:r w:rsidRPr="0060011C">
        <w:rPr>
          <w:rFonts w:ascii="Times New Roman" w:hAnsi="Times New Roman"/>
          <w:iCs/>
        </w:rPr>
        <w:t xml:space="preserve">non-repayable support </w:t>
      </w:r>
      <w:r w:rsidRPr="00F7757F">
        <w:rPr>
          <w:rFonts w:ascii="Times New Roman" w:hAnsi="Times New Roman"/>
          <w:iCs/>
        </w:rPr>
        <w:t xml:space="preserve">worth a total of </w:t>
      </w:r>
      <w:r w:rsidR="00154B2F">
        <w:rPr>
          <w:rFonts w:ascii="Times New Roman" w:hAnsi="Times New Roman"/>
          <w:iCs/>
        </w:rPr>
        <w:t xml:space="preserve">EUR </w:t>
      </w:r>
      <w:r>
        <w:rPr>
          <w:rFonts w:ascii="Times New Roman" w:hAnsi="Times New Roman"/>
          <w:iCs/>
        </w:rPr>
        <w:t>338</w:t>
      </w:r>
      <w:r w:rsidRPr="00F7757F">
        <w:rPr>
          <w:rFonts w:ascii="Times New Roman" w:hAnsi="Times New Roman"/>
          <w:iCs/>
        </w:rPr>
        <w:t xml:space="preserve"> billion and </w:t>
      </w:r>
      <w:r w:rsidR="00154B2F">
        <w:rPr>
          <w:rFonts w:ascii="Times New Roman" w:hAnsi="Times New Roman"/>
          <w:iCs/>
        </w:rPr>
        <w:t xml:space="preserve">EUR </w:t>
      </w:r>
      <w:r w:rsidRPr="00F7757F">
        <w:rPr>
          <w:rFonts w:ascii="Times New Roman" w:hAnsi="Times New Roman"/>
          <w:iCs/>
        </w:rPr>
        <w:t>3</w:t>
      </w:r>
      <w:r>
        <w:rPr>
          <w:rFonts w:ascii="Times New Roman" w:hAnsi="Times New Roman"/>
          <w:iCs/>
        </w:rPr>
        <w:t>85,8</w:t>
      </w:r>
      <w:r w:rsidRPr="00F7757F">
        <w:rPr>
          <w:rFonts w:ascii="Times New Roman" w:hAnsi="Times New Roman"/>
          <w:iCs/>
        </w:rPr>
        <w:t xml:space="preserve"> billion in loans. </w:t>
      </w:r>
      <w:r>
        <w:rPr>
          <w:rFonts w:ascii="Times New Roman" w:hAnsi="Times New Roman"/>
          <w:iCs/>
        </w:rPr>
        <w:t>The RRF</w:t>
      </w:r>
      <w:r w:rsidRPr="00F7757F">
        <w:rPr>
          <w:rFonts w:ascii="Times New Roman" w:hAnsi="Times New Roman"/>
          <w:iCs/>
        </w:rPr>
        <w:t xml:space="preserve"> help</w:t>
      </w:r>
      <w:r>
        <w:rPr>
          <w:rFonts w:ascii="Times New Roman" w:hAnsi="Times New Roman"/>
          <w:iCs/>
        </w:rPr>
        <w:t>s the</w:t>
      </w:r>
      <w:r w:rsidRPr="00F7757F">
        <w:rPr>
          <w:rFonts w:ascii="Times New Roman" w:hAnsi="Times New Roman"/>
          <w:iCs/>
        </w:rPr>
        <w:t xml:space="preserve"> Europe</w:t>
      </w:r>
      <w:r>
        <w:rPr>
          <w:rFonts w:ascii="Times New Roman" w:hAnsi="Times New Roman"/>
          <w:iCs/>
        </w:rPr>
        <w:t>an Union</w:t>
      </w:r>
      <w:r w:rsidRPr="00F7757F">
        <w:rPr>
          <w:rFonts w:ascii="Times New Roman" w:hAnsi="Times New Roman"/>
          <w:iCs/>
        </w:rPr>
        <w:t xml:space="preserve"> recover from the economic and social damage of the crisis, and make EU M</w:t>
      </w:r>
      <w:r>
        <w:rPr>
          <w:rFonts w:ascii="Times New Roman" w:hAnsi="Times New Roman"/>
          <w:iCs/>
        </w:rPr>
        <w:t>ember States’</w:t>
      </w:r>
      <w:r w:rsidRPr="00F7757F">
        <w:rPr>
          <w:rFonts w:ascii="Times New Roman" w:hAnsi="Times New Roman"/>
          <w:iCs/>
        </w:rPr>
        <w:t xml:space="preserve"> economies and societies more sustainable, resilient and better prepared for a green and digital fut</w:t>
      </w:r>
      <w:r w:rsidR="00154B2F">
        <w:rPr>
          <w:rFonts w:ascii="Times New Roman" w:hAnsi="Times New Roman"/>
          <w:iCs/>
        </w:rPr>
        <w:t>ure.</w:t>
      </w:r>
    </w:p>
    <w:p w14:paraId="7EB68D99" w14:textId="427D5DE7" w:rsidR="00C24E8C" w:rsidRDefault="00C24E8C" w:rsidP="00C24E8C">
      <w:pPr>
        <w:widowControl w:val="0"/>
        <w:spacing w:after="120"/>
        <w:rPr>
          <w:rFonts w:ascii="Times New Roman" w:hAnsi="Times New Roman"/>
          <w:iCs/>
        </w:rPr>
      </w:pPr>
      <w:r>
        <w:rPr>
          <w:rFonts w:ascii="Times New Roman" w:hAnsi="Times New Roman"/>
          <w:iCs/>
        </w:rPr>
        <w:t>In line with the</w:t>
      </w:r>
      <w:r w:rsidRPr="00F7757F">
        <w:rPr>
          <w:rFonts w:ascii="Times New Roman" w:hAnsi="Times New Roman"/>
          <w:iCs/>
        </w:rPr>
        <w:t xml:space="preserve"> Regulation </w:t>
      </w:r>
      <w:r>
        <w:rPr>
          <w:rFonts w:ascii="Times New Roman" w:hAnsi="Times New Roman"/>
          <w:iCs/>
        </w:rPr>
        <w:t xml:space="preserve">establishing the RRF </w:t>
      </w:r>
      <w:r w:rsidRPr="00F7757F">
        <w:rPr>
          <w:rFonts w:ascii="Times New Roman" w:hAnsi="Times New Roman"/>
          <w:iCs/>
        </w:rPr>
        <w:t xml:space="preserve">(Regulation (EU) 2021/241), </w:t>
      </w:r>
      <w:r w:rsidR="005A2CD2">
        <w:rPr>
          <w:rFonts w:ascii="Times New Roman" w:hAnsi="Times New Roman"/>
          <w:iCs/>
        </w:rPr>
        <w:t xml:space="preserve">the </w:t>
      </w:r>
      <w:r w:rsidRPr="00F7757F">
        <w:rPr>
          <w:rFonts w:ascii="Times New Roman" w:hAnsi="Times New Roman"/>
          <w:iCs/>
        </w:rPr>
        <w:t>Member States have to submit their recovery and resilience plans to the European Commission. The reforms and investments included in these plans should be implemented by 2026</w:t>
      </w:r>
      <w:r w:rsidR="00F35502">
        <w:rPr>
          <w:rFonts w:ascii="Times New Roman" w:hAnsi="Times New Roman"/>
          <w:iCs/>
        </w:rPr>
        <w:t xml:space="preserve"> and should address a significant subset of relevant country specific recommendations issued by the Council in 2019 and 2020</w:t>
      </w:r>
      <w:r w:rsidRPr="00F7757F">
        <w:rPr>
          <w:rFonts w:ascii="Times New Roman" w:hAnsi="Times New Roman"/>
          <w:iCs/>
        </w:rPr>
        <w:t xml:space="preserve">. </w:t>
      </w:r>
      <w:r w:rsidR="005A2CD2">
        <w:rPr>
          <w:rFonts w:ascii="Times New Roman" w:hAnsi="Times New Roman"/>
          <w:iCs/>
        </w:rPr>
        <w:t xml:space="preserve">The </w:t>
      </w:r>
      <w:r w:rsidRPr="00F7757F">
        <w:rPr>
          <w:rFonts w:ascii="Times New Roman" w:hAnsi="Times New Roman"/>
          <w:iCs/>
        </w:rPr>
        <w:t xml:space="preserve">Member States are required </w:t>
      </w:r>
      <w:r>
        <w:rPr>
          <w:rFonts w:ascii="Times New Roman" w:hAnsi="Times New Roman"/>
          <w:iCs/>
        </w:rPr>
        <w:t>to dedicate at least</w:t>
      </w:r>
      <w:r w:rsidRPr="00F7757F">
        <w:rPr>
          <w:rFonts w:ascii="Times New Roman" w:hAnsi="Times New Roman"/>
          <w:iCs/>
        </w:rPr>
        <w:t xml:space="preserve"> 37% of the </w:t>
      </w:r>
      <w:r>
        <w:rPr>
          <w:rFonts w:ascii="Times New Roman" w:hAnsi="Times New Roman"/>
          <w:iCs/>
        </w:rPr>
        <w:t>costs of</w:t>
      </w:r>
      <w:r w:rsidRPr="00F7757F">
        <w:rPr>
          <w:rFonts w:ascii="Times New Roman" w:hAnsi="Times New Roman"/>
          <w:iCs/>
        </w:rPr>
        <w:t xml:space="preserve"> their recovery and resilience plans to investments and reforms directed to climate objectives and a minimum of 20% </w:t>
      </w:r>
      <w:r>
        <w:rPr>
          <w:rFonts w:ascii="Times New Roman" w:hAnsi="Times New Roman"/>
          <w:iCs/>
        </w:rPr>
        <w:t>to</w:t>
      </w:r>
      <w:r w:rsidRPr="00F7757F">
        <w:rPr>
          <w:rFonts w:ascii="Times New Roman" w:hAnsi="Times New Roman"/>
          <w:iCs/>
        </w:rPr>
        <w:t xml:space="preserve"> the digital transition. To date, the Commission has officially received </w:t>
      </w:r>
      <w:r w:rsidRPr="00542AF9">
        <w:rPr>
          <w:rFonts w:ascii="Times New Roman" w:hAnsi="Times New Roman"/>
        </w:rPr>
        <w:t>25</w:t>
      </w:r>
      <w:r w:rsidRPr="00F7757F">
        <w:rPr>
          <w:rFonts w:ascii="Times New Roman" w:hAnsi="Times New Roman"/>
          <w:iCs/>
        </w:rPr>
        <w:t xml:space="preserve"> recovery and resilience plans. </w:t>
      </w:r>
      <w:r>
        <w:rPr>
          <w:rFonts w:ascii="Times New Roman" w:hAnsi="Times New Roman"/>
          <w:iCs/>
        </w:rPr>
        <w:t>Work</w:t>
      </w:r>
      <w:r w:rsidRPr="00F7757F">
        <w:rPr>
          <w:rFonts w:ascii="Times New Roman" w:hAnsi="Times New Roman"/>
          <w:iCs/>
        </w:rPr>
        <w:t xml:space="preserve"> on </w:t>
      </w:r>
      <w:r>
        <w:rPr>
          <w:rFonts w:ascii="Times New Roman" w:hAnsi="Times New Roman"/>
          <w:iCs/>
        </w:rPr>
        <w:t>the national plans</w:t>
      </w:r>
      <w:r w:rsidRPr="00F7757F">
        <w:rPr>
          <w:rFonts w:ascii="Times New Roman" w:hAnsi="Times New Roman"/>
          <w:iCs/>
        </w:rPr>
        <w:t xml:space="preserve"> still to be submitted continues and discussions are ongo</w:t>
      </w:r>
      <w:r>
        <w:rPr>
          <w:rFonts w:ascii="Times New Roman" w:hAnsi="Times New Roman"/>
          <w:iCs/>
        </w:rPr>
        <w:t xml:space="preserve">ing. </w:t>
      </w:r>
      <w:r w:rsidRPr="00F7757F">
        <w:rPr>
          <w:rFonts w:ascii="Times New Roman" w:hAnsi="Times New Roman"/>
          <w:iCs/>
        </w:rPr>
        <w:t xml:space="preserve">After a thorough assessment, the Commission has tabled proposals for </w:t>
      </w:r>
      <w:r w:rsidRPr="0060011C">
        <w:rPr>
          <w:rFonts w:ascii="Times New Roman" w:hAnsi="Times New Roman"/>
          <w:iCs/>
        </w:rPr>
        <w:t xml:space="preserve">a positive assessment of </w:t>
      </w:r>
      <w:r w:rsidR="00F24A39">
        <w:rPr>
          <w:rFonts w:ascii="Times New Roman" w:hAnsi="Times New Roman"/>
          <w:iCs/>
        </w:rPr>
        <w:t>20</w:t>
      </w:r>
      <w:r w:rsidRPr="00F7757F">
        <w:rPr>
          <w:rFonts w:ascii="Times New Roman" w:hAnsi="Times New Roman"/>
          <w:iCs/>
        </w:rPr>
        <w:t xml:space="preserve"> plans to the Council for adoption. As per Article 20 of the RRF Regulation, the Council has, as a rule, four weeks to adopt the </w:t>
      </w:r>
      <w:r>
        <w:rPr>
          <w:rFonts w:ascii="Times New Roman" w:hAnsi="Times New Roman"/>
          <w:iCs/>
        </w:rPr>
        <w:t>decision</w:t>
      </w:r>
      <w:r w:rsidRPr="00F7757F">
        <w:rPr>
          <w:rFonts w:ascii="Times New Roman" w:hAnsi="Times New Roman"/>
          <w:iCs/>
        </w:rPr>
        <w:t xml:space="preserve"> for the approval </w:t>
      </w:r>
      <w:r>
        <w:rPr>
          <w:rFonts w:ascii="Times New Roman" w:hAnsi="Times New Roman"/>
          <w:iCs/>
        </w:rPr>
        <w:t xml:space="preserve">of the </w:t>
      </w:r>
      <w:r w:rsidRPr="0060011C">
        <w:rPr>
          <w:rFonts w:ascii="Times New Roman" w:hAnsi="Times New Roman"/>
          <w:iCs/>
        </w:rPr>
        <w:t xml:space="preserve">positive assessment of </w:t>
      </w:r>
      <w:r w:rsidRPr="00F7757F">
        <w:rPr>
          <w:rFonts w:ascii="Times New Roman" w:hAnsi="Times New Roman"/>
          <w:iCs/>
        </w:rPr>
        <w:t>the plans. To date, th</w:t>
      </w:r>
      <w:r>
        <w:rPr>
          <w:rFonts w:ascii="Times New Roman" w:hAnsi="Times New Roman"/>
          <w:iCs/>
        </w:rPr>
        <w:t xml:space="preserve">e Council has already approved </w:t>
      </w:r>
      <w:r w:rsidRPr="00542AF9">
        <w:rPr>
          <w:rFonts w:ascii="Times New Roman" w:hAnsi="Times New Roman"/>
          <w:iCs/>
        </w:rPr>
        <w:t>18</w:t>
      </w:r>
      <w:r w:rsidRPr="00F7757F">
        <w:rPr>
          <w:rFonts w:ascii="Times New Roman" w:hAnsi="Times New Roman"/>
          <w:iCs/>
        </w:rPr>
        <w:t xml:space="preserve"> nationa</w:t>
      </w:r>
      <w:r>
        <w:rPr>
          <w:rFonts w:ascii="Times New Roman" w:hAnsi="Times New Roman"/>
          <w:iCs/>
        </w:rPr>
        <w:t xml:space="preserve">l recovery and resilience plans, and the Commission has executed first disbursements of pre-financing to </w:t>
      </w:r>
      <w:r w:rsidRPr="001D256D">
        <w:rPr>
          <w:rFonts w:ascii="Times New Roman" w:hAnsi="Times New Roman"/>
          <w:iCs/>
        </w:rPr>
        <w:t>most of</w:t>
      </w:r>
      <w:r>
        <w:rPr>
          <w:rFonts w:ascii="Times New Roman" w:hAnsi="Times New Roman"/>
          <w:iCs/>
        </w:rPr>
        <w:t xml:space="preserve"> these 18 Member States.</w:t>
      </w:r>
    </w:p>
    <w:p w14:paraId="3C63206A" w14:textId="77777777" w:rsidR="00C24E8C" w:rsidRPr="005D50F0" w:rsidRDefault="00C24E8C" w:rsidP="00C24E8C">
      <w:pPr>
        <w:widowControl w:val="0"/>
        <w:spacing w:after="120"/>
        <w:rPr>
          <w:rFonts w:ascii="Times New Roman" w:hAnsi="Times New Roman"/>
          <w:iCs/>
        </w:rPr>
      </w:pPr>
      <w:r w:rsidRPr="005D50F0">
        <w:rPr>
          <w:rFonts w:ascii="Times New Roman" w:hAnsi="Times New Roman"/>
          <w:iCs/>
        </w:rPr>
        <w:t xml:space="preserve">The Commission agrees that </w:t>
      </w:r>
      <w:r>
        <w:rPr>
          <w:rFonts w:ascii="Times New Roman" w:hAnsi="Times New Roman"/>
          <w:iCs/>
        </w:rPr>
        <w:t xml:space="preserve">it </w:t>
      </w:r>
      <w:r w:rsidRPr="005D50F0">
        <w:rPr>
          <w:rFonts w:ascii="Times New Roman" w:hAnsi="Times New Roman"/>
          <w:iCs/>
        </w:rPr>
        <w:t>is important to have transparency about the repayment of NextGenerationEU and SURE bonds.</w:t>
      </w:r>
    </w:p>
    <w:p w14:paraId="41DF69D6" w14:textId="5921B96A" w:rsidR="00C24E8C" w:rsidRPr="005D50F0" w:rsidRDefault="00C24E8C" w:rsidP="00C24E8C">
      <w:pPr>
        <w:widowControl w:val="0"/>
        <w:spacing w:after="120"/>
        <w:rPr>
          <w:rFonts w:ascii="Times New Roman" w:hAnsi="Times New Roman"/>
          <w:iCs/>
        </w:rPr>
      </w:pPr>
      <w:r w:rsidRPr="005D50F0">
        <w:rPr>
          <w:rFonts w:ascii="Times New Roman" w:hAnsi="Times New Roman"/>
          <w:iCs/>
        </w:rPr>
        <w:t xml:space="preserve">Repayments of the Union’s borrowing under NextGenerationEU and SURE will be done by Member States benefitting from RRF and SURE loans and by the </w:t>
      </w:r>
      <w:r>
        <w:rPr>
          <w:rFonts w:ascii="Times New Roman" w:hAnsi="Times New Roman"/>
          <w:iCs/>
        </w:rPr>
        <w:t xml:space="preserve">Union </w:t>
      </w:r>
      <w:r w:rsidRPr="005D50F0">
        <w:rPr>
          <w:rFonts w:ascii="Times New Roman" w:hAnsi="Times New Roman"/>
          <w:iCs/>
        </w:rPr>
        <w:t>budget for the NextGene</w:t>
      </w:r>
      <w:r w:rsidR="005A2CD2">
        <w:rPr>
          <w:rFonts w:ascii="Times New Roman" w:hAnsi="Times New Roman"/>
          <w:iCs/>
        </w:rPr>
        <w:t>rationEU non-repayable support.</w:t>
      </w:r>
    </w:p>
    <w:p w14:paraId="32EBFCBA" w14:textId="45B77709" w:rsidR="00C24E8C" w:rsidRPr="005D50F0" w:rsidRDefault="00C24E8C" w:rsidP="00C24E8C">
      <w:pPr>
        <w:widowControl w:val="0"/>
        <w:spacing w:after="120"/>
        <w:rPr>
          <w:rFonts w:ascii="Times New Roman" w:hAnsi="Times New Roman"/>
          <w:iCs/>
        </w:rPr>
      </w:pPr>
      <w:r w:rsidRPr="005D50F0">
        <w:rPr>
          <w:rFonts w:ascii="Times New Roman" w:hAnsi="Times New Roman"/>
          <w:iCs/>
        </w:rPr>
        <w:t>The schedule for RRF and SURE loan repayments will be set out in the relevant loan agreement between the Commission and the beneficiary Member State. This schedule will follow a harmonised approach across all Member States requesting a loan. The amounts of loan repayments per Member State will depend on the amount requested and the date when the Member St</w:t>
      </w:r>
      <w:r w:rsidR="00154B2F">
        <w:rPr>
          <w:rFonts w:ascii="Times New Roman" w:hAnsi="Times New Roman"/>
          <w:iCs/>
        </w:rPr>
        <w:t>ate requests the disbursements.</w:t>
      </w:r>
    </w:p>
    <w:p w14:paraId="224B3813" w14:textId="013AF6D8" w:rsidR="0042072C" w:rsidRDefault="00C24E8C" w:rsidP="00C24E8C">
      <w:pPr>
        <w:widowControl w:val="0"/>
        <w:spacing w:after="120"/>
        <w:rPr>
          <w:rFonts w:ascii="Times New Roman" w:hAnsi="Times New Roman"/>
          <w:iCs/>
        </w:rPr>
      </w:pPr>
      <w:r w:rsidRPr="005D50F0">
        <w:rPr>
          <w:rFonts w:ascii="Times New Roman" w:hAnsi="Times New Roman"/>
          <w:iCs/>
        </w:rPr>
        <w:t>The repayments of the Union budget for NextGenerationEU non-repayable support will be determined by the budgetary appropriations made available in the context of future M</w:t>
      </w:r>
      <w:r w:rsidR="005A2CD2">
        <w:rPr>
          <w:rFonts w:ascii="Times New Roman" w:hAnsi="Times New Roman"/>
          <w:iCs/>
        </w:rPr>
        <w:t xml:space="preserve">ultiannual </w:t>
      </w:r>
      <w:r w:rsidRPr="005D50F0">
        <w:rPr>
          <w:rFonts w:ascii="Times New Roman" w:hAnsi="Times New Roman"/>
          <w:iCs/>
        </w:rPr>
        <w:t>F</w:t>
      </w:r>
      <w:r w:rsidR="005A2CD2">
        <w:rPr>
          <w:rFonts w:ascii="Times New Roman" w:hAnsi="Times New Roman"/>
          <w:iCs/>
        </w:rPr>
        <w:t xml:space="preserve">inancial </w:t>
      </w:r>
      <w:r w:rsidRPr="005D50F0">
        <w:rPr>
          <w:rFonts w:ascii="Times New Roman" w:hAnsi="Times New Roman"/>
          <w:iCs/>
        </w:rPr>
        <w:t>F</w:t>
      </w:r>
      <w:r w:rsidR="005A2CD2">
        <w:rPr>
          <w:rFonts w:ascii="Times New Roman" w:hAnsi="Times New Roman"/>
          <w:iCs/>
        </w:rPr>
        <w:t>ramework</w:t>
      </w:r>
      <w:r w:rsidRPr="005D50F0">
        <w:rPr>
          <w:rFonts w:ascii="Times New Roman" w:hAnsi="Times New Roman"/>
          <w:iCs/>
        </w:rPr>
        <w:t>s and the annual budgetary procedures. Without prejudice to the decision by the budgetary authority, the Commission assumes in its maturity planning that these repayments would be a</w:t>
      </w:r>
      <w:r w:rsidR="00154B2F">
        <w:rPr>
          <w:rFonts w:ascii="Times New Roman" w:hAnsi="Times New Roman"/>
          <w:iCs/>
        </w:rPr>
        <w:t>round EUR 15 billion per year.</w:t>
      </w:r>
    </w:p>
    <w:p w14:paraId="4E1C7291" w14:textId="77777777" w:rsidR="0042072C" w:rsidRDefault="0042072C">
      <w:pPr>
        <w:spacing w:after="200" w:line="276" w:lineRule="auto"/>
        <w:jc w:val="left"/>
        <w:rPr>
          <w:rFonts w:ascii="Times New Roman" w:hAnsi="Times New Roman"/>
          <w:iCs/>
        </w:rPr>
      </w:pPr>
      <w:r>
        <w:rPr>
          <w:rFonts w:ascii="Times New Roman" w:hAnsi="Times New Roman"/>
          <w:iCs/>
        </w:rPr>
        <w:br w:type="page"/>
      </w:r>
    </w:p>
    <w:p w14:paraId="3AB2F5D6" w14:textId="77777777" w:rsidR="00C24E8C" w:rsidRPr="005D50F0" w:rsidRDefault="00C24E8C" w:rsidP="00C24E8C">
      <w:pPr>
        <w:widowControl w:val="0"/>
        <w:spacing w:after="120"/>
        <w:rPr>
          <w:rFonts w:ascii="Times New Roman" w:hAnsi="Times New Roman"/>
          <w:iCs/>
        </w:rPr>
      </w:pPr>
      <w:r w:rsidRPr="005D50F0">
        <w:rPr>
          <w:rFonts w:ascii="Times New Roman" w:hAnsi="Times New Roman"/>
          <w:iCs/>
        </w:rPr>
        <w:lastRenderedPageBreak/>
        <w:t xml:space="preserve">The NextGenerationEU repayment streams will enable the Commission to target a maturity profile of the bonds issued under NGEU in line with a predictable and nearly linear decline in financial liabilities. For SURE, the maturity profile is fully aligned with the corresponding loan repayments (back-to-back principle) and the annual ceiling of EUR 10 billion maximum repayments per year as </w:t>
      </w:r>
      <w:r>
        <w:rPr>
          <w:rFonts w:ascii="Times New Roman" w:hAnsi="Times New Roman"/>
          <w:iCs/>
        </w:rPr>
        <w:t xml:space="preserve">set out in the SURE Regulation </w:t>
      </w:r>
      <w:r w:rsidRPr="008D5FF4">
        <w:rPr>
          <w:rFonts w:ascii="Times New Roman" w:hAnsi="Times New Roman"/>
          <w:b/>
          <w:iCs/>
        </w:rPr>
        <w:t>(paragraph 48)</w:t>
      </w:r>
      <w:r w:rsidRPr="00154B2F">
        <w:rPr>
          <w:rFonts w:ascii="Times New Roman" w:hAnsi="Times New Roman"/>
          <w:iCs/>
        </w:rPr>
        <w:t>.</w:t>
      </w:r>
    </w:p>
    <w:p w14:paraId="7E8DF0C6" w14:textId="77777777" w:rsidR="00C24E8C" w:rsidRPr="0011713E" w:rsidRDefault="00C24E8C" w:rsidP="007B5D7F">
      <w:pPr>
        <w:keepNext/>
        <w:keepLines/>
        <w:spacing w:after="120"/>
        <w:rPr>
          <w:rFonts w:ascii="Times New Roman" w:hAnsi="Times New Roman"/>
          <w:b/>
          <w:i/>
          <w:iCs/>
        </w:rPr>
      </w:pPr>
      <w:r w:rsidRPr="0011713E">
        <w:rPr>
          <w:rFonts w:ascii="Times New Roman" w:hAnsi="Times New Roman"/>
          <w:b/>
          <w:i/>
          <w:iCs/>
        </w:rPr>
        <w:t>Surveillance of macroeconomic imbalances</w:t>
      </w:r>
    </w:p>
    <w:p w14:paraId="265ADA8F" w14:textId="40D7D5DF" w:rsidR="00C24E8C" w:rsidRPr="00651BCB" w:rsidRDefault="00C24E8C" w:rsidP="007B5D7F">
      <w:pPr>
        <w:keepNext/>
        <w:keepLines/>
        <w:spacing w:after="120"/>
        <w:rPr>
          <w:rFonts w:ascii="Times New Roman" w:hAnsi="Times New Roman"/>
          <w:bCs/>
          <w:iCs/>
          <w:strike/>
          <w:lang w:val="en-US"/>
        </w:rPr>
      </w:pPr>
      <w:r w:rsidRPr="0081737B">
        <w:rPr>
          <w:rFonts w:ascii="Times New Roman" w:hAnsi="Times New Roman"/>
          <w:bCs/>
          <w:iCs/>
          <w:lang w:val="en-US"/>
        </w:rPr>
        <w:t xml:space="preserve">The Commission concurs that the potential of the MIP can be </w:t>
      </w:r>
      <w:r>
        <w:rPr>
          <w:rFonts w:ascii="Times New Roman" w:hAnsi="Times New Roman"/>
          <w:bCs/>
          <w:iCs/>
          <w:lang w:val="en-US"/>
        </w:rPr>
        <w:t>further</w:t>
      </w:r>
      <w:r w:rsidRPr="0081737B">
        <w:rPr>
          <w:rFonts w:ascii="Times New Roman" w:hAnsi="Times New Roman"/>
          <w:bCs/>
          <w:iCs/>
          <w:lang w:val="en-US"/>
        </w:rPr>
        <w:t xml:space="preserve"> exploited, to sustain reform momentum to address and prevent risks to macroeconomic stability of the Member States, the euro area or the EU. The Commission also concurs that </w:t>
      </w:r>
      <w:r>
        <w:rPr>
          <w:rFonts w:ascii="Times New Roman" w:hAnsi="Times New Roman"/>
          <w:bCs/>
          <w:iCs/>
          <w:lang w:val="en-US"/>
        </w:rPr>
        <w:t xml:space="preserve">the MIP </w:t>
      </w:r>
      <w:r w:rsidRPr="0081737B">
        <w:rPr>
          <w:rFonts w:ascii="Times New Roman" w:hAnsi="Times New Roman"/>
          <w:bCs/>
          <w:iCs/>
          <w:lang w:val="en-US"/>
        </w:rPr>
        <w:t>scoreboard used for surveillance purposes should be focused. The Commission believes that the MIP scoreboard has</w:t>
      </w:r>
      <w:r>
        <w:rPr>
          <w:rFonts w:ascii="Times New Roman" w:hAnsi="Times New Roman"/>
          <w:bCs/>
          <w:iCs/>
          <w:lang w:val="en-US"/>
        </w:rPr>
        <w:t xml:space="preserve"> </w:t>
      </w:r>
      <w:r w:rsidRPr="0081737B">
        <w:rPr>
          <w:rFonts w:ascii="Times New Roman" w:hAnsi="Times New Roman"/>
          <w:bCs/>
          <w:iCs/>
          <w:lang w:val="en-US"/>
        </w:rPr>
        <w:t>perform</w:t>
      </w:r>
      <w:r>
        <w:rPr>
          <w:rFonts w:ascii="Times New Roman" w:hAnsi="Times New Roman"/>
          <w:bCs/>
          <w:iCs/>
          <w:lang w:val="en-US"/>
        </w:rPr>
        <w:t>ed</w:t>
      </w:r>
      <w:r w:rsidRPr="0081737B">
        <w:rPr>
          <w:rFonts w:ascii="Times New Roman" w:hAnsi="Times New Roman"/>
          <w:bCs/>
          <w:iCs/>
          <w:lang w:val="en-US"/>
        </w:rPr>
        <w:t xml:space="preserve"> satisfactorily in</w:t>
      </w:r>
      <w:r>
        <w:rPr>
          <w:rFonts w:ascii="Times New Roman" w:hAnsi="Times New Roman"/>
          <w:bCs/>
          <w:iCs/>
          <w:lang w:val="en-US"/>
        </w:rPr>
        <w:t xml:space="preserve"> capturing macroeconomic risks and stresses </w:t>
      </w:r>
      <w:r w:rsidRPr="0081737B">
        <w:rPr>
          <w:rFonts w:ascii="Times New Roman" w:hAnsi="Times New Roman"/>
          <w:bCs/>
          <w:iCs/>
          <w:lang w:val="en-US"/>
        </w:rPr>
        <w:t xml:space="preserve">that </w:t>
      </w:r>
      <w:r>
        <w:rPr>
          <w:rFonts w:ascii="Times New Roman" w:hAnsi="Times New Roman"/>
          <w:bCs/>
          <w:iCs/>
          <w:lang w:val="en-US"/>
        </w:rPr>
        <w:t>it</w:t>
      </w:r>
      <w:r w:rsidRPr="0081737B">
        <w:rPr>
          <w:rFonts w:ascii="Times New Roman" w:hAnsi="Times New Roman"/>
          <w:bCs/>
          <w:iCs/>
          <w:lang w:val="en-US"/>
        </w:rPr>
        <w:t xml:space="preserve"> has been fine-tuned over time as p</w:t>
      </w:r>
      <w:r w:rsidR="005A2CD2">
        <w:rPr>
          <w:rFonts w:ascii="Times New Roman" w:hAnsi="Times New Roman"/>
          <w:bCs/>
          <w:iCs/>
          <w:lang w:val="en-US"/>
        </w:rPr>
        <w:t>er the r</w:t>
      </w:r>
      <w:r w:rsidR="00154B2F">
        <w:rPr>
          <w:rFonts w:ascii="Times New Roman" w:hAnsi="Times New Roman"/>
          <w:bCs/>
          <w:iCs/>
          <w:lang w:val="en-US"/>
        </w:rPr>
        <w:t>egulation requirements.</w:t>
      </w:r>
    </w:p>
    <w:p w14:paraId="067F78E5" w14:textId="77777777" w:rsidR="00C24E8C" w:rsidRDefault="00C24E8C" w:rsidP="00C24E8C">
      <w:pPr>
        <w:widowControl w:val="0"/>
        <w:spacing w:after="120"/>
        <w:rPr>
          <w:rFonts w:ascii="Times New Roman" w:hAnsi="Times New Roman"/>
          <w:bCs/>
          <w:iCs/>
          <w:lang w:val="en-US"/>
        </w:rPr>
      </w:pPr>
      <w:r w:rsidRPr="0081737B">
        <w:rPr>
          <w:rFonts w:ascii="Times New Roman" w:hAnsi="Times New Roman"/>
          <w:bCs/>
          <w:iCs/>
          <w:lang w:val="en-US"/>
        </w:rPr>
        <w:t xml:space="preserve">The Commission also strives to make all the indicators and thresholds it uses, notably those in the MIP, transparent and based on high quality statistics, and efforts towards this will continue. It stresses that the </w:t>
      </w:r>
      <w:r>
        <w:rPr>
          <w:rFonts w:ascii="Times New Roman" w:hAnsi="Times New Roman"/>
          <w:bCs/>
          <w:iCs/>
          <w:lang w:val="en-US"/>
        </w:rPr>
        <w:t xml:space="preserve">MIP </w:t>
      </w:r>
      <w:r w:rsidRPr="0081737B">
        <w:rPr>
          <w:rFonts w:ascii="Times New Roman" w:hAnsi="Times New Roman"/>
          <w:bCs/>
          <w:iCs/>
          <w:lang w:val="en-US"/>
        </w:rPr>
        <w:t>scoreboard is to be used as a tool to facilitate early identification and monitoring of imbalances by being subject to an economic reading in the Alert Mechanism Report, and that the i</w:t>
      </w:r>
      <w:r>
        <w:rPr>
          <w:rFonts w:ascii="Times New Roman" w:hAnsi="Times New Roman"/>
          <w:bCs/>
          <w:iCs/>
          <w:lang w:val="en-US"/>
        </w:rPr>
        <w:t>nterpretation of the scoreboard</w:t>
      </w:r>
      <w:r w:rsidRPr="0081737B">
        <w:rPr>
          <w:rFonts w:ascii="Times New Roman" w:hAnsi="Times New Roman"/>
          <w:bCs/>
          <w:iCs/>
          <w:lang w:val="en-US"/>
        </w:rPr>
        <w:t xml:space="preserve"> and its indicators is not a mechanistic exercise</w:t>
      </w:r>
      <w:r>
        <w:rPr>
          <w:rFonts w:ascii="Times New Roman" w:hAnsi="Times New Roman"/>
          <w:bCs/>
          <w:iCs/>
          <w:lang w:val="en-US"/>
        </w:rPr>
        <w:t xml:space="preserve"> </w:t>
      </w:r>
      <w:r w:rsidRPr="00A15D6B">
        <w:rPr>
          <w:rFonts w:ascii="Times New Roman" w:hAnsi="Times New Roman"/>
          <w:b/>
          <w:bCs/>
          <w:iCs/>
          <w:lang w:val="en-US"/>
        </w:rPr>
        <w:t>(paragraph 50)</w:t>
      </w:r>
      <w:r w:rsidRPr="00154B2F">
        <w:rPr>
          <w:rFonts w:ascii="Times New Roman" w:hAnsi="Times New Roman"/>
          <w:bCs/>
          <w:iCs/>
          <w:lang w:val="en-US"/>
        </w:rPr>
        <w:t>.</w:t>
      </w:r>
    </w:p>
    <w:p w14:paraId="634D8D9B" w14:textId="77777777" w:rsidR="00C24E8C" w:rsidRPr="00A15D6B" w:rsidRDefault="00C24E8C" w:rsidP="00C24E8C">
      <w:pPr>
        <w:widowControl w:val="0"/>
        <w:spacing w:after="120"/>
        <w:rPr>
          <w:rFonts w:ascii="Times New Roman" w:hAnsi="Times New Roman"/>
          <w:b/>
          <w:bCs/>
          <w:i/>
          <w:iCs/>
          <w:lang w:val="en-US"/>
        </w:rPr>
      </w:pPr>
      <w:r w:rsidRPr="00A15D6B">
        <w:rPr>
          <w:rFonts w:ascii="Times New Roman" w:hAnsi="Times New Roman"/>
          <w:b/>
          <w:bCs/>
          <w:i/>
          <w:iCs/>
          <w:lang w:val="en-US"/>
        </w:rPr>
        <w:t>Governance</w:t>
      </w:r>
    </w:p>
    <w:p w14:paraId="313E57CA" w14:textId="7BEAF642" w:rsidR="00C24E8C" w:rsidRDefault="00F35502" w:rsidP="00C24E8C">
      <w:pPr>
        <w:widowControl w:val="0"/>
        <w:spacing w:after="120"/>
        <w:rPr>
          <w:rFonts w:ascii="Times New Roman" w:hAnsi="Times New Roman"/>
          <w:iCs/>
        </w:rPr>
      </w:pPr>
      <w:r>
        <w:rPr>
          <w:rFonts w:ascii="Times New Roman" w:hAnsi="Times New Roman"/>
          <w:iCs/>
        </w:rPr>
        <w:t>T</w:t>
      </w:r>
      <w:r w:rsidRPr="00933CE1">
        <w:rPr>
          <w:rFonts w:ascii="Times New Roman" w:hAnsi="Times New Roman"/>
          <w:iCs/>
        </w:rPr>
        <w:t>he</w:t>
      </w:r>
      <w:r>
        <w:rPr>
          <w:rFonts w:ascii="Times New Roman" w:hAnsi="Times New Roman"/>
          <w:iCs/>
        </w:rPr>
        <w:t xml:space="preserve"> upcoming EU economic governance</w:t>
      </w:r>
      <w:r w:rsidRPr="00933CE1">
        <w:rPr>
          <w:rFonts w:ascii="Times New Roman" w:hAnsi="Times New Roman"/>
          <w:iCs/>
        </w:rPr>
        <w:t xml:space="preserve"> </w:t>
      </w:r>
      <w:r>
        <w:rPr>
          <w:rFonts w:ascii="Times New Roman" w:hAnsi="Times New Roman"/>
          <w:iCs/>
        </w:rPr>
        <w:t xml:space="preserve">review will take into account </w:t>
      </w:r>
      <w:r w:rsidRPr="00933CE1">
        <w:rPr>
          <w:rFonts w:ascii="Times New Roman" w:hAnsi="Times New Roman"/>
          <w:iCs/>
        </w:rPr>
        <w:t>environmental objectives in accordance with the EU’s climate, environmental and sustainable development commitments</w:t>
      </w:r>
      <w:r>
        <w:rPr>
          <w:rFonts w:ascii="Times New Roman" w:hAnsi="Times New Roman"/>
          <w:iCs/>
        </w:rPr>
        <w:t>.</w:t>
      </w:r>
      <w:r w:rsidRPr="00933CE1">
        <w:rPr>
          <w:rFonts w:ascii="Times New Roman" w:hAnsi="Times New Roman"/>
          <w:iCs/>
        </w:rPr>
        <w:t xml:space="preserve"> </w:t>
      </w:r>
      <w:r w:rsidR="00C24E8C" w:rsidRPr="00933CE1">
        <w:rPr>
          <w:rFonts w:ascii="Times New Roman" w:hAnsi="Times New Roman"/>
          <w:iCs/>
        </w:rPr>
        <w:t>The implementation of the European Pillar of Social Rights</w:t>
      </w:r>
      <w:r w:rsidR="00C24E8C">
        <w:rPr>
          <w:rFonts w:ascii="Times New Roman" w:hAnsi="Times New Roman"/>
          <w:iCs/>
        </w:rPr>
        <w:t xml:space="preserve"> </w:t>
      </w:r>
      <w:r w:rsidR="00C24E8C" w:rsidRPr="008262E9">
        <w:rPr>
          <w:rFonts w:ascii="Times New Roman" w:hAnsi="Times New Roman"/>
          <w:iCs/>
        </w:rPr>
        <w:t>and the 2030 headline targets on employmen</w:t>
      </w:r>
      <w:r w:rsidR="00C24E8C">
        <w:rPr>
          <w:rFonts w:ascii="Times New Roman" w:hAnsi="Times New Roman"/>
          <w:iCs/>
        </w:rPr>
        <w:t xml:space="preserve">t, skills and poverty reduction, </w:t>
      </w:r>
      <w:r>
        <w:rPr>
          <w:rFonts w:ascii="Times New Roman" w:hAnsi="Times New Roman"/>
          <w:iCs/>
        </w:rPr>
        <w:t xml:space="preserve">are part of the European Semester process and will also be duly </w:t>
      </w:r>
      <w:r w:rsidRPr="00933CE1">
        <w:rPr>
          <w:rFonts w:ascii="Times New Roman" w:hAnsi="Times New Roman"/>
          <w:iCs/>
        </w:rPr>
        <w:t xml:space="preserve">taken into account </w:t>
      </w:r>
      <w:r>
        <w:rPr>
          <w:rFonts w:ascii="Times New Roman" w:hAnsi="Times New Roman"/>
          <w:iCs/>
        </w:rPr>
        <w:t xml:space="preserve">by the Commission </w:t>
      </w:r>
      <w:r w:rsidRPr="00933CE1">
        <w:rPr>
          <w:rFonts w:ascii="Times New Roman" w:hAnsi="Times New Roman"/>
          <w:iCs/>
        </w:rPr>
        <w:t xml:space="preserve">in </w:t>
      </w:r>
      <w:r>
        <w:rPr>
          <w:rFonts w:ascii="Times New Roman" w:hAnsi="Times New Roman"/>
          <w:iCs/>
        </w:rPr>
        <w:t>its review of the framework.</w:t>
      </w:r>
    </w:p>
    <w:p w14:paraId="3FBAAA1D" w14:textId="4C7D5D83" w:rsidR="00C24E8C" w:rsidRPr="0052166F" w:rsidRDefault="00C24E8C" w:rsidP="00C24E8C">
      <w:pPr>
        <w:widowControl w:val="0"/>
        <w:spacing w:after="120"/>
        <w:rPr>
          <w:rFonts w:ascii="Times New Roman" w:hAnsi="Times New Roman"/>
          <w:iCs/>
        </w:rPr>
      </w:pPr>
      <w:r w:rsidRPr="00933CE1">
        <w:rPr>
          <w:rFonts w:ascii="Times New Roman" w:hAnsi="Times New Roman"/>
          <w:iCs/>
        </w:rPr>
        <w:t>The revised Social Scoreboard will be part of the policy coordination framework in the context of the European Semester</w:t>
      </w:r>
      <w:r w:rsidR="00F35502">
        <w:rPr>
          <w:rFonts w:ascii="Times New Roman" w:hAnsi="Times New Roman"/>
          <w:iCs/>
        </w:rPr>
        <w:t>. It</w:t>
      </w:r>
      <w:r w:rsidRPr="00933CE1">
        <w:rPr>
          <w:rFonts w:ascii="Times New Roman" w:hAnsi="Times New Roman"/>
          <w:iCs/>
        </w:rPr>
        <w:t xml:space="preserve"> will </w:t>
      </w:r>
      <w:r>
        <w:rPr>
          <w:rFonts w:ascii="Times New Roman" w:hAnsi="Times New Roman"/>
          <w:iCs/>
        </w:rPr>
        <w:t xml:space="preserve">also </w:t>
      </w:r>
      <w:r w:rsidRPr="00933CE1">
        <w:rPr>
          <w:rFonts w:ascii="Times New Roman" w:hAnsi="Times New Roman"/>
          <w:iCs/>
        </w:rPr>
        <w:t xml:space="preserve">be </w:t>
      </w:r>
      <w:r>
        <w:rPr>
          <w:rFonts w:ascii="Times New Roman" w:hAnsi="Times New Roman"/>
          <w:iCs/>
        </w:rPr>
        <w:t xml:space="preserve">used </w:t>
      </w:r>
      <w:r w:rsidRPr="00933CE1">
        <w:rPr>
          <w:rFonts w:ascii="Times New Roman" w:hAnsi="Times New Roman"/>
          <w:iCs/>
        </w:rPr>
        <w:t>for the purpose of monitoring Member States’ performance in relation to the European Pillar of Social Rights</w:t>
      </w:r>
      <w:r>
        <w:rPr>
          <w:rFonts w:ascii="Times New Roman" w:hAnsi="Times New Roman"/>
          <w:iCs/>
        </w:rPr>
        <w:t xml:space="preserve"> </w:t>
      </w:r>
      <w:r w:rsidRPr="008262E9">
        <w:rPr>
          <w:rFonts w:ascii="Times New Roman" w:hAnsi="Times New Roman"/>
          <w:iCs/>
        </w:rPr>
        <w:t>and the recently adopted Action Plan</w:t>
      </w:r>
      <w:r w:rsidRPr="00933CE1">
        <w:rPr>
          <w:rFonts w:ascii="Times New Roman" w:hAnsi="Times New Roman"/>
          <w:iCs/>
        </w:rPr>
        <w:t xml:space="preserve"> </w:t>
      </w:r>
      <w:r w:rsidR="00F35502" w:rsidRPr="00BB65F0">
        <w:rPr>
          <w:rFonts w:ascii="Times New Roman" w:hAnsi="Times New Roman"/>
          <w:iCs/>
        </w:rPr>
        <w:t>including the three EU headline targets on employment, skills and poverty reduction</w:t>
      </w:r>
      <w:r w:rsidR="00F35502">
        <w:rPr>
          <w:rFonts w:ascii="Times New Roman" w:hAnsi="Times New Roman"/>
          <w:iCs/>
        </w:rPr>
        <w:t xml:space="preserve"> which are being translated by Member States into national targets (expected by early 2022). </w:t>
      </w:r>
      <w:r w:rsidR="00F35502" w:rsidRPr="00084165">
        <w:rPr>
          <w:rFonts w:ascii="Times New Roman" w:hAnsi="Times New Roman"/>
          <w:iCs/>
        </w:rPr>
        <w:t xml:space="preserve">The concepts of competitive sustainability </w:t>
      </w:r>
      <w:r w:rsidR="00F35502" w:rsidRPr="00104F25">
        <w:rPr>
          <w:rFonts w:ascii="Times New Roman" w:hAnsi="Times New Roman"/>
          <w:iCs/>
        </w:rPr>
        <w:t>and fairness should continue to be the overarching priorit</w:t>
      </w:r>
      <w:r w:rsidR="00F35502" w:rsidRPr="00084165">
        <w:rPr>
          <w:rFonts w:ascii="Times New Roman" w:hAnsi="Times New Roman"/>
          <w:iCs/>
        </w:rPr>
        <w:t>ies of the EU’s long-term growth strategy. The economic and social aspects of the EU’s commitments under the Paris agreement and the Green Deal should figure prominently among these priorities and be monitored in the European Semester</w:t>
      </w:r>
      <w:r w:rsidR="00F35502" w:rsidRPr="00933CE1" w:rsidDel="00F35502">
        <w:rPr>
          <w:rFonts w:ascii="Times New Roman" w:hAnsi="Times New Roman"/>
          <w:iCs/>
        </w:rPr>
        <w:t xml:space="preserve"> </w:t>
      </w:r>
      <w:r w:rsidRPr="00A15D6B">
        <w:rPr>
          <w:rFonts w:ascii="Times New Roman" w:hAnsi="Times New Roman"/>
          <w:b/>
          <w:iCs/>
        </w:rPr>
        <w:t>(paragraph</w:t>
      </w:r>
      <w:r w:rsidR="00F35502">
        <w:rPr>
          <w:rFonts w:ascii="Times New Roman" w:hAnsi="Times New Roman"/>
          <w:b/>
          <w:iCs/>
        </w:rPr>
        <w:t> </w:t>
      </w:r>
      <w:r w:rsidRPr="00A15D6B">
        <w:rPr>
          <w:rFonts w:ascii="Times New Roman" w:hAnsi="Times New Roman"/>
          <w:b/>
          <w:iCs/>
        </w:rPr>
        <w:t>63)</w:t>
      </w:r>
      <w:r w:rsidRPr="00154B2F">
        <w:rPr>
          <w:rFonts w:ascii="Times New Roman" w:hAnsi="Times New Roman"/>
          <w:iCs/>
        </w:rPr>
        <w:t>.</w:t>
      </w:r>
    </w:p>
    <w:p w14:paraId="4140824D" w14:textId="317CA3E1" w:rsidR="00857CA8" w:rsidRPr="00E2633F" w:rsidRDefault="00C24E8C" w:rsidP="00C24E8C">
      <w:pPr>
        <w:widowControl w:val="0"/>
        <w:spacing w:after="120"/>
        <w:rPr>
          <w:rFonts w:ascii="Times New Roman" w:hAnsi="Times New Roman"/>
          <w:szCs w:val="24"/>
        </w:rPr>
      </w:pPr>
      <w:r>
        <w:rPr>
          <w:rFonts w:ascii="Times New Roman" w:hAnsi="Times New Roman"/>
          <w:iCs/>
        </w:rPr>
        <w:t xml:space="preserve">As regards the </w:t>
      </w:r>
      <w:r w:rsidRPr="00A15D6B">
        <w:rPr>
          <w:rFonts w:ascii="Times New Roman" w:hAnsi="Times New Roman"/>
          <w:iCs/>
        </w:rPr>
        <w:t>design and implementation of macroeconomic adjustment programmes</w:t>
      </w:r>
      <w:r>
        <w:rPr>
          <w:rFonts w:ascii="Times New Roman" w:hAnsi="Times New Roman"/>
          <w:iCs/>
        </w:rPr>
        <w:t>, the Commission has taken due note of the European Parliament’s position on Regulation</w:t>
      </w:r>
      <w:r w:rsidR="004C58C7">
        <w:rPr>
          <w:rFonts w:ascii="Times New Roman" w:hAnsi="Times New Roman"/>
          <w:iCs/>
        </w:rPr>
        <w:t> </w:t>
      </w:r>
      <w:r>
        <w:rPr>
          <w:rFonts w:ascii="Times New Roman" w:hAnsi="Times New Roman"/>
          <w:iCs/>
        </w:rPr>
        <w:t>(EU)</w:t>
      </w:r>
      <w:r w:rsidR="004C58C7">
        <w:rPr>
          <w:rFonts w:ascii="Times New Roman" w:hAnsi="Times New Roman"/>
          <w:iCs/>
        </w:rPr>
        <w:t> </w:t>
      </w:r>
      <w:r>
        <w:rPr>
          <w:rFonts w:ascii="Times New Roman" w:hAnsi="Times New Roman"/>
          <w:iCs/>
        </w:rPr>
        <w:t>No</w:t>
      </w:r>
      <w:r w:rsidR="004C58C7">
        <w:rPr>
          <w:rFonts w:ascii="Times New Roman" w:hAnsi="Times New Roman"/>
          <w:iCs/>
        </w:rPr>
        <w:t> </w:t>
      </w:r>
      <w:r>
        <w:rPr>
          <w:rFonts w:ascii="Times New Roman" w:hAnsi="Times New Roman"/>
          <w:iCs/>
        </w:rPr>
        <w:t xml:space="preserve">472/2013. The Commission will continue to actively engage with stakeholders and further its own reflections on the implementation of </w:t>
      </w:r>
      <w:r w:rsidR="004C58C7">
        <w:rPr>
          <w:rFonts w:ascii="Times New Roman" w:hAnsi="Times New Roman"/>
          <w:iCs/>
        </w:rPr>
        <w:t>this r</w:t>
      </w:r>
      <w:r>
        <w:rPr>
          <w:rFonts w:ascii="Times New Roman" w:hAnsi="Times New Roman"/>
          <w:iCs/>
        </w:rPr>
        <w:t xml:space="preserve">egulation on the basis of the criteria set out in </w:t>
      </w:r>
      <w:r w:rsidR="004C58C7">
        <w:rPr>
          <w:rFonts w:ascii="Times New Roman" w:hAnsi="Times New Roman"/>
          <w:iCs/>
        </w:rPr>
        <w:t>its Article 19</w:t>
      </w:r>
      <w:r>
        <w:rPr>
          <w:rFonts w:ascii="Times New Roman" w:hAnsi="Times New Roman"/>
          <w:iCs/>
        </w:rPr>
        <w:t>, namely</w:t>
      </w:r>
      <w:r w:rsidR="004C58C7">
        <w:rPr>
          <w:rFonts w:ascii="Times New Roman" w:hAnsi="Times New Roman"/>
          <w:iCs/>
        </w:rPr>
        <w:t>: (i) the effectiveness of the r</w:t>
      </w:r>
      <w:r>
        <w:rPr>
          <w:rFonts w:ascii="Times New Roman" w:hAnsi="Times New Roman"/>
          <w:iCs/>
        </w:rPr>
        <w:t xml:space="preserve">egulation; (ii) progress in ensuring closer coordination of economic policies and sustained convergence of economic performance of the Member States in accordance with the TFEU; and </w:t>
      </w:r>
      <w:r w:rsidR="004C58C7">
        <w:rPr>
          <w:rFonts w:ascii="Times New Roman" w:hAnsi="Times New Roman"/>
          <w:iCs/>
        </w:rPr>
        <w:t>(iii) the contribution of this r</w:t>
      </w:r>
      <w:r>
        <w:rPr>
          <w:rFonts w:ascii="Times New Roman" w:hAnsi="Times New Roman"/>
          <w:iCs/>
        </w:rPr>
        <w:t xml:space="preserve">egulation to the achievement of the Union’s strategy to growth and jobs. The Commission will finalise its position regarding Regulation (EU) No 472/2013 as well as on the other pieces of legislation that are part of the Economic Governance Review after the stakeholder consultation process </w:t>
      </w:r>
      <w:r w:rsidRPr="00A15D6B">
        <w:rPr>
          <w:rFonts w:ascii="Times New Roman" w:hAnsi="Times New Roman"/>
          <w:b/>
          <w:iCs/>
        </w:rPr>
        <w:t>(paragraph 69)</w:t>
      </w:r>
      <w:r w:rsidRPr="00154B2F">
        <w:rPr>
          <w:rFonts w:ascii="Times New Roman" w:hAnsi="Times New Roman"/>
          <w:iCs/>
        </w:rPr>
        <w:t>.</w:t>
      </w:r>
    </w:p>
    <w:sectPr w:rsidR="00857CA8" w:rsidRPr="00E2633F">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6A49" w14:textId="77777777" w:rsidR="00E5337B" w:rsidRDefault="00E5337B" w:rsidP="00E5337B">
      <w:pPr>
        <w:spacing w:after="0"/>
      </w:pPr>
      <w:r>
        <w:separator/>
      </w:r>
    </w:p>
  </w:endnote>
  <w:endnote w:type="continuationSeparator" w:id="0">
    <w:p w14:paraId="0C9E30E4" w14:textId="77777777" w:rsidR="00E5337B" w:rsidRDefault="00E5337B" w:rsidP="00E5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Bahnschrift Light"/>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77AF" w14:textId="77777777" w:rsidR="00E20591" w:rsidRDefault="00E2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38122"/>
      <w:docPartObj>
        <w:docPartGallery w:val="Page Numbers (Bottom of Page)"/>
        <w:docPartUnique/>
      </w:docPartObj>
    </w:sdtPr>
    <w:sdtEndPr>
      <w:rPr>
        <w:rFonts w:ascii="Times New Roman" w:hAnsi="Times New Roman"/>
        <w:noProof/>
        <w:sz w:val="20"/>
      </w:rPr>
    </w:sdtEndPr>
    <w:sdtContent>
      <w:p w14:paraId="0546C7EB" w14:textId="0B7D6CEF" w:rsidR="00A5101D" w:rsidRPr="00A5101D" w:rsidRDefault="00A5101D">
        <w:pPr>
          <w:pStyle w:val="Footer"/>
          <w:jc w:val="center"/>
          <w:rPr>
            <w:rFonts w:ascii="Times New Roman" w:hAnsi="Times New Roman"/>
            <w:sz w:val="20"/>
          </w:rPr>
        </w:pPr>
        <w:r w:rsidRPr="00A5101D">
          <w:rPr>
            <w:rFonts w:ascii="Times New Roman" w:hAnsi="Times New Roman"/>
            <w:sz w:val="20"/>
          </w:rPr>
          <w:fldChar w:fldCharType="begin"/>
        </w:r>
        <w:r w:rsidRPr="00A5101D">
          <w:rPr>
            <w:rFonts w:ascii="Times New Roman" w:hAnsi="Times New Roman"/>
            <w:sz w:val="20"/>
          </w:rPr>
          <w:instrText xml:space="preserve"> PAGE   \* MERGEFORMAT </w:instrText>
        </w:r>
        <w:r w:rsidRPr="00A5101D">
          <w:rPr>
            <w:rFonts w:ascii="Times New Roman" w:hAnsi="Times New Roman"/>
            <w:sz w:val="20"/>
          </w:rPr>
          <w:fldChar w:fldCharType="separate"/>
        </w:r>
        <w:r w:rsidR="00EA7B56">
          <w:rPr>
            <w:rFonts w:ascii="Times New Roman" w:hAnsi="Times New Roman"/>
            <w:noProof/>
            <w:sz w:val="20"/>
          </w:rPr>
          <w:t>1</w:t>
        </w:r>
        <w:r w:rsidRPr="00A5101D">
          <w:rPr>
            <w:rFonts w:ascii="Times New Roman" w:hAnsi="Times New Roman"/>
            <w:noProof/>
            <w:sz w:val="20"/>
          </w:rPr>
          <w:fldChar w:fldCharType="end"/>
        </w:r>
      </w:p>
    </w:sdtContent>
  </w:sdt>
  <w:p w14:paraId="71C4088E" w14:textId="77777777" w:rsidR="00A5101D" w:rsidRDefault="00A51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69A" w14:textId="77777777" w:rsidR="00E20591" w:rsidRDefault="00E2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7C029" w14:textId="77777777" w:rsidR="00E5337B" w:rsidRDefault="00E5337B" w:rsidP="00E5337B">
      <w:pPr>
        <w:spacing w:after="0"/>
      </w:pPr>
      <w:r>
        <w:separator/>
      </w:r>
    </w:p>
  </w:footnote>
  <w:footnote w:type="continuationSeparator" w:id="0">
    <w:p w14:paraId="66F79F62" w14:textId="77777777" w:rsidR="00E5337B" w:rsidRDefault="00E5337B" w:rsidP="00E533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7C7E" w14:textId="77777777" w:rsidR="00E20591" w:rsidRDefault="00E20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7854" w14:textId="77777777" w:rsidR="00E20591" w:rsidRDefault="00E20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B549" w14:textId="77777777" w:rsidR="00E20591" w:rsidRDefault="00E2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414"/>
        </w:tabs>
        <w:ind w:left="414" w:hanging="283"/>
      </w:pPr>
      <w:rPr>
        <w:rFonts w:ascii="Symbol" w:hAnsi="Symbol"/>
      </w:rPr>
    </w:lvl>
  </w:abstractNum>
  <w:abstractNum w:abstractNumId="1" w15:restartNumberingAfterBreak="0">
    <w:nsid w:val="05537286"/>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 w15:restartNumberingAfterBreak="0">
    <w:nsid w:val="0BE61FDC"/>
    <w:multiLevelType w:val="hybridMultilevel"/>
    <w:tmpl w:val="CF34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1829"/>
    <w:multiLevelType w:val="hybridMultilevel"/>
    <w:tmpl w:val="3956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55B4B"/>
    <w:multiLevelType w:val="hybridMultilevel"/>
    <w:tmpl w:val="4A586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A70544"/>
    <w:multiLevelType w:val="hybridMultilevel"/>
    <w:tmpl w:val="7E449A58"/>
    <w:lvl w:ilvl="0" w:tplc="010A33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8407E8"/>
    <w:multiLevelType w:val="hybridMultilevel"/>
    <w:tmpl w:val="424A86AA"/>
    <w:lvl w:ilvl="0" w:tplc="90B27698">
      <w:start w:val="1"/>
      <w:numFmt w:val="decimal"/>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B84AD0"/>
    <w:multiLevelType w:val="hybridMultilevel"/>
    <w:tmpl w:val="C6040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D23763F"/>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D254F0E"/>
    <w:multiLevelType w:val="hybridMultilevel"/>
    <w:tmpl w:val="051086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D9A577B"/>
    <w:multiLevelType w:val="hybridMultilevel"/>
    <w:tmpl w:val="880A69D4"/>
    <w:lvl w:ilvl="0" w:tplc="0600A25E">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042BC"/>
    <w:multiLevelType w:val="hybridMultilevel"/>
    <w:tmpl w:val="F1389AF8"/>
    <w:lvl w:ilvl="0" w:tplc="7F96FC64">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B5315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67B72B5"/>
    <w:multiLevelType w:val="hybridMultilevel"/>
    <w:tmpl w:val="296A4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7203DF0"/>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53500B"/>
    <w:multiLevelType w:val="hybridMultilevel"/>
    <w:tmpl w:val="9DF09A94"/>
    <w:lvl w:ilvl="0" w:tplc="94A62EB0">
      <w:start w:val="1"/>
      <w:numFmt w:val="decimal"/>
      <w:lvlText w:val="%1."/>
      <w:lvlJc w:val="left"/>
      <w:pPr>
        <w:ind w:left="360"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2CC24230"/>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2CEF0D18"/>
    <w:multiLevelType w:val="hybridMultilevel"/>
    <w:tmpl w:val="E6B4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A7589"/>
    <w:multiLevelType w:val="hybridMultilevel"/>
    <w:tmpl w:val="FD264F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0BB36CD"/>
    <w:multiLevelType w:val="hybridMultilevel"/>
    <w:tmpl w:val="CC1615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AA3E36"/>
    <w:multiLevelType w:val="hybridMultilevel"/>
    <w:tmpl w:val="186C6B1C"/>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95E06B4"/>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3B49164A"/>
    <w:multiLevelType w:val="hybridMultilevel"/>
    <w:tmpl w:val="75D0359E"/>
    <w:lvl w:ilvl="0" w:tplc="3228B35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9227CB"/>
    <w:multiLevelType w:val="hybridMultilevel"/>
    <w:tmpl w:val="8F66E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9F1483"/>
    <w:multiLevelType w:val="hybridMultilevel"/>
    <w:tmpl w:val="5606BF78"/>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4424DA6"/>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15:restartNumberingAfterBreak="0">
    <w:nsid w:val="53216537"/>
    <w:multiLevelType w:val="hybridMultilevel"/>
    <w:tmpl w:val="929CF750"/>
    <w:lvl w:ilvl="0" w:tplc="FDA6578A">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561228D"/>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907331B"/>
    <w:multiLevelType w:val="hybridMultilevel"/>
    <w:tmpl w:val="A55A0EB4"/>
    <w:lvl w:ilvl="0" w:tplc="D7626F20">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C3073F9"/>
    <w:multiLevelType w:val="hybridMultilevel"/>
    <w:tmpl w:val="DA8A5DBE"/>
    <w:lvl w:ilvl="0" w:tplc="010A3310">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6379BA"/>
    <w:multiLevelType w:val="hybridMultilevel"/>
    <w:tmpl w:val="6C346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AF265C"/>
    <w:multiLevelType w:val="hybridMultilevel"/>
    <w:tmpl w:val="CF64E904"/>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103B19"/>
    <w:multiLevelType w:val="hybridMultilevel"/>
    <w:tmpl w:val="EDDCB614"/>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5F1703"/>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6" w15:restartNumberingAfterBreak="0">
    <w:nsid w:val="67295539"/>
    <w:multiLevelType w:val="hybridMultilevel"/>
    <w:tmpl w:val="5A7E1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63291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B097546"/>
    <w:multiLevelType w:val="hybridMultilevel"/>
    <w:tmpl w:val="C66A48E8"/>
    <w:lvl w:ilvl="0" w:tplc="492C7160">
      <w:start w:val="1"/>
      <w:numFmt w:val="decimal"/>
      <w:lvlText w:val="%1."/>
      <w:lvlJc w:val="left"/>
      <w:pPr>
        <w:ind w:left="720" w:hanging="720"/>
      </w:pPr>
      <w:rPr>
        <w:b/>
        <w:i w:val="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9" w15:restartNumberingAfterBreak="0">
    <w:nsid w:val="6C525E28"/>
    <w:multiLevelType w:val="hybridMultilevel"/>
    <w:tmpl w:val="690AF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8353D9"/>
    <w:multiLevelType w:val="hybridMultilevel"/>
    <w:tmpl w:val="4FA4B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9452E6E"/>
    <w:multiLevelType w:val="hybridMultilevel"/>
    <w:tmpl w:val="51720378"/>
    <w:lvl w:ilvl="0" w:tplc="F59E6F30">
      <w:start w:val="1"/>
      <w:numFmt w:val="decimal"/>
      <w:lvlText w:val="%1."/>
      <w:lvlJc w:val="left"/>
      <w:pPr>
        <w:ind w:left="862"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F351B6"/>
    <w:multiLevelType w:val="hybridMultilevel"/>
    <w:tmpl w:val="AC4C60EA"/>
    <w:lvl w:ilvl="0" w:tplc="884C6A0E">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num>
  <w:num w:numId="2">
    <w:abstractNumId w:val="30"/>
  </w:num>
  <w:num w:numId="3">
    <w:abstractNumId w:val="28"/>
  </w:num>
  <w:num w:numId="4">
    <w:abstractNumId w:val="4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0"/>
  </w:num>
  <w:num w:numId="8">
    <w:abstractNumId w:val="31"/>
  </w:num>
  <w:num w:numId="9">
    <w:abstractNumId w:val="8"/>
  </w:num>
  <w:num w:numId="10">
    <w:abstractNumId w:val="5"/>
  </w:num>
  <w:num w:numId="11">
    <w:abstractNumId w:val="41"/>
  </w:num>
  <w:num w:numId="12">
    <w:abstractNumId w:val="20"/>
  </w:num>
  <w:num w:numId="13">
    <w:abstractNumId w:val="14"/>
  </w:num>
  <w:num w:numId="14">
    <w:abstractNumId w:val="2"/>
  </w:num>
  <w:num w:numId="15">
    <w:abstractNumId w:val="3"/>
  </w:num>
  <w:num w:numId="16">
    <w:abstractNumId w:val="25"/>
  </w:num>
  <w:num w:numId="17">
    <w:abstractNumId w:val="21"/>
  </w:num>
  <w:num w:numId="18">
    <w:abstractNumId w:val="37"/>
  </w:num>
  <w:num w:numId="19">
    <w:abstractNumId w:val="15"/>
  </w:num>
  <w:num w:numId="20">
    <w:abstractNumId w:val="33"/>
  </w:num>
  <w:num w:numId="21">
    <w:abstractNumId w:val="26"/>
  </w:num>
  <w:num w:numId="22">
    <w:abstractNumId w:val="13"/>
  </w:num>
  <w:num w:numId="23">
    <w:abstractNumId w:val="32"/>
  </w:num>
  <w:num w:numId="24">
    <w:abstractNumId w:val="4"/>
  </w:num>
  <w:num w:numId="25">
    <w:abstractNumId w:val="1"/>
  </w:num>
  <w:num w:numId="26">
    <w:abstractNumId w:val="34"/>
  </w:num>
  <w:num w:numId="27">
    <w:abstractNumId w:val="39"/>
  </w:num>
  <w:num w:numId="28">
    <w:abstractNumId w:val="18"/>
  </w:num>
  <w:num w:numId="29">
    <w:abstractNumId w:val="23"/>
  </w:num>
  <w:num w:numId="30">
    <w:abstractNumId w:val="27"/>
  </w:num>
  <w:num w:numId="31">
    <w:abstractNumId w:val="24"/>
  </w:num>
  <w:num w:numId="32">
    <w:abstractNumId w:val="7"/>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6"/>
  </w:num>
  <w:num w:numId="37">
    <w:abstractNumId w:val="29"/>
  </w:num>
  <w:num w:numId="38">
    <w:abstractNumId w:val="17"/>
  </w:num>
  <w:num w:numId="39">
    <w:abstractNumId w:val="9"/>
  </w:num>
  <w:num w:numId="40">
    <w:abstractNumId w:val="19"/>
  </w:num>
  <w:num w:numId="41">
    <w:abstractNumId w:val="10"/>
  </w:num>
  <w:num w:numId="42">
    <w:abstractNumId w:val="35"/>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nl-BE"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defaultTabStop w:val="720"/>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1A72"/>
    <w:rsid w:val="00013C39"/>
    <w:rsid w:val="00017CAF"/>
    <w:rsid w:val="0002618B"/>
    <w:rsid w:val="000261C2"/>
    <w:rsid w:val="000B0EA5"/>
    <w:rsid w:val="000B1BD0"/>
    <w:rsid w:val="000E1ECC"/>
    <w:rsid w:val="000E4F55"/>
    <w:rsid w:val="000E56B5"/>
    <w:rsid w:val="000E7824"/>
    <w:rsid w:val="00105C85"/>
    <w:rsid w:val="00112492"/>
    <w:rsid w:val="001142A3"/>
    <w:rsid w:val="00154B2F"/>
    <w:rsid w:val="0016044A"/>
    <w:rsid w:val="00195D43"/>
    <w:rsid w:val="001B314B"/>
    <w:rsid w:val="001B5AB3"/>
    <w:rsid w:val="001B6262"/>
    <w:rsid w:val="001C268C"/>
    <w:rsid w:val="001D68F2"/>
    <w:rsid w:val="001D7866"/>
    <w:rsid w:val="001F13AB"/>
    <w:rsid w:val="00200AB4"/>
    <w:rsid w:val="002020CD"/>
    <w:rsid w:val="002073A0"/>
    <w:rsid w:val="00234D47"/>
    <w:rsid w:val="0027220A"/>
    <w:rsid w:val="00273245"/>
    <w:rsid w:val="00273ED5"/>
    <w:rsid w:val="002903BD"/>
    <w:rsid w:val="00295501"/>
    <w:rsid w:val="002D1783"/>
    <w:rsid w:val="002E4148"/>
    <w:rsid w:val="002F2710"/>
    <w:rsid w:val="002F298F"/>
    <w:rsid w:val="002F5E9D"/>
    <w:rsid w:val="00325C83"/>
    <w:rsid w:val="00346FB9"/>
    <w:rsid w:val="00351FD9"/>
    <w:rsid w:val="00370DAB"/>
    <w:rsid w:val="00377D9C"/>
    <w:rsid w:val="00392320"/>
    <w:rsid w:val="0039252C"/>
    <w:rsid w:val="003B3F3D"/>
    <w:rsid w:val="003C6437"/>
    <w:rsid w:val="003E402C"/>
    <w:rsid w:val="003E68E6"/>
    <w:rsid w:val="003F1E76"/>
    <w:rsid w:val="003F3F39"/>
    <w:rsid w:val="00404E13"/>
    <w:rsid w:val="00405DCF"/>
    <w:rsid w:val="0042072C"/>
    <w:rsid w:val="00421762"/>
    <w:rsid w:val="004245C1"/>
    <w:rsid w:val="0043511F"/>
    <w:rsid w:val="00454058"/>
    <w:rsid w:val="00462CC2"/>
    <w:rsid w:val="00467201"/>
    <w:rsid w:val="00467C10"/>
    <w:rsid w:val="004915FD"/>
    <w:rsid w:val="00495226"/>
    <w:rsid w:val="004A3951"/>
    <w:rsid w:val="004B0F78"/>
    <w:rsid w:val="004C58C7"/>
    <w:rsid w:val="00506B10"/>
    <w:rsid w:val="005143CD"/>
    <w:rsid w:val="005145C6"/>
    <w:rsid w:val="00523949"/>
    <w:rsid w:val="00523D9C"/>
    <w:rsid w:val="00527153"/>
    <w:rsid w:val="00531B75"/>
    <w:rsid w:val="00554F2A"/>
    <w:rsid w:val="00555E55"/>
    <w:rsid w:val="00562B92"/>
    <w:rsid w:val="005A15A0"/>
    <w:rsid w:val="005A2CD2"/>
    <w:rsid w:val="005A7D46"/>
    <w:rsid w:val="005B0693"/>
    <w:rsid w:val="005B6018"/>
    <w:rsid w:val="005B6F40"/>
    <w:rsid w:val="005D352F"/>
    <w:rsid w:val="005E6BB5"/>
    <w:rsid w:val="005F6F65"/>
    <w:rsid w:val="006113B9"/>
    <w:rsid w:val="0061693B"/>
    <w:rsid w:val="0062336A"/>
    <w:rsid w:val="0062705E"/>
    <w:rsid w:val="006332CC"/>
    <w:rsid w:val="006479A7"/>
    <w:rsid w:val="00651DE5"/>
    <w:rsid w:val="006642E5"/>
    <w:rsid w:val="00673C24"/>
    <w:rsid w:val="006762B5"/>
    <w:rsid w:val="0067702F"/>
    <w:rsid w:val="00681A07"/>
    <w:rsid w:val="00695E79"/>
    <w:rsid w:val="006A1AAA"/>
    <w:rsid w:val="006A3AD8"/>
    <w:rsid w:val="006B0722"/>
    <w:rsid w:val="006B5CD4"/>
    <w:rsid w:val="006C123C"/>
    <w:rsid w:val="006C757F"/>
    <w:rsid w:val="006D0DF5"/>
    <w:rsid w:val="006D1DE3"/>
    <w:rsid w:val="006D2011"/>
    <w:rsid w:val="006E0B2E"/>
    <w:rsid w:val="006E531A"/>
    <w:rsid w:val="006F3F29"/>
    <w:rsid w:val="00711B1C"/>
    <w:rsid w:val="00714FC4"/>
    <w:rsid w:val="00720ED0"/>
    <w:rsid w:val="00723091"/>
    <w:rsid w:val="00731ABA"/>
    <w:rsid w:val="007378D8"/>
    <w:rsid w:val="007552A6"/>
    <w:rsid w:val="0076016D"/>
    <w:rsid w:val="007709C2"/>
    <w:rsid w:val="00773E4C"/>
    <w:rsid w:val="00775247"/>
    <w:rsid w:val="00781A72"/>
    <w:rsid w:val="007906E6"/>
    <w:rsid w:val="007917AE"/>
    <w:rsid w:val="00795AF7"/>
    <w:rsid w:val="007A4F5B"/>
    <w:rsid w:val="007B117F"/>
    <w:rsid w:val="007B5D7F"/>
    <w:rsid w:val="007B7941"/>
    <w:rsid w:val="007C5B49"/>
    <w:rsid w:val="007F5EF8"/>
    <w:rsid w:val="00836884"/>
    <w:rsid w:val="008405AB"/>
    <w:rsid w:val="00857CA8"/>
    <w:rsid w:val="00865B95"/>
    <w:rsid w:val="008722A2"/>
    <w:rsid w:val="00895B55"/>
    <w:rsid w:val="008A411C"/>
    <w:rsid w:val="008A4763"/>
    <w:rsid w:val="008B5925"/>
    <w:rsid w:val="008C6F6A"/>
    <w:rsid w:val="008C74DD"/>
    <w:rsid w:val="008D0021"/>
    <w:rsid w:val="008D55B7"/>
    <w:rsid w:val="008D68F3"/>
    <w:rsid w:val="008F3947"/>
    <w:rsid w:val="00900924"/>
    <w:rsid w:val="00902931"/>
    <w:rsid w:val="0090330B"/>
    <w:rsid w:val="00904041"/>
    <w:rsid w:val="00917059"/>
    <w:rsid w:val="00936E06"/>
    <w:rsid w:val="00961A39"/>
    <w:rsid w:val="009719D8"/>
    <w:rsid w:val="00973188"/>
    <w:rsid w:val="00974F08"/>
    <w:rsid w:val="00975378"/>
    <w:rsid w:val="00982937"/>
    <w:rsid w:val="0098298C"/>
    <w:rsid w:val="00984EC9"/>
    <w:rsid w:val="00994961"/>
    <w:rsid w:val="009C1DD1"/>
    <w:rsid w:val="009C33DE"/>
    <w:rsid w:val="009C604A"/>
    <w:rsid w:val="009D7579"/>
    <w:rsid w:val="009E2C40"/>
    <w:rsid w:val="009E7F21"/>
    <w:rsid w:val="009F7F09"/>
    <w:rsid w:val="00A01117"/>
    <w:rsid w:val="00A02369"/>
    <w:rsid w:val="00A1588D"/>
    <w:rsid w:val="00A32EC0"/>
    <w:rsid w:val="00A5101D"/>
    <w:rsid w:val="00A62B81"/>
    <w:rsid w:val="00A944BB"/>
    <w:rsid w:val="00AA6E88"/>
    <w:rsid w:val="00AB32EC"/>
    <w:rsid w:val="00AC1160"/>
    <w:rsid w:val="00AD5E99"/>
    <w:rsid w:val="00AE031A"/>
    <w:rsid w:val="00AE3DE2"/>
    <w:rsid w:val="00AF530A"/>
    <w:rsid w:val="00B202E5"/>
    <w:rsid w:val="00B50BAE"/>
    <w:rsid w:val="00B66FF7"/>
    <w:rsid w:val="00B717F8"/>
    <w:rsid w:val="00BB1328"/>
    <w:rsid w:val="00BC0F81"/>
    <w:rsid w:val="00BD7FF1"/>
    <w:rsid w:val="00C22A95"/>
    <w:rsid w:val="00C24E8C"/>
    <w:rsid w:val="00C25DA3"/>
    <w:rsid w:val="00C33F9B"/>
    <w:rsid w:val="00C35640"/>
    <w:rsid w:val="00C439F4"/>
    <w:rsid w:val="00C5110E"/>
    <w:rsid w:val="00C533D4"/>
    <w:rsid w:val="00C6746F"/>
    <w:rsid w:val="00C7687F"/>
    <w:rsid w:val="00C940B9"/>
    <w:rsid w:val="00CB1B47"/>
    <w:rsid w:val="00CC31B4"/>
    <w:rsid w:val="00CD6836"/>
    <w:rsid w:val="00CE3707"/>
    <w:rsid w:val="00CE5F71"/>
    <w:rsid w:val="00D01DE0"/>
    <w:rsid w:val="00D2492E"/>
    <w:rsid w:val="00D25D1B"/>
    <w:rsid w:val="00D27F0D"/>
    <w:rsid w:val="00D61D4B"/>
    <w:rsid w:val="00D8112F"/>
    <w:rsid w:val="00D94818"/>
    <w:rsid w:val="00DC07EC"/>
    <w:rsid w:val="00DC4BB6"/>
    <w:rsid w:val="00DD033E"/>
    <w:rsid w:val="00DD2D7D"/>
    <w:rsid w:val="00E05DD0"/>
    <w:rsid w:val="00E20438"/>
    <w:rsid w:val="00E20591"/>
    <w:rsid w:val="00E34153"/>
    <w:rsid w:val="00E5123B"/>
    <w:rsid w:val="00E52176"/>
    <w:rsid w:val="00E5337B"/>
    <w:rsid w:val="00E8169D"/>
    <w:rsid w:val="00EA06F8"/>
    <w:rsid w:val="00EA3A35"/>
    <w:rsid w:val="00EA51AA"/>
    <w:rsid w:val="00EA7B56"/>
    <w:rsid w:val="00EB3388"/>
    <w:rsid w:val="00EB3C3C"/>
    <w:rsid w:val="00EB406E"/>
    <w:rsid w:val="00EB775C"/>
    <w:rsid w:val="00EE214F"/>
    <w:rsid w:val="00EE43AC"/>
    <w:rsid w:val="00F0041A"/>
    <w:rsid w:val="00F00A73"/>
    <w:rsid w:val="00F00B24"/>
    <w:rsid w:val="00F02029"/>
    <w:rsid w:val="00F24A39"/>
    <w:rsid w:val="00F35502"/>
    <w:rsid w:val="00F36D6D"/>
    <w:rsid w:val="00F413A4"/>
    <w:rsid w:val="00F57C59"/>
    <w:rsid w:val="00F63BEA"/>
    <w:rsid w:val="00F66368"/>
    <w:rsid w:val="00F83D2F"/>
    <w:rsid w:val="00F83D5E"/>
    <w:rsid w:val="00FA540B"/>
    <w:rsid w:val="00FB0DCA"/>
    <w:rsid w:val="00FB7A5A"/>
    <w:rsid w:val="00FC0549"/>
    <w:rsid w:val="00FC33CC"/>
    <w:rsid w:val="00FC56C2"/>
    <w:rsid w:val="00FD1D72"/>
    <w:rsid w:val="00FD1E2C"/>
    <w:rsid w:val="00FE7D2E"/>
    <w:rsid w:val="00FF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849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2"/>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81A72"/>
    <w:pPr>
      <w:spacing w:after="0"/>
      <w:ind w:left="5103" w:right="-567"/>
      <w:jc w:val="left"/>
    </w:pPr>
  </w:style>
  <w:style w:type="character" w:customStyle="1" w:styleId="DateChar">
    <w:name w:val="Date Char"/>
    <w:basedOn w:val="DefaultParagraphFont"/>
    <w:link w:val="Date"/>
    <w:semiHidden/>
    <w:rsid w:val="00781A72"/>
    <w:rPr>
      <w:rFonts w:ascii="Courier New" w:eastAsia="Times New Roman" w:hAnsi="Courier New" w:cs="Times New Roman"/>
      <w:sz w:val="24"/>
      <w:szCs w:val="20"/>
      <w:lang w:eastAsia="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
    <w:basedOn w:val="Normal"/>
    <w:link w:val="ListParagraphChar"/>
    <w:uiPriority w:val="34"/>
    <w:qFormat/>
    <w:rsid w:val="00781A72"/>
    <w:pPr>
      <w:spacing w:after="200" w:line="276" w:lineRule="auto"/>
      <w:ind w:left="720"/>
      <w:contextualSpacing/>
      <w:jc w:val="left"/>
    </w:pPr>
    <w:rPr>
      <w:rFonts w:ascii="Calibri" w:eastAsia="Calibri" w:hAnsi="Calibri"/>
      <w:sz w:val="22"/>
      <w:szCs w:val="22"/>
      <w:lang w:eastAsia="en-US"/>
    </w:rPr>
  </w:style>
  <w:style w:type="paragraph" w:customStyle="1" w:styleId="Subject">
    <w:name w:val="Subject"/>
    <w:basedOn w:val="Normal"/>
    <w:next w:val="Normal"/>
    <w:rsid w:val="00781A72"/>
    <w:pPr>
      <w:spacing w:after="480"/>
      <w:ind w:left="1191" w:hanging="1191"/>
      <w:jc w:val="left"/>
    </w:pPr>
    <w:rPr>
      <w:b/>
    </w:rPr>
  </w:style>
  <w:style w:type="paragraph" w:customStyle="1" w:styleId="ZDGName">
    <w:name w:val="Z_DGName"/>
    <w:basedOn w:val="Normal"/>
    <w:uiPriority w:val="99"/>
    <w:rsid w:val="00781A72"/>
    <w:pPr>
      <w:spacing w:after="0"/>
      <w:ind w:right="85"/>
    </w:pPr>
    <w:rPr>
      <w:rFonts w:ascii="Arial" w:hAnsi="Arial"/>
      <w:sz w:val="16"/>
    </w:rPr>
  </w:style>
  <w:style w:type="paragraph" w:customStyle="1" w:styleId="ZCom">
    <w:name w:val="Z_Com"/>
    <w:basedOn w:val="Normal"/>
    <w:next w:val="ZDGName"/>
    <w:uiPriority w:val="99"/>
    <w:rsid w:val="00781A72"/>
    <w:pPr>
      <w:spacing w:after="0"/>
      <w:ind w:right="85"/>
    </w:pPr>
    <w:rPr>
      <w:rFonts w:ascii="Arial" w:hAnsi="Arial"/>
    </w:rPr>
  </w:style>
  <w:style w:type="paragraph" w:customStyle="1" w:styleId="ZFlag">
    <w:name w:val="Z_Flag"/>
    <w:basedOn w:val="Normal"/>
    <w:next w:val="Normal"/>
    <w:uiPriority w:val="99"/>
    <w:semiHidden/>
    <w:rsid w:val="00781A72"/>
    <w:pPr>
      <w:widowControl w:val="0"/>
      <w:spacing w:after="0"/>
      <w:ind w:right="85"/>
    </w:pPr>
    <w:rPr>
      <w:rFonts w:ascii="Times New Roman" w:hAnsi="Times New Roman"/>
      <w:lang w:eastAsia="fr-BE"/>
    </w:rPr>
  </w:style>
  <w:style w:type="table" w:customStyle="1" w:styleId="TableLetterhead">
    <w:name w:val="Table Letterhead"/>
    <w:basedOn w:val="TableNormal"/>
    <w:uiPriority w:val="99"/>
    <w:rsid w:val="00781A72"/>
    <w:pPr>
      <w:spacing w:after="0" w:line="240" w:lineRule="auto"/>
    </w:pPr>
    <w:rPr>
      <w:rFonts w:ascii="Times New Roman" w:eastAsia="Times New Roman" w:hAnsi="Times New Roman" w:cs="Times New Roman"/>
      <w:sz w:val="24"/>
      <w:szCs w:val="20"/>
      <w:lang w:eastAsia="fr-BE"/>
    </w:rPr>
    <w:tblPr>
      <w:tblInd w:w="0" w:type="nil"/>
      <w:tblCellMar>
        <w:left w:w="0" w:type="dxa"/>
        <w:bottom w:w="340" w:type="dxa"/>
        <w:right w:w="0" w:type="dxa"/>
      </w:tblCellMar>
    </w:tbl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E5337B"/>
    <w:pPr>
      <w:ind w:left="357" w:hanging="357"/>
    </w:pPr>
    <w:rPr>
      <w:sz w:val="20"/>
    </w:rPr>
  </w:style>
  <w:style w:type="character" w:customStyle="1" w:styleId="FootnoteTextChar">
    <w:name w:val="Footnote Text Char"/>
    <w:basedOn w:val="DefaultParagraphFont"/>
    <w:uiPriority w:val="99"/>
    <w:semiHidden/>
    <w:rsid w:val="00E5337B"/>
    <w:rPr>
      <w:rFonts w:ascii="Courier New" w:eastAsia="Times New Roman" w:hAnsi="Courier New" w:cs="Times New Roman"/>
      <w:sz w:val="20"/>
      <w:szCs w:val="20"/>
      <w:lang w:eastAsia="en-GB"/>
    </w:rPr>
  </w:style>
  <w:style w:type="paragraph" w:styleId="ListBullet">
    <w:name w:val="List Bullet"/>
    <w:basedOn w:val="Normal"/>
    <w:link w:val="ListBulletChar"/>
    <w:uiPriority w:val="99"/>
    <w:rsid w:val="00E5337B"/>
    <w:pPr>
      <w:numPr>
        <w:numId w:val="7"/>
      </w:numPr>
    </w:p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337B"/>
    <w:rPr>
      <w:vertAlign w:val="superscript"/>
    </w:rPr>
  </w:style>
  <w:style w:type="character" w:styleId="Hyperlink">
    <w:name w:val="Hyperlink"/>
    <w:aliases w:val="Char1"/>
    <w:uiPriority w:val="99"/>
    <w:rsid w:val="00E5337B"/>
    <w:rPr>
      <w:color w:val="0000FF"/>
      <w:u w:val="single"/>
    </w:rPr>
  </w:style>
  <w:style w:type="character" w:customStyle="1" w:styleId="ListBulletChar">
    <w:name w:val="List Bullet Char"/>
    <w:link w:val="ListBullet"/>
    <w:uiPriority w:val="99"/>
    <w:rsid w:val="00E5337B"/>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E5337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5337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rsid w:val="00E5337B"/>
    <w:pPr>
      <w:spacing w:after="0" w:line="360" w:lineRule="auto"/>
    </w:pPr>
    <w:rPr>
      <w:rFonts w:ascii="Verdana" w:hAnsi="Verdana"/>
      <w:sz w:val="20"/>
      <w:lang w:eastAsia="pl-PL"/>
    </w:rPr>
  </w:style>
  <w:style w:type="paragraph" w:styleId="BalloonText">
    <w:name w:val="Balloon Text"/>
    <w:basedOn w:val="Normal"/>
    <w:link w:val="BalloonTextChar"/>
    <w:uiPriority w:val="99"/>
    <w:semiHidden/>
    <w:unhideWhenUsed/>
    <w:rsid w:val="00467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0"/>
    <w:rPr>
      <w:rFonts w:ascii="Segoe UI" w:eastAsia="Times New Roman" w:hAnsi="Segoe UI" w:cs="Segoe UI"/>
      <w:sz w:val="18"/>
      <w:szCs w:val="18"/>
      <w:lang w:eastAsia="en-GB"/>
    </w:rPr>
  </w:style>
  <w:style w:type="character" w:customStyle="1" w:styleId="st">
    <w:name w:val="st"/>
    <w:basedOn w:val="DefaultParagraphFont"/>
    <w:rsid w:val="00EA06F8"/>
  </w:style>
  <w:style w:type="paragraph" w:styleId="NormalWeb">
    <w:name w:val="Normal (Web)"/>
    <w:aliases w:val=" webb,webb"/>
    <w:basedOn w:val="Normal"/>
    <w:link w:val="NormalWebChar"/>
    <w:uiPriority w:val="99"/>
    <w:rsid w:val="00392320"/>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uiPriority w:val="99"/>
    <w:rsid w:val="00392320"/>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392320"/>
    <w:pPr>
      <w:spacing w:before="120" w:after="120"/>
    </w:pPr>
    <w:rPr>
      <w:rFonts w:ascii="EC Square Sans Pro" w:hAnsi="EC Square Sans Pro"/>
      <w:szCs w:val="24"/>
      <w:lang w:eastAsia="en-US"/>
    </w:rPr>
  </w:style>
  <w:style w:type="character" w:customStyle="1" w:styleId="BodyChar">
    <w:name w:val="Body Char"/>
    <w:link w:val="Body"/>
    <w:rsid w:val="00392320"/>
    <w:rPr>
      <w:rFonts w:ascii="EC Square Sans Pro" w:eastAsia="Times New Roman" w:hAnsi="EC Square Sans Pro" w:cs="Times New Roman"/>
      <w:sz w:val="24"/>
      <w:szCs w:val="24"/>
    </w:rPr>
  </w:style>
  <w:style w:type="paragraph" w:customStyle="1" w:styleId="Text1">
    <w:name w:val="Text 1"/>
    <w:basedOn w:val="Normal"/>
    <w:link w:val="Text1Char"/>
    <w:rsid w:val="00711B1C"/>
    <w:pPr>
      <w:ind w:left="482"/>
    </w:pPr>
  </w:style>
  <w:style w:type="character" w:customStyle="1" w:styleId="Text1Char">
    <w:name w:val="Text 1 Char"/>
    <w:link w:val="Text1"/>
    <w:rsid w:val="00711B1C"/>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711B1C"/>
    <w:rPr>
      <w:rFonts w:ascii="Calibri" w:eastAsia="Calibri" w:hAnsi="Calibri" w:cs="Times New Roman"/>
      <w:lang w:val="en-GB"/>
    </w:rPr>
  </w:style>
  <w:style w:type="character" w:styleId="Emphasis">
    <w:name w:val="Emphasis"/>
    <w:basedOn w:val="DefaultParagraphFont"/>
    <w:uiPriority w:val="20"/>
    <w:qFormat/>
    <w:rsid w:val="00273ED5"/>
    <w:rPr>
      <w:i/>
      <w:iCs/>
    </w:rPr>
  </w:style>
  <w:style w:type="paragraph" w:customStyle="1" w:styleId="Default">
    <w:name w:val="Default"/>
    <w:rsid w:val="00C22A9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customStyle="1" w:styleId="None">
    <w:name w:val="None"/>
    <w:rsid w:val="00C22A95"/>
  </w:style>
  <w:style w:type="character" w:styleId="FollowedHyperlink">
    <w:name w:val="FollowedHyperlink"/>
    <w:basedOn w:val="DefaultParagraphFont"/>
    <w:uiPriority w:val="99"/>
    <w:semiHidden/>
    <w:unhideWhenUsed/>
    <w:rsid w:val="00FF2DF7"/>
    <w:rPr>
      <w:color w:val="0000FF" w:themeColor="followedHyperlink"/>
      <w:u w:val="single"/>
    </w:rPr>
  </w:style>
  <w:style w:type="paragraph" w:customStyle="1" w:styleId="normalhanging12a">
    <w:name w:val="normalhanging12a"/>
    <w:basedOn w:val="Normal"/>
    <w:rsid w:val="00CC31B4"/>
    <w:pPr>
      <w:spacing w:before="100" w:beforeAutospacing="1" w:after="100" w:afterAutospacing="1"/>
      <w:jc w:val="left"/>
    </w:pPr>
    <w:rPr>
      <w:rFonts w:ascii="Calibri" w:eastAsiaTheme="minorHAnsi" w:hAnsi="Calibri" w:cs="Calibri"/>
      <w:sz w:val="22"/>
      <w:szCs w:val="22"/>
      <w:lang w:eastAsia="en-US"/>
    </w:rPr>
  </w:style>
  <w:style w:type="character" w:customStyle="1" w:styleId="NormalHanging12aChar">
    <w:name w:val="NormalHanging12a Char"/>
    <w:basedOn w:val="DefaultParagraphFont"/>
    <w:link w:val="NormalHanging12a0"/>
    <w:locked/>
    <w:rsid w:val="00CC31B4"/>
  </w:style>
  <w:style w:type="paragraph" w:customStyle="1" w:styleId="NormalHanging12a0">
    <w:name w:val="NormalHanging12a"/>
    <w:basedOn w:val="Normal"/>
    <w:link w:val="NormalHanging12aChar"/>
    <w:rsid w:val="00CC31B4"/>
    <w:pPr>
      <w:ind w:left="567" w:hanging="567"/>
      <w:jc w:val="left"/>
    </w:pPr>
    <w:rPr>
      <w:rFonts w:asciiTheme="minorHAnsi" w:eastAsiaTheme="minorHAnsi" w:hAnsiTheme="minorHAnsi" w:cstheme="minorBidi"/>
      <w:sz w:val="22"/>
      <w:szCs w:val="22"/>
      <w:lang w:eastAsia="en-US"/>
    </w:rPr>
  </w:style>
  <w:style w:type="character" w:customStyle="1" w:styleId="epname">
    <w:name w:val="ep_name"/>
    <w:basedOn w:val="DefaultParagraphFont"/>
    <w:rsid w:val="00CC31B4"/>
  </w:style>
  <w:style w:type="character" w:styleId="CommentReference">
    <w:name w:val="annotation reference"/>
    <w:semiHidden/>
    <w:rsid w:val="00B66FF7"/>
    <w:rPr>
      <w:sz w:val="16"/>
    </w:rPr>
  </w:style>
  <w:style w:type="paragraph" w:customStyle="1" w:styleId="paragraph">
    <w:name w:val="paragraph"/>
    <w:basedOn w:val="Normal"/>
    <w:rsid w:val="00B66FF7"/>
    <w:pPr>
      <w:spacing w:before="100" w:beforeAutospacing="1" w:after="100" w:afterAutospacing="1"/>
      <w:jc w:val="left"/>
    </w:pPr>
    <w:rPr>
      <w:rFonts w:ascii="Times New Roman" w:eastAsia="Calibri" w:hAnsi="Times New Roman"/>
      <w:szCs w:val="24"/>
    </w:rPr>
  </w:style>
  <w:style w:type="character" w:customStyle="1" w:styleId="normaltextrun">
    <w:name w:val="normaltextrun"/>
    <w:rsid w:val="00B66FF7"/>
  </w:style>
  <w:style w:type="character" w:customStyle="1" w:styleId="eop">
    <w:name w:val="eop"/>
    <w:rsid w:val="00B66FF7"/>
  </w:style>
  <w:style w:type="paragraph" w:customStyle="1" w:styleId="Supporter">
    <w:name w:val="Supporter"/>
    <w:basedOn w:val="Normal"/>
    <w:qFormat/>
    <w:rsid w:val="00B66FF7"/>
    <w:pPr>
      <w:tabs>
        <w:tab w:val="left" w:pos="425"/>
        <w:tab w:val="left" w:pos="851"/>
        <w:tab w:val="left" w:pos="1276"/>
      </w:tabs>
      <w:spacing w:before="840"/>
      <w:jc w:val="left"/>
    </w:pPr>
    <w:rPr>
      <w:rFonts w:ascii="Arial" w:hAnsi="Arial"/>
      <w:sz w:val="20"/>
    </w:rPr>
  </w:style>
  <w:style w:type="paragraph" w:styleId="CommentText">
    <w:name w:val="annotation text"/>
    <w:basedOn w:val="Normal"/>
    <w:link w:val="CommentTextChar"/>
    <w:uiPriority w:val="99"/>
    <w:semiHidden/>
    <w:unhideWhenUsed/>
    <w:rsid w:val="00273245"/>
    <w:rPr>
      <w:sz w:val="20"/>
    </w:rPr>
  </w:style>
  <w:style w:type="character" w:customStyle="1" w:styleId="CommentTextChar">
    <w:name w:val="Comment Text Char"/>
    <w:basedOn w:val="DefaultParagraphFont"/>
    <w:link w:val="CommentText"/>
    <w:uiPriority w:val="99"/>
    <w:semiHidden/>
    <w:rsid w:val="00273245"/>
    <w:rPr>
      <w:rFonts w:ascii="Courier New" w:eastAsia="Times New Roman" w:hAnsi="Courier New"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3245"/>
    <w:rPr>
      <w:b/>
      <w:bCs/>
    </w:rPr>
  </w:style>
  <w:style w:type="character" w:customStyle="1" w:styleId="CommentSubjectChar">
    <w:name w:val="Comment Subject Char"/>
    <w:basedOn w:val="CommentTextChar"/>
    <w:link w:val="CommentSubject"/>
    <w:uiPriority w:val="99"/>
    <w:semiHidden/>
    <w:rsid w:val="00273245"/>
    <w:rPr>
      <w:rFonts w:ascii="Courier New" w:eastAsia="Times New Roman" w:hAnsi="Courier New" w:cs="Times New Roman"/>
      <w:b/>
      <w:bCs/>
      <w:sz w:val="20"/>
      <w:szCs w:val="20"/>
      <w:lang w:eastAsia="en-GB"/>
    </w:rPr>
  </w:style>
  <w:style w:type="paragraph" w:customStyle="1" w:styleId="Subheading">
    <w:name w:val="Subheading"/>
    <w:basedOn w:val="Normal"/>
    <w:rsid w:val="00857CA8"/>
    <w:pPr>
      <w:widowControl w:val="0"/>
      <w:spacing w:before="480"/>
      <w:jc w:val="left"/>
    </w:pPr>
    <w:rPr>
      <w:rFonts w:ascii="Times New Roman" w:hAnsi="Times New Roman"/>
      <w:b/>
      <w:bCs/>
      <w:i/>
      <w:iCs/>
      <w:snapToGrid w:val="0"/>
      <w:lang w:eastAsia="en-US"/>
    </w:rPr>
  </w:style>
  <w:style w:type="character" w:customStyle="1" w:styleId="BoldItalic">
    <w:name w:val="BoldItalic"/>
    <w:uiPriority w:val="1"/>
    <w:rsid w:val="00857CA8"/>
    <w:rPr>
      <w:b/>
      <w:i/>
      <w:u w:val="none"/>
    </w:rPr>
  </w:style>
  <w:style w:type="character" w:customStyle="1" w:styleId="LTTTitleredChar">
    <w:name w:val="LTT Title red Char"/>
    <w:link w:val="LTTTitlered"/>
    <w:locked/>
    <w:rsid w:val="00857CA8"/>
    <w:rPr>
      <w:rFonts w:ascii="Calibri" w:hAnsi="Calibri" w:cs="Calibri"/>
      <w:b/>
      <w:color w:val="FF0000"/>
      <w:sz w:val="32"/>
      <w:szCs w:val="32"/>
    </w:rPr>
  </w:style>
  <w:style w:type="paragraph" w:customStyle="1" w:styleId="LTTTitlered">
    <w:name w:val="LTT Title red"/>
    <w:basedOn w:val="Normal"/>
    <w:link w:val="LTTTitleredChar"/>
    <w:rsid w:val="00857CA8"/>
    <w:pPr>
      <w:pBdr>
        <w:bottom w:val="single" w:sz="6" w:space="1" w:color="auto"/>
      </w:pBdr>
      <w:spacing w:before="480" w:after="320"/>
      <w:jc w:val="left"/>
    </w:pPr>
    <w:rPr>
      <w:rFonts w:ascii="Calibri" w:eastAsiaTheme="minorHAnsi" w:hAnsi="Calibri" w:cs="Calibri"/>
      <w:b/>
      <w:color w:val="FF0000"/>
      <w:sz w:val="32"/>
      <w:szCs w:val="32"/>
      <w:lang w:eastAsia="en-US"/>
    </w:rPr>
  </w:style>
  <w:style w:type="character" w:customStyle="1" w:styleId="highlight">
    <w:name w:val="highlight"/>
    <w:rsid w:val="007B117F"/>
  </w:style>
  <w:style w:type="character" w:customStyle="1" w:styleId="epicon">
    <w:name w:val="ep_icon"/>
    <w:basedOn w:val="DefaultParagraphFont"/>
    <w:rsid w:val="0098298C"/>
  </w:style>
  <w:style w:type="paragraph" w:styleId="Header">
    <w:name w:val="header"/>
    <w:basedOn w:val="Normal"/>
    <w:link w:val="HeaderChar"/>
    <w:uiPriority w:val="99"/>
    <w:unhideWhenUsed/>
    <w:rsid w:val="00A5101D"/>
    <w:pPr>
      <w:tabs>
        <w:tab w:val="center" w:pos="4513"/>
        <w:tab w:val="right" w:pos="9026"/>
      </w:tabs>
      <w:spacing w:after="0"/>
    </w:pPr>
  </w:style>
  <w:style w:type="character" w:customStyle="1" w:styleId="HeaderChar">
    <w:name w:val="Header Char"/>
    <w:basedOn w:val="DefaultParagraphFont"/>
    <w:link w:val="Header"/>
    <w:uiPriority w:val="99"/>
    <w:rsid w:val="00A5101D"/>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A5101D"/>
    <w:pPr>
      <w:tabs>
        <w:tab w:val="center" w:pos="4513"/>
        <w:tab w:val="right" w:pos="9026"/>
      </w:tabs>
      <w:spacing w:after="0"/>
    </w:pPr>
  </w:style>
  <w:style w:type="character" w:customStyle="1" w:styleId="FooterChar">
    <w:name w:val="Footer Char"/>
    <w:basedOn w:val="DefaultParagraphFont"/>
    <w:link w:val="Footer"/>
    <w:uiPriority w:val="99"/>
    <w:rsid w:val="00A5101D"/>
    <w:rPr>
      <w:rFonts w:ascii="Courier New" w:eastAsia="Times New Roman" w:hAnsi="Courier New"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2492">
      <w:bodyDiv w:val="1"/>
      <w:marLeft w:val="0"/>
      <w:marRight w:val="0"/>
      <w:marTop w:val="0"/>
      <w:marBottom w:val="0"/>
      <w:divBdr>
        <w:top w:val="none" w:sz="0" w:space="0" w:color="auto"/>
        <w:left w:val="none" w:sz="0" w:space="0" w:color="auto"/>
        <w:bottom w:val="none" w:sz="0" w:space="0" w:color="auto"/>
        <w:right w:val="none" w:sz="0" w:space="0" w:color="auto"/>
      </w:divBdr>
    </w:div>
    <w:div w:id="1829781947">
      <w:bodyDiv w:val="1"/>
      <w:marLeft w:val="0"/>
      <w:marRight w:val="0"/>
      <w:marTop w:val="0"/>
      <w:marBottom w:val="0"/>
      <w:divBdr>
        <w:top w:val="none" w:sz="0" w:space="0" w:color="auto"/>
        <w:left w:val="none" w:sz="0" w:space="0" w:color="auto"/>
        <w:bottom w:val="none" w:sz="0" w:space="0" w:color="auto"/>
        <w:right w:val="none" w:sz="0" w:space="0" w:color="auto"/>
      </w:divBdr>
    </w:div>
    <w:div w:id="2096201296">
      <w:bodyDiv w:val="1"/>
      <w:marLeft w:val="0"/>
      <w:marRight w:val="0"/>
      <w:marTop w:val="0"/>
      <w:marBottom w:val="0"/>
      <w:divBdr>
        <w:top w:val="none" w:sz="0" w:space="0" w:color="auto"/>
        <w:left w:val="none" w:sz="0" w:space="0" w:color="auto"/>
        <w:bottom w:val="none" w:sz="0" w:space="0" w:color="auto"/>
        <w:right w:val="none" w:sz="0" w:space="0" w:color="auto"/>
      </w:divBdr>
    </w:div>
    <w:div w:id="2096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oeil/popups/ficheprocedure.do?lang=en&amp;reference=2016/2891(R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commission/presscorner/detail/en/ip_21_12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4B9395-DDC2-45B8-AD04-3D39A825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2021-10-26T14:15:00Z</dcterms:created>
  <dcterms:modified xsi:type="dcterms:W3CDTF">2021-10-26T14:15:00Z</dcterms:modified>
</cp:coreProperties>
</file>