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D5C" w:rsidRPr="00925AE6" w:rsidRDefault="00D21D5C" w:rsidP="00D21D5C">
      <w:pPr>
        <w:spacing w:after="600"/>
        <w:jc w:val="center"/>
        <w:rPr>
          <w:rFonts w:ascii="Times New Roman" w:hAnsi="Times New Roman"/>
          <w:b/>
          <w:bCs/>
          <w:szCs w:val="24"/>
        </w:rPr>
      </w:pPr>
      <w:bookmarkStart w:id="0" w:name="IWT"/>
      <w:r w:rsidRPr="00925AE6">
        <w:rPr>
          <w:rFonts w:ascii="Times New Roman" w:hAnsi="Times New Roman"/>
          <w:b/>
          <w:szCs w:val="24"/>
        </w:rPr>
        <w:t xml:space="preserve">Follow-up to the European Parliament non-legislative resolution </w:t>
      </w:r>
      <w:r w:rsidRPr="00925AE6">
        <w:rPr>
          <w:rFonts w:ascii="Times New Roman" w:hAnsi="Times New Roman"/>
          <w:b/>
          <w:bCs/>
          <w:szCs w:val="24"/>
        </w:rPr>
        <w:br/>
      </w:r>
      <w:r>
        <w:rPr>
          <w:rFonts w:ascii="Times New Roman" w:hAnsi="Times New Roman"/>
          <w:b/>
          <w:bCs/>
          <w:szCs w:val="24"/>
        </w:rPr>
        <w:t xml:space="preserve">Towards </w:t>
      </w:r>
      <w:r w:rsidRPr="00E14115">
        <w:rPr>
          <w:rFonts w:ascii="Times New Roman" w:hAnsi="Times New Roman"/>
          <w:b/>
          <w:bCs/>
          <w:szCs w:val="24"/>
        </w:rPr>
        <w:t>Future-proof Inland Waterway Transport (IWT) in Europe</w:t>
      </w:r>
    </w:p>
    <w:bookmarkEnd w:id="0"/>
    <w:p w:rsidR="00D21D5C" w:rsidRPr="00800994" w:rsidRDefault="00D21D5C" w:rsidP="00D21D5C">
      <w:pPr>
        <w:rPr>
          <w:rFonts w:ascii="Times New Roman" w:hAnsi="Times New Roman"/>
          <w:i/>
          <w:szCs w:val="24"/>
          <w:lang w:val="fr-BE"/>
        </w:rPr>
      </w:pPr>
      <w:r w:rsidRPr="00800994">
        <w:rPr>
          <w:rFonts w:ascii="Times New Roman" w:hAnsi="Times New Roman"/>
          <w:b/>
          <w:szCs w:val="24"/>
          <w:lang w:val="fr-BE"/>
        </w:rPr>
        <w:t>1.</w:t>
      </w:r>
      <w:r w:rsidRPr="00800994">
        <w:rPr>
          <w:rFonts w:ascii="Times New Roman" w:hAnsi="Times New Roman"/>
          <w:b/>
          <w:szCs w:val="24"/>
          <w:lang w:val="fr-BE"/>
        </w:rPr>
        <w:tab/>
        <w:t>Rapporteur:</w:t>
      </w:r>
      <w:r w:rsidRPr="00800994">
        <w:rPr>
          <w:rFonts w:ascii="Times New Roman" w:hAnsi="Times New Roman"/>
          <w:szCs w:val="24"/>
          <w:lang w:val="fr-BE"/>
        </w:rPr>
        <w:t xml:space="preserve"> </w:t>
      </w:r>
      <w:r w:rsidRPr="00800994">
        <w:rPr>
          <w:rFonts w:ascii="Times New Roman" w:hAnsi="Times New Roman"/>
          <w:noProof/>
          <w:lang w:val="fr-BE" w:eastAsia="fr-BE"/>
        </w:rPr>
        <w:t xml:space="preserve">Caroline NAGTEGAAL </w:t>
      </w:r>
      <w:r w:rsidRPr="00800994">
        <w:rPr>
          <w:rFonts w:ascii="Times New Roman" w:hAnsi="Times New Roman"/>
          <w:szCs w:val="24"/>
          <w:lang w:val="fr-BE"/>
        </w:rPr>
        <w:t>(Renew / NL)</w:t>
      </w:r>
    </w:p>
    <w:p w:rsidR="00D21D5C" w:rsidRPr="00925AE6" w:rsidRDefault="00D21D5C" w:rsidP="00D21D5C">
      <w:pPr>
        <w:rPr>
          <w:rFonts w:ascii="Times New Roman" w:hAnsi="Times New Roman"/>
          <w:i/>
          <w:szCs w:val="24"/>
        </w:rPr>
      </w:pPr>
      <w:r w:rsidRPr="00BB0437">
        <w:rPr>
          <w:rFonts w:ascii="Times New Roman" w:hAnsi="Times New Roman"/>
          <w:b/>
          <w:szCs w:val="24"/>
        </w:rPr>
        <w:t>2.</w:t>
      </w:r>
      <w:r w:rsidRPr="00BB0437">
        <w:rPr>
          <w:rFonts w:ascii="Times New Roman" w:hAnsi="Times New Roman"/>
          <w:b/>
          <w:szCs w:val="24"/>
        </w:rPr>
        <w:tab/>
      </w:r>
      <w:r w:rsidRPr="00925AE6">
        <w:rPr>
          <w:rFonts w:ascii="Times New Roman" w:hAnsi="Times New Roman"/>
          <w:b/>
          <w:szCs w:val="24"/>
        </w:rPr>
        <w:t xml:space="preserve">Reference number: </w:t>
      </w:r>
      <w:r>
        <w:rPr>
          <w:rFonts w:ascii="Times New Roman" w:hAnsi="Times New Roman"/>
          <w:noProof/>
          <w:lang w:eastAsia="fr-BE"/>
        </w:rPr>
        <w:t xml:space="preserve">2021/2015 (INI) </w:t>
      </w:r>
      <w:r w:rsidRPr="00925AE6">
        <w:rPr>
          <w:rFonts w:ascii="Times New Roman" w:hAnsi="Times New Roman"/>
        </w:rPr>
        <w:t xml:space="preserve">/ </w:t>
      </w:r>
      <w:bookmarkStart w:id="1" w:name="_GoBack"/>
      <w:r w:rsidRPr="00351781">
        <w:rPr>
          <w:rFonts w:ascii="Times New Roman" w:hAnsi="Times New Roman"/>
          <w:noProof/>
          <w:lang w:eastAsia="fr-BE"/>
        </w:rPr>
        <w:t>A9-0231/2021</w:t>
      </w:r>
      <w:bookmarkEnd w:id="1"/>
      <w:r>
        <w:rPr>
          <w:rFonts w:ascii="Times New Roman" w:hAnsi="Times New Roman"/>
          <w:noProof/>
          <w:lang w:eastAsia="fr-BE"/>
        </w:rPr>
        <w:t xml:space="preserve"> </w:t>
      </w:r>
      <w:r w:rsidRPr="00925AE6">
        <w:rPr>
          <w:rFonts w:ascii="Times New Roman" w:hAnsi="Times New Roman"/>
        </w:rPr>
        <w:t xml:space="preserve">/ </w:t>
      </w:r>
      <w:r>
        <w:rPr>
          <w:rFonts w:ascii="Times New Roman" w:hAnsi="Times New Roman"/>
        </w:rPr>
        <w:t>P</w:t>
      </w:r>
      <w:r w:rsidRPr="00C94286">
        <w:rPr>
          <w:rFonts w:ascii="Times New Roman" w:hAnsi="Times New Roman"/>
        </w:rPr>
        <w:t>9</w:t>
      </w:r>
      <w:r>
        <w:rPr>
          <w:rFonts w:ascii="Times New Roman" w:hAnsi="Times New Roman"/>
        </w:rPr>
        <w:t>_TA</w:t>
      </w:r>
      <w:r w:rsidRPr="006B2055">
        <w:rPr>
          <w:rFonts w:ascii="Times New Roman" w:hAnsi="Times New Roman"/>
          <w:lang w:val="en-IE"/>
        </w:rPr>
        <w:t>-PROV</w:t>
      </w:r>
      <w:r>
        <w:rPr>
          <w:rFonts w:ascii="Times New Roman" w:hAnsi="Times New Roman"/>
        </w:rPr>
        <w:t>(2021)</w:t>
      </w:r>
      <w:r w:rsidRPr="00C94286">
        <w:rPr>
          <w:rFonts w:ascii="Times New Roman" w:hAnsi="Times New Roman"/>
        </w:rPr>
        <w:t>0367</w:t>
      </w:r>
    </w:p>
    <w:p w:rsidR="00D21D5C" w:rsidRPr="00925AE6" w:rsidRDefault="00D21D5C" w:rsidP="00D21D5C">
      <w:pPr>
        <w:rPr>
          <w:rFonts w:ascii="Times New Roman" w:hAnsi="Times New Roman"/>
          <w:szCs w:val="24"/>
        </w:rPr>
      </w:pPr>
      <w:r>
        <w:rPr>
          <w:rFonts w:ascii="Times New Roman" w:hAnsi="Times New Roman"/>
          <w:b/>
          <w:szCs w:val="24"/>
        </w:rPr>
        <w:t>3.</w:t>
      </w:r>
      <w:r>
        <w:rPr>
          <w:rFonts w:ascii="Times New Roman" w:hAnsi="Times New Roman"/>
          <w:b/>
          <w:szCs w:val="24"/>
        </w:rPr>
        <w:tab/>
      </w:r>
      <w:r w:rsidRPr="00925AE6">
        <w:rPr>
          <w:rFonts w:ascii="Times New Roman" w:hAnsi="Times New Roman"/>
          <w:b/>
          <w:szCs w:val="24"/>
        </w:rPr>
        <w:t>Date of adoption of the resolution:</w:t>
      </w:r>
      <w:r w:rsidRPr="00925AE6">
        <w:rPr>
          <w:rFonts w:ascii="Times New Roman" w:hAnsi="Times New Roman"/>
          <w:szCs w:val="24"/>
        </w:rPr>
        <w:t xml:space="preserve"> </w:t>
      </w:r>
      <w:r>
        <w:rPr>
          <w:rFonts w:ascii="Times New Roman" w:hAnsi="Times New Roman"/>
          <w:szCs w:val="24"/>
        </w:rPr>
        <w:t xml:space="preserve">14 September </w:t>
      </w:r>
      <w:r w:rsidRPr="00925AE6">
        <w:rPr>
          <w:rFonts w:ascii="Times New Roman" w:hAnsi="Times New Roman"/>
          <w:szCs w:val="24"/>
        </w:rPr>
        <w:t>2021</w:t>
      </w:r>
    </w:p>
    <w:p w:rsidR="00D21D5C" w:rsidRPr="00925AE6" w:rsidRDefault="00D21D5C" w:rsidP="00D21D5C">
      <w:pPr>
        <w:ind w:left="720" w:hanging="720"/>
        <w:rPr>
          <w:rFonts w:ascii="Times New Roman" w:hAnsi="Times New Roman"/>
          <w:i/>
          <w:szCs w:val="24"/>
        </w:rPr>
      </w:pPr>
      <w:r>
        <w:rPr>
          <w:rFonts w:ascii="Times New Roman" w:hAnsi="Times New Roman"/>
          <w:b/>
          <w:szCs w:val="24"/>
        </w:rPr>
        <w:t>4.</w:t>
      </w:r>
      <w:r>
        <w:rPr>
          <w:rFonts w:ascii="Times New Roman" w:hAnsi="Times New Roman"/>
          <w:b/>
          <w:szCs w:val="24"/>
        </w:rPr>
        <w:tab/>
      </w:r>
      <w:r w:rsidRPr="00925AE6">
        <w:rPr>
          <w:rFonts w:ascii="Times New Roman" w:hAnsi="Times New Roman"/>
          <w:b/>
          <w:szCs w:val="24"/>
        </w:rPr>
        <w:t xml:space="preserve">Competent Parliamentary Committee: </w:t>
      </w:r>
      <w:r>
        <w:rPr>
          <w:rFonts w:ascii="Times New Roman" w:hAnsi="Times New Roman"/>
          <w:szCs w:val="24"/>
        </w:rPr>
        <w:t>Committee on Transport and Tourism</w:t>
      </w:r>
      <w:r w:rsidRPr="00925AE6">
        <w:rPr>
          <w:rFonts w:ascii="Times New Roman" w:hAnsi="Times New Roman"/>
          <w:szCs w:val="24"/>
        </w:rPr>
        <w:t xml:space="preserve"> (</w:t>
      </w:r>
      <w:r>
        <w:rPr>
          <w:rFonts w:ascii="Times New Roman" w:hAnsi="Times New Roman"/>
          <w:szCs w:val="24"/>
        </w:rPr>
        <w:t>TRAN</w:t>
      </w:r>
      <w:r w:rsidRPr="00925AE6">
        <w:rPr>
          <w:rFonts w:ascii="Times New Roman" w:hAnsi="Times New Roman"/>
          <w:szCs w:val="24"/>
        </w:rPr>
        <w:t>)</w:t>
      </w:r>
    </w:p>
    <w:p w:rsidR="00D21D5C" w:rsidRPr="00925AE6" w:rsidRDefault="00D21D5C" w:rsidP="00D21D5C">
      <w:pPr>
        <w:widowControl w:val="0"/>
        <w:rPr>
          <w:rFonts w:ascii="Times New Roman" w:hAnsi="Times New Roman"/>
          <w:b/>
          <w:szCs w:val="24"/>
        </w:rPr>
      </w:pPr>
      <w:r>
        <w:rPr>
          <w:rFonts w:ascii="Times New Roman" w:hAnsi="Times New Roman"/>
          <w:b/>
          <w:szCs w:val="24"/>
        </w:rPr>
        <w:t>5.</w:t>
      </w:r>
      <w:r>
        <w:rPr>
          <w:rFonts w:ascii="Times New Roman" w:hAnsi="Times New Roman"/>
          <w:b/>
          <w:szCs w:val="24"/>
        </w:rPr>
        <w:tab/>
      </w:r>
      <w:r w:rsidRPr="00925AE6">
        <w:rPr>
          <w:rFonts w:ascii="Times New Roman" w:hAnsi="Times New Roman"/>
          <w:b/>
          <w:szCs w:val="24"/>
        </w:rPr>
        <w:t xml:space="preserve">Brief analysis/assessment of the resolution and requests made in it: </w:t>
      </w:r>
    </w:p>
    <w:p w:rsidR="00D21D5C" w:rsidRDefault="00D21D5C" w:rsidP="00D21D5C">
      <w:pPr>
        <w:widowControl w:val="0"/>
        <w:spacing w:after="120"/>
        <w:rPr>
          <w:rFonts w:ascii="Times New Roman" w:hAnsi="Times New Roman"/>
          <w:bCs/>
        </w:rPr>
      </w:pPr>
      <w:r>
        <w:rPr>
          <w:rFonts w:ascii="Times New Roman" w:hAnsi="Times New Roman"/>
          <w:bCs/>
        </w:rPr>
        <w:t>In its resolution, the Parliament makes several calls on the Commission to take steps to promote a greener, more sustainable, and efficient inland waterways sector.</w:t>
      </w:r>
    </w:p>
    <w:p w:rsidR="00D21D5C" w:rsidRPr="000C7F8B" w:rsidRDefault="00D21D5C" w:rsidP="00D21D5C">
      <w:pPr>
        <w:widowControl w:val="0"/>
        <w:spacing w:after="120"/>
        <w:rPr>
          <w:rFonts w:ascii="Times New Roman" w:hAnsi="Times New Roman"/>
          <w:bCs/>
        </w:rPr>
      </w:pPr>
      <w:r w:rsidRPr="000C7F8B">
        <w:rPr>
          <w:rFonts w:ascii="Times New Roman" w:hAnsi="Times New Roman"/>
          <w:bCs/>
        </w:rPr>
        <w:t xml:space="preserve">On </w:t>
      </w:r>
      <w:r w:rsidRPr="000C7F8B">
        <w:rPr>
          <w:rFonts w:ascii="Times New Roman" w:hAnsi="Times New Roman"/>
          <w:bCs/>
          <w:u w:val="single"/>
        </w:rPr>
        <w:t>modal shift</w:t>
      </w:r>
      <w:r>
        <w:rPr>
          <w:rFonts w:ascii="Times New Roman" w:hAnsi="Times New Roman"/>
          <w:bCs/>
        </w:rPr>
        <w:t xml:space="preserve"> from roads to inland waterways</w:t>
      </w:r>
      <w:r w:rsidRPr="000C7F8B">
        <w:rPr>
          <w:rFonts w:ascii="Times New Roman" w:hAnsi="Times New Roman"/>
          <w:bCs/>
        </w:rPr>
        <w:t xml:space="preserve">, </w:t>
      </w:r>
      <w:r>
        <w:rPr>
          <w:rFonts w:ascii="Times New Roman" w:hAnsi="Times New Roman"/>
          <w:bCs/>
        </w:rPr>
        <w:t xml:space="preserve">the </w:t>
      </w:r>
      <w:r w:rsidRPr="000C7F8B">
        <w:rPr>
          <w:rFonts w:ascii="Times New Roman" w:hAnsi="Times New Roman"/>
          <w:bCs/>
        </w:rPr>
        <w:t>Parliament calls on the Commission to build on the existing NAIADES programme for a greener, more sustainable, efficient</w:t>
      </w:r>
      <w:r>
        <w:rPr>
          <w:rFonts w:ascii="Times New Roman" w:hAnsi="Times New Roman"/>
          <w:bCs/>
        </w:rPr>
        <w:t>, digital</w:t>
      </w:r>
      <w:r w:rsidRPr="000C7F8B">
        <w:rPr>
          <w:rFonts w:ascii="Times New Roman" w:hAnsi="Times New Roman"/>
          <w:bCs/>
        </w:rPr>
        <w:t xml:space="preserve"> and social future for the sector.</w:t>
      </w:r>
      <w:r>
        <w:rPr>
          <w:rFonts w:ascii="Times New Roman" w:hAnsi="Times New Roman"/>
          <w:bCs/>
        </w:rPr>
        <w:t xml:space="preserve"> The resolution also calls on the Commission to strengthen oversight on the Member States completing the </w:t>
      </w:r>
      <w:r w:rsidRPr="00202FDF">
        <w:rPr>
          <w:rFonts w:ascii="Times New Roman" w:hAnsi="Times New Roman"/>
        </w:rPr>
        <w:t xml:space="preserve">trans-European transport </w:t>
      </w:r>
      <w:r>
        <w:rPr>
          <w:rFonts w:ascii="Times New Roman" w:hAnsi="Times New Roman"/>
        </w:rPr>
        <w:t>(</w:t>
      </w:r>
      <w:r>
        <w:rPr>
          <w:rFonts w:ascii="Times New Roman" w:hAnsi="Times New Roman"/>
          <w:bCs/>
        </w:rPr>
        <w:t>TEN-T) inland waterways core network by 2030.</w:t>
      </w:r>
    </w:p>
    <w:p w:rsidR="00D21D5C" w:rsidRPr="00202FDF" w:rsidRDefault="00D21D5C" w:rsidP="00D21D5C">
      <w:pPr>
        <w:widowControl w:val="0"/>
        <w:spacing w:after="120"/>
        <w:rPr>
          <w:rFonts w:ascii="Times New Roman" w:hAnsi="Times New Roman"/>
          <w:bCs/>
        </w:rPr>
      </w:pPr>
      <w:r w:rsidRPr="000C7F8B">
        <w:rPr>
          <w:rFonts w:ascii="Times New Roman" w:hAnsi="Times New Roman"/>
          <w:bCs/>
        </w:rPr>
        <w:t xml:space="preserve">On </w:t>
      </w:r>
      <w:r>
        <w:rPr>
          <w:rFonts w:ascii="Times New Roman" w:hAnsi="Times New Roman"/>
          <w:bCs/>
          <w:u w:val="single"/>
        </w:rPr>
        <w:t>greening of</w:t>
      </w:r>
      <w:r w:rsidRPr="000C7F8B">
        <w:rPr>
          <w:rFonts w:ascii="Times New Roman" w:hAnsi="Times New Roman"/>
          <w:bCs/>
          <w:u w:val="single"/>
        </w:rPr>
        <w:t xml:space="preserve"> inland waterways</w:t>
      </w:r>
      <w:r w:rsidRPr="000C7F8B">
        <w:rPr>
          <w:rFonts w:ascii="Times New Roman" w:hAnsi="Times New Roman"/>
          <w:bCs/>
        </w:rPr>
        <w:t xml:space="preserve">, </w:t>
      </w:r>
      <w:r>
        <w:rPr>
          <w:rFonts w:ascii="Times New Roman" w:hAnsi="Times New Roman"/>
          <w:bCs/>
        </w:rPr>
        <w:t xml:space="preserve">the </w:t>
      </w:r>
      <w:r w:rsidRPr="000C7F8B">
        <w:rPr>
          <w:rFonts w:ascii="Times New Roman" w:hAnsi="Times New Roman"/>
          <w:bCs/>
        </w:rPr>
        <w:t>Parliament calls on the Commiss</w:t>
      </w:r>
      <w:r>
        <w:rPr>
          <w:rFonts w:ascii="Times New Roman" w:hAnsi="Times New Roman"/>
          <w:bCs/>
        </w:rPr>
        <w:t>i</w:t>
      </w:r>
      <w:r w:rsidRPr="000C7F8B">
        <w:rPr>
          <w:rFonts w:ascii="Times New Roman" w:hAnsi="Times New Roman"/>
          <w:bCs/>
        </w:rPr>
        <w:t>on to draw up a roadmap to achieve a decarbonised sector and to incentivise the use of financial instruments to encourage the take up of sustainable alternative fuels and technologies</w:t>
      </w:r>
      <w:r w:rsidRPr="00202FDF">
        <w:rPr>
          <w:rFonts w:ascii="Times New Roman" w:hAnsi="Times New Roman"/>
          <w:bCs/>
        </w:rPr>
        <w:t>.</w:t>
      </w:r>
    </w:p>
    <w:p w:rsidR="00D21D5C" w:rsidRPr="00975116" w:rsidRDefault="00D21D5C" w:rsidP="00D21D5C">
      <w:pPr>
        <w:widowControl w:val="0"/>
        <w:spacing w:after="120"/>
        <w:rPr>
          <w:rFonts w:ascii="Times New Roman" w:hAnsi="Times New Roman"/>
          <w:b/>
          <w:bCs/>
        </w:rPr>
      </w:pPr>
      <w:r w:rsidRPr="00975116">
        <w:rPr>
          <w:rFonts w:ascii="Times New Roman" w:hAnsi="Times New Roman"/>
          <w:bCs/>
        </w:rPr>
        <w:t xml:space="preserve">In calling for </w:t>
      </w:r>
      <w:r w:rsidRPr="00975116">
        <w:rPr>
          <w:rFonts w:ascii="Times New Roman" w:hAnsi="Times New Roman"/>
          <w:bCs/>
          <w:u w:val="single"/>
        </w:rPr>
        <w:t>greater use of digital and automated technologies</w:t>
      </w:r>
      <w:r w:rsidRPr="00975116">
        <w:rPr>
          <w:rFonts w:ascii="Times New Roman" w:hAnsi="Times New Roman"/>
          <w:bCs/>
        </w:rPr>
        <w:t xml:space="preserve"> in the sector, </w:t>
      </w:r>
      <w:r>
        <w:rPr>
          <w:rFonts w:ascii="Times New Roman" w:hAnsi="Times New Roman"/>
          <w:bCs/>
        </w:rPr>
        <w:t xml:space="preserve">the </w:t>
      </w:r>
      <w:r w:rsidRPr="00975116">
        <w:rPr>
          <w:rFonts w:ascii="Times New Roman" w:hAnsi="Times New Roman"/>
          <w:bCs/>
        </w:rPr>
        <w:t xml:space="preserve">Parliament underlines its importance and benefits – cleaner environment, improved safety on board and greater energy efficiency. The resolution also calls for a harmonised digital use and acceptance of electronic crew and vessel documents and for swift implementation of the Electronic Freight Transport Information (eFTI) Regulation. </w:t>
      </w:r>
      <w:r>
        <w:rPr>
          <w:rFonts w:ascii="Times New Roman" w:hAnsi="Times New Roman"/>
          <w:bCs/>
        </w:rPr>
        <w:t xml:space="preserve">The </w:t>
      </w:r>
      <w:r w:rsidRPr="00975116">
        <w:rPr>
          <w:rFonts w:ascii="Times New Roman" w:hAnsi="Times New Roman"/>
          <w:bCs/>
        </w:rPr>
        <w:t xml:space="preserve">Parliament calls on </w:t>
      </w:r>
      <w:r w:rsidRPr="00975116">
        <w:rPr>
          <w:rFonts w:ascii="Times New Roman" w:hAnsi="Times New Roman"/>
        </w:rPr>
        <w:t>the Commission to include space services (in the Galileo, Copernicus and EGNOS programmes) in the review of the ITS</w:t>
      </w:r>
      <w:r>
        <w:rPr>
          <w:rFonts w:ascii="Times New Roman" w:hAnsi="Times New Roman"/>
        </w:rPr>
        <w:t xml:space="preserve"> (</w:t>
      </w:r>
      <w:r w:rsidRPr="00202FDF">
        <w:rPr>
          <w:rFonts w:ascii="Times New Roman" w:hAnsi="Times New Roman"/>
        </w:rPr>
        <w:t>Intelligent Transport Systems</w:t>
      </w:r>
      <w:r>
        <w:rPr>
          <w:rFonts w:ascii="Times New Roman" w:hAnsi="Times New Roman"/>
        </w:rPr>
        <w:t>)</w:t>
      </w:r>
      <w:r w:rsidRPr="00975116">
        <w:rPr>
          <w:rFonts w:ascii="Times New Roman" w:hAnsi="Times New Roman"/>
        </w:rPr>
        <w:t xml:space="preserve"> Directive and to prepare an EU action plan for digital infrastructure of multimodal transport</w:t>
      </w:r>
      <w:r>
        <w:rPr>
          <w:rFonts w:ascii="Times New Roman" w:hAnsi="Times New Roman"/>
        </w:rPr>
        <w:t>.</w:t>
      </w:r>
    </w:p>
    <w:p w:rsidR="00D21D5C" w:rsidRPr="007378C7" w:rsidRDefault="00D21D5C" w:rsidP="00D21D5C">
      <w:pPr>
        <w:widowControl w:val="0"/>
        <w:spacing w:after="120"/>
        <w:rPr>
          <w:rFonts w:ascii="Times New Roman" w:hAnsi="Times New Roman"/>
          <w:bCs/>
        </w:rPr>
      </w:pPr>
      <w:r w:rsidRPr="007378C7">
        <w:rPr>
          <w:rFonts w:ascii="Times New Roman" w:hAnsi="Times New Roman"/>
          <w:bCs/>
        </w:rPr>
        <w:t xml:space="preserve">On </w:t>
      </w:r>
      <w:r w:rsidRPr="007378C7">
        <w:rPr>
          <w:rFonts w:ascii="Times New Roman" w:hAnsi="Times New Roman"/>
          <w:bCs/>
          <w:u w:val="single"/>
        </w:rPr>
        <w:t>education, training and working conditions</w:t>
      </w:r>
      <w:r>
        <w:rPr>
          <w:rFonts w:ascii="Times New Roman" w:hAnsi="Times New Roman"/>
          <w:bCs/>
          <w:u w:val="single"/>
        </w:rPr>
        <w:t>,</w:t>
      </w:r>
      <w:r w:rsidRPr="007378C7">
        <w:rPr>
          <w:rFonts w:ascii="Times New Roman" w:hAnsi="Times New Roman"/>
          <w:bCs/>
        </w:rPr>
        <w:t xml:space="preserve"> </w:t>
      </w:r>
      <w:r>
        <w:rPr>
          <w:rFonts w:ascii="Times New Roman" w:hAnsi="Times New Roman"/>
          <w:bCs/>
        </w:rPr>
        <w:t xml:space="preserve">the </w:t>
      </w:r>
      <w:r w:rsidRPr="007378C7">
        <w:rPr>
          <w:rFonts w:ascii="Times New Roman" w:hAnsi="Times New Roman"/>
          <w:bCs/>
        </w:rPr>
        <w:t xml:space="preserve">Parliament </w:t>
      </w:r>
      <w:r>
        <w:rPr>
          <w:rFonts w:ascii="Times New Roman" w:hAnsi="Times New Roman"/>
          <w:bCs/>
        </w:rPr>
        <w:t>underlines the need</w:t>
      </w:r>
      <w:r w:rsidRPr="007378C7">
        <w:rPr>
          <w:rFonts w:ascii="Times New Roman" w:hAnsi="Times New Roman"/>
          <w:bCs/>
        </w:rPr>
        <w:t xml:space="preserve"> for the sector to be made more attractive</w:t>
      </w:r>
      <w:r>
        <w:rPr>
          <w:rFonts w:ascii="Times New Roman" w:hAnsi="Times New Roman"/>
          <w:bCs/>
        </w:rPr>
        <w:t>, especially</w:t>
      </w:r>
      <w:r w:rsidRPr="007378C7">
        <w:rPr>
          <w:rFonts w:ascii="Times New Roman" w:hAnsi="Times New Roman"/>
          <w:bCs/>
        </w:rPr>
        <w:t xml:space="preserve"> to young people and women</w:t>
      </w:r>
      <w:r>
        <w:rPr>
          <w:rFonts w:ascii="Times New Roman" w:hAnsi="Times New Roman"/>
          <w:bCs/>
        </w:rPr>
        <w:t>, with better working conditions,</w:t>
      </w:r>
      <w:r w:rsidRPr="007378C7">
        <w:rPr>
          <w:rFonts w:ascii="Times New Roman" w:hAnsi="Times New Roman"/>
          <w:bCs/>
        </w:rPr>
        <w:t xml:space="preserve"> modernising education and training, and improving and harmonising social and safety standards.</w:t>
      </w:r>
    </w:p>
    <w:p w:rsidR="00D21D5C" w:rsidRPr="00975116" w:rsidRDefault="00D21D5C" w:rsidP="00D21D5C">
      <w:pPr>
        <w:widowControl w:val="0"/>
        <w:spacing w:after="120"/>
        <w:rPr>
          <w:rFonts w:ascii="Times New Roman" w:hAnsi="Times New Roman"/>
        </w:rPr>
      </w:pPr>
      <w:r w:rsidRPr="00975116">
        <w:rPr>
          <w:rFonts w:ascii="Times New Roman" w:hAnsi="Times New Roman"/>
        </w:rPr>
        <w:t xml:space="preserve">On </w:t>
      </w:r>
      <w:r w:rsidRPr="00975116">
        <w:rPr>
          <w:rFonts w:ascii="Times New Roman" w:hAnsi="Times New Roman"/>
          <w:bCs/>
          <w:u w:val="single"/>
        </w:rPr>
        <w:t>financing</w:t>
      </w:r>
      <w:r w:rsidRPr="00202FDF">
        <w:rPr>
          <w:rFonts w:ascii="Times New Roman" w:hAnsi="Times New Roman"/>
          <w:bCs/>
        </w:rPr>
        <w:t>, the</w:t>
      </w:r>
      <w:r w:rsidRPr="00975116">
        <w:rPr>
          <w:rFonts w:ascii="Times New Roman" w:hAnsi="Times New Roman"/>
          <w:bCs/>
        </w:rPr>
        <w:t xml:space="preserve"> Parliament </w:t>
      </w:r>
      <w:r w:rsidRPr="00975116">
        <w:rPr>
          <w:rFonts w:ascii="Times New Roman" w:hAnsi="Times New Roman"/>
        </w:rPr>
        <w:t>calls for greater use of existing EU funds (</w:t>
      </w:r>
      <w:r w:rsidRPr="00202FDF">
        <w:rPr>
          <w:rFonts w:ascii="Times New Roman" w:hAnsi="Times New Roman"/>
        </w:rPr>
        <w:t xml:space="preserve">Connecting Europe Facility </w:t>
      </w:r>
      <w:r>
        <w:rPr>
          <w:rFonts w:ascii="Times New Roman" w:hAnsi="Times New Roman"/>
        </w:rPr>
        <w:t>(</w:t>
      </w:r>
      <w:r w:rsidRPr="00975116">
        <w:rPr>
          <w:rFonts w:ascii="Times New Roman" w:hAnsi="Times New Roman"/>
        </w:rPr>
        <w:t>CEF</w:t>
      </w:r>
      <w:r>
        <w:rPr>
          <w:rFonts w:ascii="Times New Roman" w:hAnsi="Times New Roman"/>
        </w:rPr>
        <w:t>)</w:t>
      </w:r>
      <w:r w:rsidRPr="00975116">
        <w:rPr>
          <w:rFonts w:ascii="Times New Roman" w:hAnsi="Times New Roman"/>
        </w:rPr>
        <w:t xml:space="preserve">, Horizon Europe, </w:t>
      </w:r>
      <w:r w:rsidRPr="00202FDF">
        <w:rPr>
          <w:rFonts w:ascii="Times New Roman" w:hAnsi="Times New Roman"/>
        </w:rPr>
        <w:t xml:space="preserve">European </w:t>
      </w:r>
      <w:r>
        <w:rPr>
          <w:rFonts w:ascii="Times New Roman" w:hAnsi="Times New Roman"/>
        </w:rPr>
        <w:t>structural and investment funds (</w:t>
      </w:r>
      <w:r w:rsidRPr="00975116">
        <w:rPr>
          <w:rFonts w:ascii="Times New Roman" w:hAnsi="Times New Roman"/>
        </w:rPr>
        <w:t>ESIF</w:t>
      </w:r>
      <w:r>
        <w:rPr>
          <w:rFonts w:ascii="Times New Roman" w:hAnsi="Times New Roman"/>
        </w:rPr>
        <w:t>)</w:t>
      </w:r>
      <w:r w:rsidRPr="00975116">
        <w:rPr>
          <w:rFonts w:ascii="Times New Roman" w:hAnsi="Times New Roman"/>
        </w:rPr>
        <w:t xml:space="preserve"> and </w:t>
      </w:r>
      <w:r w:rsidRPr="00202FDF">
        <w:rPr>
          <w:rFonts w:ascii="Times New Roman" w:hAnsi="Times New Roman"/>
        </w:rPr>
        <w:t>Recovery and Resilience Facility</w:t>
      </w:r>
      <w:r>
        <w:rPr>
          <w:rFonts w:ascii="Times New Roman" w:hAnsi="Times New Roman"/>
        </w:rPr>
        <w:t xml:space="preserve"> (</w:t>
      </w:r>
      <w:r w:rsidRPr="00975116">
        <w:rPr>
          <w:rFonts w:ascii="Times New Roman" w:hAnsi="Times New Roman"/>
        </w:rPr>
        <w:t>RRF)</w:t>
      </w:r>
      <w:r>
        <w:rPr>
          <w:rFonts w:ascii="Times New Roman" w:hAnsi="Times New Roman"/>
        </w:rPr>
        <w:t>)</w:t>
      </w:r>
      <w:r w:rsidRPr="00975116">
        <w:rPr>
          <w:rFonts w:ascii="Times New Roman" w:hAnsi="Times New Roman"/>
        </w:rPr>
        <w:t xml:space="preserve"> for greening and digitalising the inland waterways sector and calls on the Commission to support and incentivise the take-up of sustainable alternative fuels and technologies. Parliament also calls for the setting up of a dedicated EU Inland waterway</w:t>
      </w:r>
      <w:r>
        <w:rPr>
          <w:rFonts w:ascii="Times New Roman" w:hAnsi="Times New Roman"/>
        </w:rPr>
        <w:t>s</w:t>
      </w:r>
      <w:r w:rsidRPr="00975116">
        <w:rPr>
          <w:rFonts w:ascii="Times New Roman" w:hAnsi="Times New Roman"/>
        </w:rPr>
        <w:t xml:space="preserve"> Fund.</w:t>
      </w:r>
    </w:p>
    <w:p w:rsidR="00D21D5C" w:rsidRPr="00867C0C" w:rsidRDefault="00D21D5C" w:rsidP="00D21D5C">
      <w:pPr>
        <w:spacing w:after="120"/>
        <w:rPr>
          <w:rFonts w:ascii="Times New Roman" w:hAnsi="Times New Roman"/>
          <w:szCs w:val="24"/>
        </w:rPr>
      </w:pPr>
      <w:r w:rsidRPr="00867C0C">
        <w:rPr>
          <w:rFonts w:ascii="Times New Roman" w:hAnsi="Times New Roman"/>
          <w:szCs w:val="24"/>
          <w:lang w:val="en-IE"/>
        </w:rPr>
        <w:t xml:space="preserve">On </w:t>
      </w:r>
      <w:r w:rsidRPr="00867C0C">
        <w:rPr>
          <w:rFonts w:ascii="Times New Roman" w:hAnsi="Times New Roman"/>
          <w:szCs w:val="24"/>
          <w:u w:val="single"/>
          <w:lang w:val="en-IE"/>
        </w:rPr>
        <w:t>urban mobility</w:t>
      </w:r>
      <w:r w:rsidRPr="00C7442B">
        <w:rPr>
          <w:rFonts w:ascii="Times New Roman" w:hAnsi="Times New Roman"/>
          <w:szCs w:val="24"/>
          <w:lang w:val="en-IE"/>
        </w:rPr>
        <w:t>, the</w:t>
      </w:r>
      <w:r w:rsidRPr="00867C0C">
        <w:rPr>
          <w:rFonts w:ascii="Times New Roman" w:hAnsi="Times New Roman"/>
          <w:szCs w:val="24"/>
          <w:lang w:val="en-IE"/>
        </w:rPr>
        <w:t xml:space="preserve"> Parliament calls on the Commission to encourage </w:t>
      </w:r>
      <w:r>
        <w:rPr>
          <w:rFonts w:ascii="Times New Roman" w:hAnsi="Times New Roman"/>
          <w:szCs w:val="24"/>
          <w:lang w:val="en-IE"/>
        </w:rPr>
        <w:t xml:space="preserve">the </w:t>
      </w:r>
      <w:r w:rsidRPr="00867C0C">
        <w:rPr>
          <w:rFonts w:ascii="Times New Roman" w:hAnsi="Times New Roman"/>
          <w:szCs w:val="24"/>
          <w:lang w:val="en-IE"/>
        </w:rPr>
        <w:t xml:space="preserve">Member States and cities to include, where possible, waterborne public transport, city logistics and local freight distribution as a safe, sustainable and effective mode of transport in their sustainable urban mobility planning and to enhance their urban mobility data collection. </w:t>
      </w:r>
      <w:r>
        <w:rPr>
          <w:rFonts w:ascii="Times New Roman" w:hAnsi="Times New Roman"/>
          <w:szCs w:val="24"/>
          <w:lang w:val="en-IE"/>
        </w:rPr>
        <w:t xml:space="preserve">The </w:t>
      </w:r>
      <w:r w:rsidRPr="00867C0C">
        <w:rPr>
          <w:rFonts w:ascii="Times New Roman" w:hAnsi="Times New Roman"/>
          <w:szCs w:val="24"/>
          <w:lang w:val="en-IE"/>
        </w:rPr>
        <w:t xml:space="preserve">Parliament also </w:t>
      </w:r>
      <w:r w:rsidRPr="00867C0C">
        <w:rPr>
          <w:rFonts w:ascii="Times New Roman" w:hAnsi="Times New Roman"/>
          <w:szCs w:val="24"/>
        </w:rPr>
        <w:t xml:space="preserve">calls on the Commission to include waterborne transport in the Sustainable and Smart </w:t>
      </w:r>
      <w:r w:rsidRPr="00867C0C">
        <w:rPr>
          <w:rFonts w:ascii="Times New Roman" w:hAnsi="Times New Roman"/>
          <w:szCs w:val="24"/>
        </w:rPr>
        <w:lastRenderedPageBreak/>
        <w:t>Mobility Strategy goal of making better use of inland waterways in cities.</w:t>
      </w:r>
      <w:r>
        <w:rPr>
          <w:rFonts w:ascii="Times New Roman" w:hAnsi="Times New Roman"/>
          <w:szCs w:val="24"/>
        </w:rPr>
        <w:t xml:space="preserve"> The</w:t>
      </w:r>
      <w:r w:rsidRPr="00867C0C">
        <w:rPr>
          <w:rFonts w:ascii="Times New Roman" w:hAnsi="Times New Roman"/>
          <w:szCs w:val="24"/>
        </w:rPr>
        <w:t xml:space="preserve"> Parliament </w:t>
      </w:r>
      <w:r>
        <w:rPr>
          <w:rFonts w:ascii="Times New Roman" w:hAnsi="Times New Roman"/>
          <w:szCs w:val="24"/>
        </w:rPr>
        <w:t>finally</w:t>
      </w:r>
      <w:r w:rsidRPr="00867C0C">
        <w:rPr>
          <w:rFonts w:ascii="Times New Roman" w:hAnsi="Times New Roman"/>
          <w:szCs w:val="24"/>
        </w:rPr>
        <w:t xml:space="preserve"> calls on the Commission to enhance its collection of urban mobility data for waterborne passenger transport and freight and highlights the potential of inland waterway transport for the last mile in urban sustainable logistics</w:t>
      </w:r>
      <w:r>
        <w:rPr>
          <w:rFonts w:ascii="Times New Roman" w:hAnsi="Times New Roman"/>
          <w:szCs w:val="24"/>
        </w:rPr>
        <w:t>.</w:t>
      </w:r>
    </w:p>
    <w:p w:rsidR="00D21D5C" w:rsidRPr="00925AE6" w:rsidRDefault="00D21D5C" w:rsidP="00D21D5C">
      <w:pPr>
        <w:widowControl w:val="0"/>
        <w:ind w:left="720" w:hanging="720"/>
        <w:rPr>
          <w:rFonts w:ascii="Times New Roman" w:hAnsi="Times New Roman"/>
          <w:b/>
          <w:szCs w:val="24"/>
        </w:rPr>
      </w:pPr>
      <w:r>
        <w:rPr>
          <w:rFonts w:ascii="Times New Roman" w:hAnsi="Times New Roman"/>
          <w:b/>
          <w:szCs w:val="24"/>
        </w:rPr>
        <w:t>6.</w:t>
      </w:r>
      <w:r>
        <w:rPr>
          <w:rFonts w:ascii="Times New Roman" w:hAnsi="Times New Roman"/>
          <w:b/>
          <w:szCs w:val="24"/>
        </w:rPr>
        <w:tab/>
      </w:r>
      <w:r w:rsidRPr="00925AE6">
        <w:rPr>
          <w:rFonts w:ascii="Times New Roman" w:hAnsi="Times New Roman"/>
          <w:b/>
          <w:szCs w:val="24"/>
        </w:rPr>
        <w:t>Response to requests and overview of action taken, or intended to be taken, by the Commission:</w:t>
      </w:r>
    </w:p>
    <w:p w:rsidR="00D21D5C" w:rsidRPr="00202FDF" w:rsidRDefault="00D21D5C" w:rsidP="00D21D5C">
      <w:pPr>
        <w:spacing w:after="120"/>
        <w:jc w:val="left"/>
        <w:rPr>
          <w:rFonts w:ascii="Times New Roman" w:hAnsi="Times New Roman"/>
          <w:u w:val="single"/>
        </w:rPr>
      </w:pPr>
      <w:r w:rsidRPr="00202FDF">
        <w:rPr>
          <w:rFonts w:ascii="Times New Roman" w:hAnsi="Times New Roman"/>
          <w:u w:val="single"/>
        </w:rPr>
        <w:t>Paragraph 1</w:t>
      </w:r>
    </w:p>
    <w:p w:rsidR="00D21D5C" w:rsidRPr="00202FDF" w:rsidRDefault="00D21D5C" w:rsidP="00D21D5C">
      <w:pPr>
        <w:spacing w:after="120"/>
        <w:rPr>
          <w:rFonts w:ascii="Times New Roman" w:hAnsi="Times New Roman"/>
        </w:rPr>
      </w:pPr>
      <w:r w:rsidRPr="00202FDF">
        <w:rPr>
          <w:rFonts w:ascii="Times New Roman" w:hAnsi="Times New Roman"/>
        </w:rPr>
        <w:t>The NAIADES III Communication, adopted on June 24 2021, proposes new measures and actions to help exploit the potential of inland waterway transport and boost its contribution to sustainable, smart and resilient transport. The core objectives are: get</w:t>
      </w:r>
      <w:r>
        <w:rPr>
          <w:rFonts w:ascii="Times New Roman" w:hAnsi="Times New Roman"/>
        </w:rPr>
        <w:t>ting</w:t>
      </w:r>
      <w:r w:rsidRPr="00202FDF">
        <w:rPr>
          <w:rFonts w:ascii="Times New Roman" w:hAnsi="Times New Roman"/>
        </w:rPr>
        <w:t xml:space="preserve"> more freight onto Europe's rivers and canals, setting the sector on an irreversible path towards zero-emission barges by 2050, underpinned by a paradigm shift towards further digitalisation and measures to allow the sector to provide more attractive and sustainable jobs. The Action Plan also contains measures to facilitate financing to support the transition of the sector, and improve its governance, all in line with the European Green Deal and the Sustainable and Smart Mobility Strategy (SSMS).</w:t>
      </w:r>
    </w:p>
    <w:p w:rsidR="00D21D5C" w:rsidRPr="00202FDF" w:rsidRDefault="00D21D5C" w:rsidP="00D21D5C">
      <w:pPr>
        <w:spacing w:after="120"/>
        <w:rPr>
          <w:rFonts w:ascii="Times New Roman" w:hAnsi="Times New Roman"/>
          <w:u w:val="single"/>
        </w:rPr>
      </w:pPr>
      <w:r w:rsidRPr="00202FDF">
        <w:rPr>
          <w:rFonts w:ascii="Times New Roman" w:hAnsi="Times New Roman"/>
          <w:u w:val="single"/>
        </w:rPr>
        <w:t>Paragraph 2</w:t>
      </w:r>
    </w:p>
    <w:p w:rsidR="00D21D5C" w:rsidRPr="00202FDF" w:rsidRDefault="00D21D5C" w:rsidP="00D21D5C">
      <w:pPr>
        <w:spacing w:after="120"/>
        <w:rPr>
          <w:rFonts w:ascii="Times New Roman" w:hAnsi="Times New Roman"/>
        </w:rPr>
      </w:pPr>
      <w:r w:rsidRPr="00202FDF">
        <w:rPr>
          <w:rFonts w:ascii="Times New Roman" w:hAnsi="Times New Roman"/>
        </w:rPr>
        <w:t xml:space="preserve">The CEF funding is mainly for transport operations. </w:t>
      </w:r>
      <w:r>
        <w:rPr>
          <w:rFonts w:ascii="Times New Roman" w:hAnsi="Times New Roman"/>
        </w:rPr>
        <w:t xml:space="preserve">The </w:t>
      </w:r>
      <w:r w:rsidRPr="00202FDF">
        <w:rPr>
          <w:rFonts w:ascii="Times New Roman" w:hAnsi="Times New Roman"/>
        </w:rPr>
        <w:t xml:space="preserve">Member States are best suited to support adequate and regular en route facilities for families. </w:t>
      </w:r>
    </w:p>
    <w:p w:rsidR="00D21D5C" w:rsidRPr="00202FDF" w:rsidRDefault="00D21D5C" w:rsidP="00D21D5C">
      <w:pPr>
        <w:spacing w:after="120"/>
        <w:rPr>
          <w:rFonts w:ascii="Times New Roman" w:hAnsi="Times New Roman"/>
          <w:u w:val="single"/>
        </w:rPr>
      </w:pPr>
      <w:r w:rsidRPr="00202FDF">
        <w:rPr>
          <w:rFonts w:ascii="Times New Roman" w:hAnsi="Times New Roman"/>
          <w:u w:val="single"/>
        </w:rPr>
        <w:t>Paragraph 3</w:t>
      </w:r>
    </w:p>
    <w:p w:rsidR="00D21D5C" w:rsidRPr="00202FDF" w:rsidRDefault="00D21D5C" w:rsidP="00D21D5C">
      <w:pPr>
        <w:spacing w:after="120"/>
        <w:rPr>
          <w:rFonts w:ascii="Times New Roman" w:hAnsi="Times New Roman"/>
        </w:rPr>
      </w:pPr>
      <w:r w:rsidRPr="00202FDF">
        <w:rPr>
          <w:rFonts w:ascii="Times New Roman" w:hAnsi="Times New Roman"/>
        </w:rPr>
        <w:t xml:space="preserve">NAIADES III foresees providing support to </w:t>
      </w:r>
      <w:r>
        <w:rPr>
          <w:rFonts w:ascii="Times New Roman" w:hAnsi="Times New Roman"/>
        </w:rPr>
        <w:t xml:space="preserve">the </w:t>
      </w:r>
      <w:r w:rsidRPr="00C7442B">
        <w:rPr>
          <w:rFonts w:ascii="Times New Roman" w:hAnsi="Times New Roman"/>
        </w:rPr>
        <w:t xml:space="preserve">European Committee for Drawing up Standards in the Field of Inland Navigation </w:t>
      </w:r>
      <w:r>
        <w:rPr>
          <w:rFonts w:ascii="Times New Roman" w:hAnsi="Times New Roman"/>
        </w:rPr>
        <w:t>(</w:t>
      </w:r>
      <w:r w:rsidRPr="00202FDF">
        <w:rPr>
          <w:rFonts w:ascii="Times New Roman" w:hAnsi="Times New Roman"/>
        </w:rPr>
        <w:t>CESNI</w:t>
      </w:r>
      <w:r>
        <w:rPr>
          <w:rFonts w:ascii="Times New Roman" w:hAnsi="Times New Roman"/>
        </w:rPr>
        <w:t>)</w:t>
      </w:r>
      <w:r w:rsidRPr="00202FDF">
        <w:rPr>
          <w:rFonts w:ascii="Times New Roman" w:hAnsi="Times New Roman"/>
        </w:rPr>
        <w:t xml:space="preserve"> for further standardisation in Inland waterways transport</w:t>
      </w:r>
      <w:r>
        <w:rPr>
          <w:rFonts w:ascii="Times New Roman" w:hAnsi="Times New Roman"/>
        </w:rPr>
        <w:t>.</w:t>
      </w:r>
    </w:p>
    <w:p w:rsidR="00D21D5C" w:rsidRPr="00202FDF" w:rsidRDefault="00D21D5C" w:rsidP="00D21D5C">
      <w:pPr>
        <w:spacing w:after="120"/>
        <w:jc w:val="left"/>
        <w:rPr>
          <w:rFonts w:ascii="Times New Roman" w:hAnsi="Times New Roman"/>
        </w:rPr>
      </w:pPr>
      <w:r w:rsidRPr="00202FDF">
        <w:rPr>
          <w:rFonts w:ascii="Times New Roman" w:hAnsi="Times New Roman"/>
          <w:u w:val="single"/>
        </w:rPr>
        <w:t>Paragraph 4</w:t>
      </w:r>
    </w:p>
    <w:p w:rsidR="00D21D5C" w:rsidRPr="00202FDF" w:rsidRDefault="00D21D5C" w:rsidP="00D21D5C">
      <w:pPr>
        <w:spacing w:after="120"/>
        <w:rPr>
          <w:rFonts w:ascii="Times New Roman" w:hAnsi="Times New Roman"/>
        </w:rPr>
      </w:pPr>
      <w:r w:rsidRPr="00202FDF">
        <w:rPr>
          <w:rFonts w:ascii="Times New Roman" w:hAnsi="Times New Roman"/>
        </w:rPr>
        <w:t>NAIADES III is the ambitious response to the Sustainable and Smart Mobility Strategy objective of increasing modal shift to inland waterway transport.</w:t>
      </w:r>
    </w:p>
    <w:p w:rsidR="00D21D5C" w:rsidRPr="00202FDF" w:rsidRDefault="00D21D5C" w:rsidP="00D21D5C">
      <w:pPr>
        <w:spacing w:after="120"/>
        <w:jc w:val="left"/>
        <w:rPr>
          <w:rFonts w:ascii="Times New Roman" w:hAnsi="Times New Roman"/>
          <w:u w:val="single"/>
        </w:rPr>
      </w:pPr>
      <w:r w:rsidRPr="00202FDF">
        <w:rPr>
          <w:rFonts w:ascii="Times New Roman" w:hAnsi="Times New Roman"/>
          <w:u w:val="single"/>
        </w:rPr>
        <w:t>Paragraphs 6 and 7</w:t>
      </w:r>
    </w:p>
    <w:p w:rsidR="00D21D5C" w:rsidRPr="00202FDF" w:rsidRDefault="00D21D5C" w:rsidP="00D21D5C">
      <w:pPr>
        <w:widowControl w:val="0"/>
        <w:spacing w:after="120"/>
        <w:rPr>
          <w:rFonts w:ascii="Times New Roman" w:hAnsi="Times New Roman"/>
          <w:bCs/>
        </w:rPr>
      </w:pPr>
      <w:r w:rsidRPr="00202FDF">
        <w:rPr>
          <w:rFonts w:ascii="Times New Roman" w:eastAsia="Calibri" w:hAnsi="Times New Roman"/>
          <w:szCs w:val="22"/>
          <w:lang w:eastAsia="en-US"/>
        </w:rPr>
        <w:t>The Sustainable and Smart Mobility Strategy sets out milestones for the European transport system’s path towards achieving the objectives of a sustainable, smart and resilient mobility. One of the objectives is that transport by inland waterways and short sea shipping should increase its market share by 25% by 2030 and by 50% by 2050.</w:t>
      </w:r>
    </w:p>
    <w:p w:rsidR="00D21D5C" w:rsidRPr="00202FDF" w:rsidRDefault="00D21D5C" w:rsidP="00D21D5C">
      <w:pPr>
        <w:widowControl w:val="0"/>
        <w:spacing w:after="120"/>
        <w:rPr>
          <w:rFonts w:ascii="Times New Roman" w:hAnsi="Times New Roman"/>
        </w:rPr>
      </w:pPr>
      <w:r w:rsidRPr="00202FDF">
        <w:rPr>
          <w:rFonts w:ascii="Times New Roman" w:hAnsi="Times New Roman"/>
        </w:rPr>
        <w:t xml:space="preserve">The aim of Regulation (EU) No 1315/2013 on Union guidelines for the development of the trans-European transport network (TEN-T network) is to contribute to the creation of a single European transport area which is efficient and sustainable, increases the benefits for its users and supports </w:t>
      </w:r>
      <w:r w:rsidRPr="00202FDF">
        <w:rPr>
          <w:rFonts w:ascii="Times New Roman" w:hAnsi="Times New Roman"/>
          <w:color w:val="000000"/>
          <w:shd w:val="clear" w:color="auto" w:fill="FFFFFF"/>
        </w:rPr>
        <w:t>further economic growth and competitiveness</w:t>
      </w:r>
      <w:r w:rsidRPr="00202FDF">
        <w:rPr>
          <w:rFonts w:ascii="Times New Roman" w:hAnsi="Times New Roman"/>
        </w:rPr>
        <w:t>. It establishes guidelines for the development of a trans-European transport network comprising a dual-layer structure consisting of the comprehensive network and of the core network, the latter being established on the basis of the comprehensive network. The Commission intends to present a proposal revising this Regulation on 14 December 2021. The objective of the revision will be to make all transport modes more sustainable and to make sustainable alternatives widely available and better integrated in a multimodal transport system.</w:t>
      </w:r>
    </w:p>
    <w:p w:rsidR="00D21D5C" w:rsidRPr="00202FDF" w:rsidDel="0006001A" w:rsidRDefault="00D21D5C" w:rsidP="00D21D5C">
      <w:pPr>
        <w:widowControl w:val="0"/>
        <w:spacing w:after="120"/>
        <w:rPr>
          <w:rFonts w:ascii="Times New Roman" w:hAnsi="Times New Roman"/>
        </w:rPr>
      </w:pPr>
      <w:r w:rsidRPr="00202FDF">
        <w:rPr>
          <w:rFonts w:ascii="Times New Roman" w:hAnsi="Times New Roman"/>
        </w:rPr>
        <w:t xml:space="preserve">The Commission fully agrees with Parliament and is urging </w:t>
      </w:r>
      <w:r>
        <w:rPr>
          <w:rFonts w:ascii="Times New Roman" w:hAnsi="Times New Roman"/>
        </w:rPr>
        <w:t xml:space="preserve">the </w:t>
      </w:r>
      <w:r w:rsidRPr="00202FDF">
        <w:rPr>
          <w:rFonts w:ascii="Times New Roman" w:hAnsi="Times New Roman"/>
        </w:rPr>
        <w:t xml:space="preserve">Member States to complete the core network by 2030. EU funds, in particular CEF funds, can certainly contribute to this objective. </w:t>
      </w:r>
      <w:r w:rsidRPr="00202FDF">
        <w:rPr>
          <w:rFonts w:ascii="Times New Roman" w:hAnsi="Times New Roman"/>
          <w:szCs w:val="24"/>
          <w:lang w:val="en-IE" w:eastAsia="fr-BE"/>
        </w:rPr>
        <w:t xml:space="preserve">The European Coordinators have also been instrumental as they act as ambassadors </w:t>
      </w:r>
      <w:r w:rsidRPr="00202FDF">
        <w:rPr>
          <w:rFonts w:ascii="Times New Roman" w:hAnsi="Times New Roman"/>
          <w:szCs w:val="24"/>
          <w:lang w:val="en-IE" w:eastAsia="fr-BE"/>
        </w:rPr>
        <w:lastRenderedPageBreak/>
        <w:t>of the TEN-T policy. The TEN-T revision should reinforce the role of the European Coordinators. They should not only foster the priority setting at national level, but also facilitate the monitoring of progress made on the TEN network.</w:t>
      </w:r>
      <w:r w:rsidRPr="00202FDF">
        <w:rPr>
          <w:rFonts w:ascii="Times New Roman" w:eastAsia="Calibri" w:hAnsi="Times New Roman"/>
          <w:szCs w:val="22"/>
          <w:lang w:eastAsia="en-US"/>
        </w:rPr>
        <w:t xml:space="preserve"> To achieve this objective, the work plans of the European Coordinators should be used to promote cooperation between all relevant stakeholders, to strengthen </w:t>
      </w:r>
      <w:r w:rsidRPr="00202FDF" w:rsidDel="00E517AB">
        <w:rPr>
          <w:rFonts w:ascii="Times New Roman" w:eastAsia="Calibri" w:hAnsi="Times New Roman"/>
          <w:szCs w:val="22"/>
          <w:lang w:eastAsia="en-US"/>
        </w:rPr>
        <w:t xml:space="preserve">complementarity with actions by </w:t>
      </w:r>
      <w:r>
        <w:rPr>
          <w:rFonts w:ascii="Times New Roman" w:eastAsia="Calibri" w:hAnsi="Times New Roman"/>
          <w:szCs w:val="22"/>
          <w:lang w:eastAsia="en-US"/>
        </w:rPr>
        <w:t xml:space="preserve">the </w:t>
      </w:r>
      <w:r w:rsidRPr="00202FDF" w:rsidDel="00E517AB">
        <w:rPr>
          <w:rFonts w:ascii="Times New Roman" w:eastAsia="Calibri" w:hAnsi="Times New Roman"/>
          <w:szCs w:val="22"/>
          <w:lang w:eastAsia="en-US"/>
        </w:rPr>
        <w:t>Member States</w:t>
      </w:r>
      <w:r w:rsidRPr="00202FDF">
        <w:rPr>
          <w:rFonts w:ascii="Times New Roman" w:eastAsia="Calibri" w:hAnsi="Times New Roman"/>
          <w:szCs w:val="22"/>
          <w:lang w:eastAsia="en-US"/>
        </w:rPr>
        <w:t xml:space="preserve"> and in particular to set the milestones and priorities for investments.</w:t>
      </w:r>
    </w:p>
    <w:p w:rsidR="00D21D5C" w:rsidRPr="00202FDF" w:rsidRDefault="00D21D5C" w:rsidP="00D21D5C">
      <w:pPr>
        <w:tabs>
          <w:tab w:val="num" w:pos="0"/>
        </w:tabs>
        <w:spacing w:after="120"/>
        <w:rPr>
          <w:rFonts w:ascii="Times New Roman" w:eastAsia="Calibri" w:hAnsi="Times New Roman"/>
          <w:szCs w:val="22"/>
          <w:lang w:eastAsia="en-US"/>
        </w:rPr>
      </w:pPr>
      <w:r w:rsidRPr="00202FDF">
        <w:rPr>
          <w:rFonts w:ascii="Times New Roman" w:eastAsia="Calibri" w:hAnsi="Times New Roman"/>
          <w:szCs w:val="22"/>
          <w:lang w:eastAsia="en-US"/>
        </w:rPr>
        <w:t xml:space="preserve">Inland waterways, especially free flowing stretches, may be heavily </w:t>
      </w:r>
      <w:r>
        <w:rPr>
          <w:rFonts w:ascii="Times New Roman" w:eastAsia="Calibri" w:hAnsi="Times New Roman"/>
          <w:szCs w:val="22"/>
          <w:lang w:eastAsia="en-US"/>
        </w:rPr>
        <w:t>affected</w:t>
      </w:r>
      <w:r w:rsidRPr="00202FDF">
        <w:rPr>
          <w:rFonts w:ascii="Times New Roman" w:eastAsia="Calibri" w:hAnsi="Times New Roman"/>
          <w:szCs w:val="22"/>
          <w:lang w:eastAsia="en-US"/>
        </w:rPr>
        <w:t xml:space="preserve"> by climate and weather conditions. In order to ensure reliable international traffic, while respecting the hydro-morphology and applicable environmental legislation, TEN-T requirements should better reflect the specific hydro-morphology of each waterway as well as the objectives of environmental and biodiversity policies. The Commission will consider in the proposal revising the TEN-T Regulation a definition of Good Navigation Status, probably at the river basin/ corridor level. It is the intention to translate an obligation to </w:t>
      </w:r>
      <w:r>
        <w:rPr>
          <w:rFonts w:ascii="Times New Roman" w:eastAsia="Calibri" w:hAnsi="Times New Roman"/>
          <w:szCs w:val="22"/>
          <w:lang w:eastAsia="en-US"/>
        </w:rPr>
        <w:t xml:space="preserve">the </w:t>
      </w:r>
      <w:r w:rsidRPr="00202FDF">
        <w:rPr>
          <w:rFonts w:ascii="Times New Roman" w:eastAsia="Calibri" w:hAnsi="Times New Roman"/>
          <w:szCs w:val="22"/>
          <w:lang w:eastAsia="en-US"/>
        </w:rPr>
        <w:t>Member States to enable efficient, reliable and safe navigation by ensuring minimum waterway requirements and levels of service and by preventing the deterioration of these minimum requirements.</w:t>
      </w:r>
    </w:p>
    <w:p w:rsidR="00D21D5C" w:rsidRPr="00202FDF" w:rsidRDefault="00D21D5C" w:rsidP="00D21D5C">
      <w:pPr>
        <w:spacing w:after="120"/>
        <w:rPr>
          <w:rFonts w:ascii="Times New Roman" w:eastAsia="Calibri" w:hAnsi="Times New Roman"/>
          <w:szCs w:val="22"/>
          <w:lang w:eastAsia="en-US"/>
        </w:rPr>
      </w:pPr>
      <w:r w:rsidRPr="00202FDF">
        <w:rPr>
          <w:rFonts w:ascii="Times New Roman" w:eastAsia="Calibri" w:hAnsi="Times New Roman"/>
          <w:szCs w:val="22"/>
          <w:lang w:eastAsia="en-US"/>
        </w:rPr>
        <w:t xml:space="preserve">Promoting zero and low emission </w:t>
      </w:r>
      <w:r w:rsidRPr="00202FDF">
        <w:rPr>
          <w:rFonts w:ascii="Times New Roman" w:eastAsia="Calibri" w:hAnsi="Times New Roman"/>
          <w:szCs w:val="22"/>
          <w:lang w:val="en-IE" w:eastAsia="en-US"/>
        </w:rPr>
        <w:t>vessels</w:t>
      </w:r>
      <w:r w:rsidRPr="00202FDF">
        <w:rPr>
          <w:rFonts w:ascii="Times New Roman" w:eastAsia="Calibri" w:hAnsi="Times New Roman"/>
          <w:szCs w:val="22"/>
          <w:lang w:eastAsia="en-US"/>
        </w:rPr>
        <w:t>, and developing measures to improve the environmental performance of inland waterway transport in accordance with the applicable requirements under Union law or relevant international agreements is also essential.</w:t>
      </w:r>
    </w:p>
    <w:p w:rsidR="00D21D5C" w:rsidRPr="00202FDF" w:rsidRDefault="00D21D5C" w:rsidP="00D21D5C">
      <w:pPr>
        <w:widowControl w:val="0"/>
        <w:spacing w:after="120"/>
        <w:rPr>
          <w:rFonts w:ascii="Times New Roman" w:hAnsi="Times New Roman"/>
          <w:bCs/>
          <w:u w:val="single"/>
        </w:rPr>
      </w:pPr>
      <w:r w:rsidRPr="00202FDF">
        <w:rPr>
          <w:rFonts w:ascii="Times New Roman" w:hAnsi="Times New Roman"/>
          <w:bCs/>
          <w:u w:val="single"/>
        </w:rPr>
        <w:t>Paragraph 11</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rPr>
        <w:t>The Commission will assess the need in the TEN-T revision for flexible technical requirements for inland waterway transport infrastructure for taking into account the water level along the TEN-T network. Horizon Europe will also support research projects for climate resilient infrastructure.</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rPr>
        <w:t xml:space="preserve">Increasingly, low water levels in rivers are recognised by </w:t>
      </w:r>
      <w:r>
        <w:rPr>
          <w:rFonts w:ascii="Times New Roman" w:hAnsi="Times New Roman"/>
          <w:bCs/>
        </w:rPr>
        <w:t xml:space="preserve">the </w:t>
      </w:r>
      <w:r w:rsidRPr="00202FDF">
        <w:rPr>
          <w:rFonts w:ascii="Times New Roman" w:hAnsi="Times New Roman"/>
          <w:bCs/>
        </w:rPr>
        <w:t>Member States and the Commission as an issue</w:t>
      </w:r>
      <w:r>
        <w:rPr>
          <w:rFonts w:ascii="Times New Roman" w:hAnsi="Times New Roman"/>
          <w:bCs/>
        </w:rPr>
        <w:t>,</w:t>
      </w:r>
      <w:r w:rsidRPr="00202FDF">
        <w:rPr>
          <w:rFonts w:ascii="Times New Roman" w:hAnsi="Times New Roman"/>
          <w:bCs/>
        </w:rPr>
        <w:t xml:space="preserve"> which needs attention. The extreme droughts over the last years, among others in Central and Western Europe, revealed the breadth of impacts, e.g. on transport of goods through shipping, intake of fresh water for drinking water production</w:t>
      </w:r>
      <w:r>
        <w:rPr>
          <w:rFonts w:ascii="Times New Roman" w:hAnsi="Times New Roman"/>
          <w:bCs/>
        </w:rPr>
        <w:t>,</w:t>
      </w:r>
      <w:r w:rsidRPr="00202FDF">
        <w:rPr>
          <w:rFonts w:ascii="Times New Roman" w:hAnsi="Times New Roman"/>
          <w:bCs/>
        </w:rPr>
        <w:t xml:space="preserve"> etc. This topic is also on the agenda of an increasing number of (transboundary) river basin organisations, such as the one for the Rhine, the Meuse and the Danube. Some of them have started to draft action plans for low water. The river basin is an ideal scale for cross-border coordination. The Common Implementation Strategy, in which </w:t>
      </w:r>
      <w:r>
        <w:rPr>
          <w:rFonts w:ascii="Times New Roman" w:hAnsi="Times New Roman"/>
          <w:bCs/>
        </w:rPr>
        <w:t xml:space="preserve">the </w:t>
      </w:r>
      <w:r w:rsidRPr="00202FDF">
        <w:rPr>
          <w:rFonts w:ascii="Times New Roman" w:hAnsi="Times New Roman"/>
          <w:bCs/>
        </w:rPr>
        <w:t>Member States and the Commission work together to implement the Water Framework Directive and the Floods Directive will also be instrumental in ensuring coordination at EU-scale.</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u w:val="single"/>
        </w:rPr>
        <w:t>Paragraph 12</w:t>
      </w:r>
    </w:p>
    <w:p w:rsidR="00D21D5C" w:rsidRPr="00202FDF" w:rsidRDefault="00D21D5C" w:rsidP="00D21D5C">
      <w:pPr>
        <w:spacing w:after="120"/>
        <w:rPr>
          <w:rFonts w:ascii="Times New Roman" w:hAnsi="Times New Roman"/>
          <w:lang w:val="en-US"/>
        </w:rPr>
      </w:pPr>
      <w:r w:rsidRPr="00202FDF">
        <w:rPr>
          <w:rFonts w:ascii="Times New Roman" w:hAnsi="Times New Roman"/>
          <w:szCs w:val="24"/>
        </w:rPr>
        <w:t>Regarding the use of</w:t>
      </w:r>
      <w:r w:rsidRPr="00202FDF">
        <w:rPr>
          <w:rFonts w:ascii="Times New Roman" w:hAnsi="Times New Roman"/>
          <w:b/>
          <w:bCs/>
          <w:szCs w:val="24"/>
        </w:rPr>
        <w:t xml:space="preserve"> </w:t>
      </w:r>
      <w:r w:rsidRPr="00202FDF">
        <w:rPr>
          <w:rFonts w:ascii="Times New Roman" w:hAnsi="Times New Roman"/>
          <w:bCs/>
          <w:szCs w:val="24"/>
        </w:rPr>
        <w:t>space data,</w:t>
      </w:r>
      <w:r w:rsidRPr="00202FDF">
        <w:rPr>
          <w:rFonts w:ascii="Times New Roman" w:hAnsi="Times New Roman"/>
          <w:b/>
          <w:bCs/>
          <w:szCs w:val="24"/>
        </w:rPr>
        <w:t xml:space="preserve"> </w:t>
      </w:r>
      <w:r w:rsidRPr="00202FDF">
        <w:rPr>
          <w:rFonts w:ascii="Times New Roman" w:hAnsi="Times New Roman"/>
          <w:bCs/>
          <w:szCs w:val="24"/>
        </w:rPr>
        <w:t>t</w:t>
      </w:r>
      <w:r w:rsidRPr="00202FDF">
        <w:rPr>
          <w:rFonts w:ascii="Times New Roman" w:hAnsi="Times New Roman"/>
          <w:szCs w:val="24"/>
        </w:rPr>
        <w:t>he ITS Directive already includes references to the use of satellite-based infrastructures to deliver timing and positioning, including in its Annex II on the principles for specifications and deployment of ITS, and to the European satellite navigation programmes (EGNOS and Galileo).</w:t>
      </w:r>
      <w:r w:rsidRPr="00202FDF">
        <w:rPr>
          <w:rFonts w:ascii="Times New Roman" w:hAnsi="Times New Roman"/>
          <w:lang w:val="en-US"/>
        </w:rPr>
        <w:t xml:space="preserve"> </w:t>
      </w:r>
    </w:p>
    <w:p w:rsidR="00D21D5C" w:rsidRPr="00202FDF" w:rsidRDefault="00D21D5C" w:rsidP="00D21D5C">
      <w:pPr>
        <w:spacing w:after="120"/>
        <w:rPr>
          <w:rFonts w:ascii="Times New Roman" w:hAnsi="Times New Roman"/>
          <w:lang w:val="en-US"/>
        </w:rPr>
      </w:pPr>
      <w:r w:rsidRPr="00202FDF">
        <w:rPr>
          <w:rFonts w:ascii="Times New Roman" w:hAnsi="Times New Roman"/>
          <w:szCs w:val="24"/>
        </w:rPr>
        <w:t>The upcoming review of the ITS Directive will continue to include these references, and reflect the evolutions of these programmes.</w:t>
      </w:r>
    </w:p>
    <w:p w:rsidR="00D21D5C" w:rsidRPr="00202FDF" w:rsidRDefault="00D21D5C" w:rsidP="00D21D5C">
      <w:pPr>
        <w:widowControl w:val="0"/>
        <w:spacing w:after="120"/>
        <w:rPr>
          <w:rFonts w:ascii="Times New Roman" w:hAnsi="Times New Roman"/>
          <w:b/>
          <w:bCs/>
          <w:u w:val="single"/>
        </w:rPr>
      </w:pPr>
      <w:r w:rsidRPr="00202FDF">
        <w:rPr>
          <w:rFonts w:ascii="Times New Roman" w:hAnsi="Times New Roman"/>
          <w:b/>
          <w:bCs/>
          <w:u w:val="single"/>
        </w:rPr>
        <w:t>Greening inland waterways transport</w:t>
      </w:r>
    </w:p>
    <w:p w:rsidR="00D21D5C" w:rsidRPr="00202FDF" w:rsidRDefault="00D21D5C" w:rsidP="00D21D5C">
      <w:pPr>
        <w:widowControl w:val="0"/>
        <w:spacing w:after="120"/>
        <w:rPr>
          <w:rFonts w:ascii="Times New Roman" w:hAnsi="Times New Roman"/>
          <w:bCs/>
          <w:u w:val="single"/>
        </w:rPr>
      </w:pPr>
      <w:r w:rsidRPr="00202FDF">
        <w:rPr>
          <w:rFonts w:ascii="Times New Roman" w:hAnsi="Times New Roman"/>
          <w:bCs/>
          <w:u w:val="single"/>
        </w:rPr>
        <w:t>Paragraph</w:t>
      </w:r>
      <w:r>
        <w:rPr>
          <w:rFonts w:ascii="Times New Roman" w:hAnsi="Times New Roman"/>
          <w:bCs/>
          <w:u w:val="single"/>
        </w:rPr>
        <w:t xml:space="preserve"> 14</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rPr>
        <w:t>The Commission agrees that the waterborne sector faces significant challenges to deploy and scale-up climate neutral solutions. In the NAIADES-III Action Plan, the Commission has committed itself to facilitate solutions to overcome the investment challenge (see below</w:t>
      </w:r>
      <w:r>
        <w:rPr>
          <w:rFonts w:ascii="Times New Roman" w:hAnsi="Times New Roman"/>
          <w:bCs/>
        </w:rPr>
        <w:t>).</w:t>
      </w:r>
    </w:p>
    <w:p w:rsidR="00D21D5C" w:rsidRPr="00202FDF" w:rsidRDefault="00D21D5C" w:rsidP="00D21D5C">
      <w:pPr>
        <w:widowControl w:val="0"/>
        <w:spacing w:after="120"/>
        <w:rPr>
          <w:rFonts w:ascii="Times New Roman" w:hAnsi="Times New Roman"/>
          <w:bCs/>
          <w:szCs w:val="24"/>
        </w:rPr>
      </w:pPr>
      <w:r w:rsidRPr="00202FDF">
        <w:rPr>
          <w:rFonts w:ascii="Times New Roman" w:hAnsi="Times New Roman"/>
          <w:szCs w:val="24"/>
        </w:rPr>
        <w:lastRenderedPageBreak/>
        <w:t>The Horizon 2020 Platina III project will propose a roadmap for decarbonising the inland waterways sector, and will specifically look at ways to improve the funding and financing conditions for investing in green technologies in the inland waterway sector. The Commission, taking account of these studies, will consider under what conditions EU financial instruments can support those technological pathways that are compatible with the ambition of the EU Green Deal.</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u w:val="single"/>
        </w:rPr>
        <w:t>Paragraph 16</w:t>
      </w:r>
    </w:p>
    <w:p w:rsidR="00D21D5C" w:rsidRPr="00202FDF" w:rsidRDefault="00D21D5C" w:rsidP="00D21D5C">
      <w:pPr>
        <w:widowControl w:val="0"/>
        <w:spacing w:after="120"/>
        <w:rPr>
          <w:rFonts w:ascii="Times New Roman" w:hAnsi="Times New Roman"/>
          <w:lang w:eastAsia="en-IE"/>
        </w:rPr>
      </w:pPr>
      <w:r>
        <w:rPr>
          <w:rFonts w:ascii="Times New Roman" w:hAnsi="Times New Roman"/>
          <w:lang w:eastAsia="en-IE"/>
        </w:rPr>
        <w:t xml:space="preserve">The European Green Deal </w:t>
      </w:r>
      <w:r w:rsidRPr="00202FDF">
        <w:rPr>
          <w:rFonts w:ascii="Times New Roman" w:hAnsi="Times New Roman"/>
          <w:lang w:eastAsia="en-IE"/>
        </w:rPr>
        <w:t>emphasises that the EU will ‘ramp-up the production and deployment of sustainable alternative transport fuels’, through legislative proposals to boost the production and uptake of sustainable alte</w:t>
      </w:r>
      <w:r>
        <w:rPr>
          <w:rFonts w:ascii="Times New Roman" w:hAnsi="Times New Roman"/>
          <w:lang w:eastAsia="en-IE"/>
        </w:rPr>
        <w:t xml:space="preserve">rnative fuels for the </w:t>
      </w:r>
      <w:r w:rsidRPr="00202FDF">
        <w:rPr>
          <w:rFonts w:ascii="Times New Roman" w:hAnsi="Times New Roman"/>
          <w:lang w:eastAsia="en-IE"/>
        </w:rPr>
        <w:t>different transport modes. These proposals have been presented on 14 July 2021, as part of the Fit for 55 package. The package also included the proposal to review the Alternative Fuels Infrastructure Directive and the TEN-T Regulatio</w:t>
      </w:r>
      <w:r>
        <w:rPr>
          <w:rFonts w:ascii="Times New Roman" w:hAnsi="Times New Roman"/>
          <w:lang w:eastAsia="en-IE"/>
        </w:rPr>
        <w:t xml:space="preserve">n to </w:t>
      </w:r>
      <w:r w:rsidRPr="00202FDF">
        <w:rPr>
          <w:rFonts w:ascii="Times New Roman" w:hAnsi="Times New Roman"/>
          <w:lang w:eastAsia="en-IE"/>
        </w:rPr>
        <w:t>accelerate the deployment of zero- and low-emission vehicles and vessels.</w:t>
      </w:r>
    </w:p>
    <w:p w:rsidR="00D21D5C" w:rsidRPr="00202FDF" w:rsidRDefault="00D21D5C" w:rsidP="00D21D5C">
      <w:pPr>
        <w:spacing w:after="120"/>
        <w:rPr>
          <w:rFonts w:ascii="Times New Roman" w:hAnsi="Times New Roman"/>
        </w:rPr>
      </w:pPr>
      <w:r w:rsidRPr="00202FDF">
        <w:rPr>
          <w:rFonts w:ascii="Times New Roman" w:hAnsi="Times New Roman"/>
        </w:rPr>
        <w:t>The increased deployment and use of renewable and low-carbon fuels must be accompanied by the deployment of recharging and refuelling infrastructure to enable the widespread uptake of low- and zero-emission vehicles and vessels.</w:t>
      </w:r>
    </w:p>
    <w:p w:rsidR="00D21D5C" w:rsidRPr="00202FDF" w:rsidRDefault="00D21D5C" w:rsidP="00D21D5C">
      <w:pPr>
        <w:spacing w:after="120"/>
        <w:rPr>
          <w:rFonts w:ascii="Times New Roman" w:hAnsi="Times New Roman"/>
        </w:rPr>
      </w:pPr>
      <w:r w:rsidRPr="00202FDF">
        <w:rPr>
          <w:rFonts w:ascii="Times New Roman" w:hAnsi="Times New Roman"/>
        </w:rPr>
        <w:t>In addition to revising the regulatory framework, the Commission is also supporting the uptake of zero- and low-emission solutions and the use of renewable and low-carbon fuels in all modes of transport through a set of programmes.</w:t>
      </w:r>
    </w:p>
    <w:p w:rsidR="00D21D5C" w:rsidRPr="00202FDF" w:rsidRDefault="00D21D5C" w:rsidP="00D21D5C">
      <w:pPr>
        <w:spacing w:after="120"/>
        <w:rPr>
          <w:rFonts w:ascii="Times New Roman" w:hAnsi="Times New Roman"/>
        </w:rPr>
      </w:pPr>
      <w:r w:rsidRPr="00202FDF">
        <w:rPr>
          <w:rFonts w:ascii="Times New Roman" w:hAnsi="Times New Roman"/>
        </w:rPr>
        <w:t>In particular, the Alternative Fuels Infrastructure Facility under the Connecting Europe Facility will support the deployment of alternative fuels infrastructure along the TEN-T network.</w:t>
      </w:r>
    </w:p>
    <w:p w:rsidR="00D21D5C" w:rsidRPr="00202FDF" w:rsidRDefault="00D21D5C" w:rsidP="00D21D5C">
      <w:pPr>
        <w:spacing w:after="120"/>
      </w:pPr>
      <w:r w:rsidRPr="00202FDF">
        <w:rPr>
          <w:rFonts w:ascii="Times New Roman" w:hAnsi="Times New Roman"/>
        </w:rPr>
        <w:t>This will complement other funding programme such as the Recovery and Resilience Facility, the Cohesion Policy Funds, InvestEU, Horizon Europe and the Innovation Fund, which all support the goal of achieving climate neutrality by 2050 while focussing on different aspects of the deployment of alternative fuels and relevant technologies.</w:t>
      </w:r>
    </w:p>
    <w:p w:rsidR="00D21D5C" w:rsidRPr="00202FDF" w:rsidRDefault="00D21D5C" w:rsidP="00D21D5C">
      <w:pPr>
        <w:widowControl w:val="0"/>
        <w:spacing w:after="120"/>
        <w:rPr>
          <w:rFonts w:ascii="Times New Roman" w:hAnsi="Times New Roman"/>
          <w:u w:val="single"/>
          <w:lang w:eastAsia="en-IE"/>
        </w:rPr>
      </w:pPr>
      <w:r w:rsidRPr="00202FDF">
        <w:rPr>
          <w:rFonts w:ascii="Times New Roman" w:hAnsi="Times New Roman"/>
          <w:u w:val="single"/>
          <w:lang w:eastAsia="en-IE"/>
        </w:rPr>
        <w:t>Paragraph 17</w:t>
      </w:r>
    </w:p>
    <w:p w:rsidR="00D21D5C" w:rsidRPr="00202FDF" w:rsidRDefault="00D21D5C" w:rsidP="00D21D5C">
      <w:pPr>
        <w:widowControl w:val="0"/>
        <w:spacing w:after="120"/>
        <w:rPr>
          <w:rFonts w:ascii="Times New Roman" w:hAnsi="Times New Roman"/>
          <w:lang w:eastAsia="en-IE"/>
        </w:rPr>
      </w:pPr>
      <w:r w:rsidRPr="00202FDF">
        <w:rPr>
          <w:rFonts w:ascii="Times New Roman" w:hAnsi="Times New Roman"/>
          <w:lang w:eastAsia="en-IE"/>
        </w:rPr>
        <w:t>The Horizon 2020 Platina III project will develop a methodology for a labelling system for inland waterways vessels. The Commission will also establish an EU framework for the harmonised measurement of emissions from logistics and transport, which could subsequently be used to provide businesses and end-users with information on the carbon footprint of their choices, and help increase the demand for more sustainable options, including both inland waterways and short-sea shipping services, where feasible.</w:t>
      </w:r>
    </w:p>
    <w:p w:rsidR="00D21D5C" w:rsidRPr="00202FDF" w:rsidRDefault="00D21D5C" w:rsidP="00D21D5C">
      <w:pPr>
        <w:spacing w:after="120"/>
        <w:rPr>
          <w:rFonts w:ascii="Times New Roman" w:hAnsi="Times New Roman"/>
        </w:rPr>
      </w:pPr>
      <w:r w:rsidRPr="00202FDF">
        <w:rPr>
          <w:rFonts w:ascii="Times New Roman" w:hAnsi="Times New Roman"/>
          <w:u w:val="single"/>
        </w:rPr>
        <w:t>Paragraph 20</w:t>
      </w:r>
    </w:p>
    <w:p w:rsidR="00D21D5C" w:rsidRPr="00202FDF" w:rsidRDefault="00D21D5C" w:rsidP="00D21D5C">
      <w:pPr>
        <w:spacing w:after="120"/>
        <w:rPr>
          <w:rFonts w:ascii="Times New Roman" w:hAnsi="Times New Roman"/>
        </w:rPr>
      </w:pPr>
      <w:r w:rsidRPr="00202FDF">
        <w:rPr>
          <w:rFonts w:ascii="Times New Roman" w:hAnsi="Times New Roman"/>
        </w:rPr>
        <w:t>The Commission adopted on 1</w:t>
      </w:r>
      <w:r>
        <w:rPr>
          <w:rFonts w:ascii="Times New Roman" w:hAnsi="Times New Roman"/>
        </w:rPr>
        <w:t>4 July 2021 the proposal for a r</w:t>
      </w:r>
      <w:r w:rsidRPr="00202FDF">
        <w:rPr>
          <w:rFonts w:ascii="Times New Roman" w:hAnsi="Times New Roman"/>
        </w:rPr>
        <w:t>egulation on the deployment of alternative fuels infrastructure in the EU, including the targets for shore-side electricity supply in inland waterway ports.</w:t>
      </w:r>
      <w:r w:rsidRPr="00202FDF">
        <w:rPr>
          <w:rFonts w:ascii="Times New Roman" w:hAnsi="Times New Roman"/>
          <w:vertAlign w:val="superscript"/>
        </w:rPr>
        <w:footnoteReference w:id="1"/>
      </w:r>
      <w:r w:rsidRPr="00202FDF">
        <w:rPr>
          <w:rFonts w:ascii="Times New Roman" w:hAnsi="Times New Roman"/>
        </w:rPr>
        <w:t xml:space="preserve"> According to Article 10 of this proposal</w:t>
      </w:r>
      <w:r>
        <w:rPr>
          <w:rFonts w:ascii="Times New Roman" w:hAnsi="Times New Roman"/>
        </w:rPr>
        <w:t xml:space="preserve"> the</w:t>
      </w:r>
      <w:r w:rsidRPr="00202FDF">
        <w:rPr>
          <w:rFonts w:ascii="Times New Roman" w:hAnsi="Times New Roman"/>
        </w:rPr>
        <w:t xml:space="preserve"> Member States will have to ensure that: (a) at least one installation providing shore-side electricity supply to inland waterway vessels is deployed at all TEN-T core inland waterway ports by 1 January 2025; (b) at least one installation providing shore-side electricity supply to inland waterway vessels is deployed at all TEN-T comprehensive inland waterway ports by 1 January 2030.</w:t>
      </w:r>
    </w:p>
    <w:p w:rsidR="00D21D5C" w:rsidRPr="00202FDF" w:rsidRDefault="00D21D5C" w:rsidP="00D21D5C">
      <w:pPr>
        <w:spacing w:after="120"/>
        <w:rPr>
          <w:rFonts w:ascii="Times New Roman" w:hAnsi="Times New Roman"/>
        </w:rPr>
      </w:pPr>
      <w:r w:rsidRPr="00202FDF">
        <w:rPr>
          <w:rFonts w:ascii="Times New Roman" w:hAnsi="Times New Roman"/>
        </w:rPr>
        <w:t xml:space="preserve">In addition, Article 13 of the proposal provides that by 1 January 2024, each Member State is to prepare and send to the Commission a draft national policy framework, including a </w:t>
      </w:r>
      <w:r w:rsidRPr="00202FDF">
        <w:rPr>
          <w:rFonts w:ascii="Times New Roman" w:hAnsi="Times New Roman"/>
        </w:rPr>
        <w:lastRenderedPageBreak/>
        <w:t>deployment plan for alternative fuels in inland waterway transport, in particular for both hydrogen and electricity.</w:t>
      </w:r>
    </w:p>
    <w:p w:rsidR="00D21D5C" w:rsidRPr="00202FDF" w:rsidRDefault="00D21D5C" w:rsidP="00D21D5C">
      <w:pPr>
        <w:spacing w:after="120"/>
        <w:rPr>
          <w:rFonts w:ascii="Times New Roman" w:hAnsi="Times New Roman"/>
        </w:rPr>
      </w:pPr>
      <w:r w:rsidRPr="00202FDF">
        <w:rPr>
          <w:rFonts w:ascii="Times New Roman" w:hAnsi="Times New Roman"/>
        </w:rPr>
        <w:t>On funding</w:t>
      </w:r>
      <w:r>
        <w:rPr>
          <w:rFonts w:ascii="Times New Roman" w:hAnsi="Times New Roman"/>
        </w:rPr>
        <w:t>,</w:t>
      </w:r>
      <w:r w:rsidRPr="00202FDF">
        <w:rPr>
          <w:rFonts w:ascii="Times New Roman" w:hAnsi="Times New Roman"/>
        </w:rPr>
        <w:t xml:space="preserve"> see the comments below in paragraphs 43 and 49.</w:t>
      </w:r>
    </w:p>
    <w:p w:rsidR="00D21D5C" w:rsidRPr="00202FDF" w:rsidRDefault="00D21D5C" w:rsidP="00D21D5C">
      <w:pPr>
        <w:widowControl w:val="0"/>
        <w:spacing w:after="120"/>
        <w:rPr>
          <w:rFonts w:ascii="Times New Roman" w:hAnsi="Times New Roman"/>
          <w:b/>
          <w:bCs/>
          <w:u w:val="single"/>
        </w:rPr>
      </w:pPr>
      <w:r w:rsidRPr="00202FDF">
        <w:rPr>
          <w:rFonts w:ascii="Times New Roman" w:hAnsi="Times New Roman"/>
          <w:b/>
          <w:bCs/>
          <w:u w:val="single"/>
        </w:rPr>
        <w:t>Digitalisation and autonomous shipping</w:t>
      </w:r>
    </w:p>
    <w:p w:rsidR="00D21D5C" w:rsidRPr="00202FDF" w:rsidRDefault="00D21D5C" w:rsidP="00D21D5C">
      <w:pPr>
        <w:widowControl w:val="0"/>
        <w:spacing w:after="120"/>
        <w:rPr>
          <w:rFonts w:ascii="Times New Roman" w:hAnsi="Times New Roman"/>
          <w:lang w:eastAsia="en-IE"/>
        </w:rPr>
      </w:pPr>
      <w:r w:rsidRPr="00202FDF">
        <w:rPr>
          <w:rFonts w:ascii="Times New Roman" w:hAnsi="Times New Roman"/>
          <w:lang w:eastAsia="en-IE"/>
        </w:rPr>
        <w:t>In the NAIADES III Action Plan, the Commission has set the clear objective that</w:t>
      </w:r>
      <w:r>
        <w:rPr>
          <w:rFonts w:ascii="Times New Roman" w:hAnsi="Times New Roman"/>
          <w:lang w:eastAsia="en-IE"/>
        </w:rPr>
        <w:t>,</w:t>
      </w:r>
      <w:r w:rsidRPr="00202FDF">
        <w:rPr>
          <w:rFonts w:ascii="Times New Roman" w:hAnsi="Times New Roman"/>
          <w:lang w:eastAsia="en-IE"/>
        </w:rPr>
        <w:t xml:space="preserve"> by 2030, the European inland waterway network can and must be connected as much as possible - also digitally - to other transport modes, starting from River Information System and other initiatives to connect inland waterways proper.</w:t>
      </w:r>
    </w:p>
    <w:p w:rsidR="00D21D5C" w:rsidRPr="00202FDF" w:rsidRDefault="00D21D5C" w:rsidP="00D21D5C">
      <w:pPr>
        <w:widowControl w:val="0"/>
        <w:spacing w:after="120"/>
        <w:rPr>
          <w:rFonts w:ascii="Times New Roman" w:hAnsi="Times New Roman"/>
          <w:u w:val="single"/>
          <w:lang w:eastAsia="en-IE"/>
        </w:rPr>
      </w:pPr>
      <w:r w:rsidRPr="00202FDF">
        <w:rPr>
          <w:rFonts w:ascii="Times New Roman" w:hAnsi="Times New Roman"/>
          <w:u w:val="single"/>
          <w:lang w:eastAsia="en-IE"/>
        </w:rPr>
        <w:t>Paragraph 24</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rPr>
        <w:t>The Commission will assess the need for legislative initiatives for on-board digital tools for recording and exchanging information on crews and vessels, as well as on crewing requirements for better harmonisation at EU level.</w:t>
      </w:r>
    </w:p>
    <w:p w:rsidR="00D21D5C" w:rsidRPr="00202FDF" w:rsidRDefault="00D21D5C" w:rsidP="00D21D5C">
      <w:pPr>
        <w:widowControl w:val="0"/>
        <w:spacing w:after="120"/>
        <w:rPr>
          <w:rFonts w:ascii="Times New Roman" w:hAnsi="Times New Roman"/>
          <w:bCs/>
          <w:u w:val="single"/>
        </w:rPr>
      </w:pPr>
      <w:r w:rsidRPr="00202FDF">
        <w:rPr>
          <w:rFonts w:ascii="Times New Roman" w:hAnsi="Times New Roman"/>
          <w:bCs/>
          <w:u w:val="single"/>
        </w:rPr>
        <w:t>Paragraph 25</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rPr>
        <w:t>The Commission, in cooperation with Member States and stakeholders, works on relevant delegated and implementing acts, in line with the deadlines set in the eFTI Regulation. The Commission will put forward data definitions and implementation specifications for the authorities and the eFTI platforms by August 2023. The Member States and the private sector have until August 2025 to get their systems up and running.</w:t>
      </w:r>
    </w:p>
    <w:p w:rsidR="00D21D5C" w:rsidRPr="00202FDF" w:rsidRDefault="00D21D5C" w:rsidP="00D21D5C">
      <w:pPr>
        <w:widowControl w:val="0"/>
        <w:spacing w:after="120"/>
        <w:rPr>
          <w:rFonts w:ascii="Times New Roman" w:hAnsi="Times New Roman"/>
          <w:bCs/>
          <w:u w:val="single"/>
        </w:rPr>
      </w:pPr>
      <w:r w:rsidRPr="00202FDF">
        <w:rPr>
          <w:rFonts w:ascii="Times New Roman" w:hAnsi="Times New Roman"/>
          <w:bCs/>
          <w:u w:val="single"/>
        </w:rPr>
        <w:t>Paragraph 26</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rPr>
        <w:t>The Commission fully recognises the importance of a better integration of inland waterway transport into the overall logistic chain for the benefit of both the transport system and businesses, and the relevance of interconnected and interoperable data herein. Upcoming reviews of the Intelligent Transport Directive, for example, will explore the need for tools to prepare this groundwork for the future, alongside the work on a Common Mobility Data Space to which inland waterways are connected. In the context of the Digital Transport and Logistics Forum (DTLF), the Commission also works on establishing a common framework to foster interoperability in data sharing between all relevant stakeholders and in particular in a business to business environment. The framework aims to create the conditions for networking data platforms and to address the necessary technical specifications, implementation guidelines and governance structure.</w:t>
      </w:r>
    </w:p>
    <w:p w:rsidR="00D21D5C" w:rsidRPr="00202FDF" w:rsidRDefault="00D21D5C" w:rsidP="00D21D5C">
      <w:pPr>
        <w:widowControl w:val="0"/>
        <w:spacing w:after="120"/>
        <w:rPr>
          <w:rFonts w:ascii="Times New Roman" w:hAnsi="Times New Roman"/>
          <w:bCs/>
          <w:u w:val="single"/>
        </w:rPr>
      </w:pPr>
      <w:r w:rsidRPr="00A4065E">
        <w:rPr>
          <w:rFonts w:ascii="Times New Roman" w:hAnsi="Times New Roman"/>
          <w:bCs/>
          <w:u w:val="single"/>
        </w:rPr>
        <w:t>Paragraph 27</w:t>
      </w:r>
    </w:p>
    <w:p w:rsidR="00D21D5C" w:rsidRPr="00202FDF" w:rsidRDefault="00D21D5C" w:rsidP="00D21D5C">
      <w:pPr>
        <w:widowControl w:val="0"/>
        <w:spacing w:after="120"/>
        <w:rPr>
          <w:rFonts w:ascii="Times New Roman" w:hAnsi="Times New Roman"/>
          <w:bCs/>
          <w:lang w:val="en-US"/>
        </w:rPr>
      </w:pPr>
      <w:r w:rsidRPr="00202FDF">
        <w:rPr>
          <w:rFonts w:ascii="Times New Roman" w:hAnsi="Times New Roman"/>
          <w:bCs/>
          <w:lang w:val="en-US"/>
        </w:rPr>
        <w:t xml:space="preserve">The Commission agrees that an overview of the flow of goods and containers would greatly benefit efficient business operations as well as policy development. </w:t>
      </w:r>
      <w:r w:rsidRPr="00B816F4">
        <w:rPr>
          <w:rFonts w:ascii="Times New Roman" w:hAnsi="Times New Roman"/>
          <w:bCs/>
        </w:rPr>
        <w:t>While statistics on container transport by inland waterways are published by Eurostat (</w:t>
      </w:r>
      <w:hyperlink r:id="rId6" w:history="1">
        <w:r w:rsidRPr="00B816F4">
          <w:rPr>
            <w:rStyle w:val="Hyperlink"/>
            <w:rFonts w:ascii="Times New Roman" w:hAnsi="Times New Roman"/>
            <w:bCs/>
          </w:rPr>
          <w:t>Inland waterways - statistics on container transport - Statistics Explained (europa.eu)</w:t>
        </w:r>
      </w:hyperlink>
      <w:r w:rsidRPr="00B816F4">
        <w:rPr>
          <w:rFonts w:ascii="Times New Roman" w:hAnsi="Times New Roman"/>
          <w:bCs/>
        </w:rPr>
        <w:t xml:space="preserve">, </w:t>
      </w:r>
      <w:r>
        <w:rPr>
          <w:rFonts w:ascii="Times New Roman" w:hAnsi="Times New Roman"/>
          <w:bCs/>
          <w:lang w:val="en-US"/>
        </w:rPr>
        <w:t>d</w:t>
      </w:r>
      <w:r w:rsidRPr="00202FDF">
        <w:rPr>
          <w:rFonts w:ascii="Times New Roman" w:hAnsi="Times New Roman"/>
          <w:bCs/>
          <w:lang w:val="en-US"/>
        </w:rPr>
        <w:t>eveloping such a comprehensive overview is not, currently, possible due to a lack of statistics on intermodal operations and systematic data on the flows of goods from origin to destination, across different modes. A common European mobility data space, proposed in a European Strategy for data, could, in the future, be a way to overcome this gap by pooling and sharing of data from existing and future transport and mobility databases, including big data-based analytics.</w:t>
      </w:r>
    </w:p>
    <w:p w:rsidR="00D21D5C" w:rsidRPr="00202FDF" w:rsidRDefault="00D21D5C" w:rsidP="00D21D5C">
      <w:pPr>
        <w:widowControl w:val="0"/>
        <w:spacing w:after="120"/>
        <w:rPr>
          <w:rFonts w:ascii="Times New Roman" w:hAnsi="Times New Roman"/>
          <w:bCs/>
          <w:u w:val="single"/>
          <w:lang w:val="en-US"/>
        </w:rPr>
      </w:pPr>
      <w:r w:rsidRPr="00202FDF">
        <w:rPr>
          <w:rFonts w:ascii="Times New Roman" w:hAnsi="Times New Roman"/>
          <w:bCs/>
          <w:u w:val="single"/>
          <w:lang w:val="en-US"/>
        </w:rPr>
        <w:t>Paragraph 28</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rPr>
        <w:t xml:space="preserve">Making more and more complete </w:t>
      </w:r>
      <w:r w:rsidRPr="00202FDF">
        <w:rPr>
          <w:rFonts w:ascii="Times New Roman" w:hAnsi="Times New Roman"/>
          <w:bCs/>
          <w:u w:val="single"/>
        </w:rPr>
        <w:t>multimodal transport data</w:t>
      </w:r>
      <w:r w:rsidRPr="00202FDF">
        <w:rPr>
          <w:rFonts w:ascii="Times New Roman" w:hAnsi="Times New Roman"/>
          <w:bCs/>
        </w:rPr>
        <w:t xml:space="preserve"> available and creating a favourable environment for seamless data sharing across countries and modes is important for better integration of inland waterways in the transport system. More generally, digitalisation would render the transport and logistic system more efficient, agile and resilient as well as </w:t>
      </w:r>
      <w:r w:rsidRPr="00202FDF">
        <w:rPr>
          <w:rFonts w:ascii="Times New Roman" w:hAnsi="Times New Roman"/>
          <w:bCs/>
        </w:rPr>
        <w:lastRenderedPageBreak/>
        <w:t xml:space="preserve">allow optimising infrastructure, asset and capacity management. Several initiatives are </w:t>
      </w:r>
      <w:r>
        <w:rPr>
          <w:rFonts w:ascii="Times New Roman" w:hAnsi="Times New Roman"/>
          <w:bCs/>
        </w:rPr>
        <w:t>planned</w:t>
      </w:r>
      <w:r w:rsidRPr="00202FDF">
        <w:rPr>
          <w:rFonts w:ascii="Times New Roman" w:hAnsi="Times New Roman"/>
          <w:bCs/>
        </w:rPr>
        <w:t xml:space="preserve"> in this regard, notably the </w:t>
      </w:r>
      <w:r>
        <w:rPr>
          <w:rFonts w:ascii="Times New Roman" w:hAnsi="Times New Roman"/>
          <w:bCs/>
        </w:rPr>
        <w:t>i</w:t>
      </w:r>
      <w:r w:rsidRPr="00202FDF">
        <w:rPr>
          <w:rFonts w:ascii="Times New Roman" w:hAnsi="Times New Roman"/>
          <w:bCs/>
        </w:rPr>
        <w:t xml:space="preserve">mplementing </w:t>
      </w:r>
      <w:r>
        <w:rPr>
          <w:rFonts w:ascii="Times New Roman" w:hAnsi="Times New Roman"/>
          <w:bCs/>
        </w:rPr>
        <w:t>a</w:t>
      </w:r>
      <w:r w:rsidRPr="00202FDF">
        <w:rPr>
          <w:rFonts w:ascii="Times New Roman" w:hAnsi="Times New Roman"/>
          <w:bCs/>
        </w:rPr>
        <w:t>ct on high-value datasets and the revision of the multimodal travel information services Delegated Regulation. As integral part of the NAIADES III action programme, the upcoming revision of EU rules on harmonised river information service (RIS) will take due account of these initiatives. Particular attention can be also drawn to the work of the Digital Transport and Logistics Forum (DTLF) working on a common framework to foster interoperability and facilitate data sharing between all types of supply chain stakeholders. The Mobility Data Space initiative is expected to facilitate the access, sharing and pooling of data from existing and future mobility and transport databases and platforms – ultimately bringing the different initiatives together. It will contribute to create a larger pool of strategic transport data, enabling wider ranges of applications notably for multimodal transport.</w:t>
      </w:r>
    </w:p>
    <w:p w:rsidR="00D21D5C" w:rsidRPr="00202FDF" w:rsidRDefault="00D21D5C" w:rsidP="00D21D5C">
      <w:pPr>
        <w:widowControl w:val="0"/>
        <w:spacing w:after="120"/>
        <w:rPr>
          <w:rFonts w:ascii="Times New Roman" w:hAnsi="Times New Roman"/>
          <w:bCs/>
          <w:u w:val="single"/>
        </w:rPr>
      </w:pPr>
      <w:r w:rsidRPr="00202FDF">
        <w:rPr>
          <w:rFonts w:ascii="Times New Roman" w:hAnsi="Times New Roman"/>
          <w:bCs/>
          <w:u w:val="single"/>
        </w:rPr>
        <w:t>Paragraph 30</w:t>
      </w:r>
    </w:p>
    <w:p w:rsidR="00D21D5C" w:rsidRPr="00202FDF" w:rsidRDefault="00D21D5C" w:rsidP="00D21D5C">
      <w:pPr>
        <w:widowControl w:val="0"/>
        <w:spacing w:after="120"/>
        <w:rPr>
          <w:rFonts w:ascii="Times New Roman" w:hAnsi="Times New Roman"/>
        </w:rPr>
      </w:pPr>
      <w:r w:rsidRPr="00202FDF">
        <w:rPr>
          <w:rFonts w:ascii="Times New Roman" w:hAnsi="Times New Roman"/>
        </w:rPr>
        <w:t xml:space="preserve">Training and upskilling is one the InvestEU (Regulation (EU) 2021/523) objectives, which includes as a Key Performance Indicator the number of individuals having acquired new skills. This objective is further delineated and operationalized in InvestEU </w:t>
      </w:r>
      <w:r>
        <w:rPr>
          <w:rFonts w:ascii="Times New Roman" w:hAnsi="Times New Roman"/>
        </w:rPr>
        <w:t>d</w:t>
      </w:r>
      <w:r w:rsidRPr="00202FDF">
        <w:rPr>
          <w:rFonts w:ascii="Times New Roman" w:hAnsi="Times New Roman"/>
        </w:rPr>
        <w:t xml:space="preserve">elegated </w:t>
      </w:r>
      <w:r>
        <w:rPr>
          <w:rFonts w:ascii="Times New Roman" w:hAnsi="Times New Roman"/>
        </w:rPr>
        <w:t>r</w:t>
      </w:r>
      <w:r w:rsidRPr="00202FDF">
        <w:rPr>
          <w:rFonts w:ascii="Times New Roman" w:hAnsi="Times New Roman"/>
        </w:rPr>
        <w:t xml:space="preserve">egulations. The Investment Guidelines (Delegated Regulation (EU) 2021/1078) target inter alia the development and strengthening of skills for the functioning of strategic and critical activities (which may include inland waterways pursuant to Directive 2008/114/EC). In addition, the Scoreboard for operations (Delegated Regulation (EU) 2021/5183) captures this objective for training support, notably in the scoring of operations for </w:t>
      </w:r>
      <w:r>
        <w:rPr>
          <w:rFonts w:ascii="Times New Roman" w:hAnsi="Times New Roman"/>
        </w:rPr>
        <w:t>small and medium sized enterprises (</w:t>
      </w:r>
      <w:r w:rsidRPr="00202FDF">
        <w:rPr>
          <w:rFonts w:ascii="Times New Roman" w:hAnsi="Times New Roman"/>
        </w:rPr>
        <w:t>SMEs</w:t>
      </w:r>
      <w:r>
        <w:rPr>
          <w:rFonts w:ascii="Times New Roman" w:hAnsi="Times New Roman"/>
        </w:rPr>
        <w:t>)</w:t>
      </w:r>
      <w:r w:rsidRPr="00202FDF">
        <w:rPr>
          <w:rFonts w:ascii="Times New Roman" w:hAnsi="Times New Roman"/>
        </w:rPr>
        <w:t>.</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rPr>
        <w:t>The Commission will launch a study on the impacts that the port activ</w:t>
      </w:r>
      <w:r>
        <w:rPr>
          <w:rFonts w:ascii="Times New Roman" w:hAnsi="Times New Roman"/>
          <w:bCs/>
        </w:rPr>
        <w:t>ities of selected river and sea</w:t>
      </w:r>
      <w:r w:rsidRPr="00202FDF">
        <w:rPr>
          <w:rFonts w:ascii="Times New Roman" w:hAnsi="Times New Roman"/>
          <w:bCs/>
        </w:rPr>
        <w:t>ports can have on the environment. The study will develop and implement specific tools, such as Environmental Management Systems, as well as port-specific action plans creating a nucleus for wide-scale roll-out of environmentally sustainable port management and operations.</w:t>
      </w:r>
    </w:p>
    <w:p w:rsidR="00D21D5C" w:rsidRPr="00202FDF" w:rsidRDefault="00D21D5C" w:rsidP="00D21D5C">
      <w:pPr>
        <w:widowControl w:val="0"/>
        <w:spacing w:after="120"/>
        <w:rPr>
          <w:rFonts w:ascii="Times New Roman" w:hAnsi="Times New Roman"/>
          <w:b/>
          <w:bCs/>
          <w:u w:val="single"/>
        </w:rPr>
      </w:pPr>
      <w:r w:rsidRPr="00202FDF">
        <w:rPr>
          <w:rFonts w:ascii="Times New Roman" w:hAnsi="Times New Roman"/>
          <w:b/>
          <w:bCs/>
          <w:u w:val="single"/>
        </w:rPr>
        <w:t>Future proof ports – energy and circular hubs</w:t>
      </w:r>
    </w:p>
    <w:p w:rsidR="00D21D5C" w:rsidRPr="00202FDF" w:rsidRDefault="00D21D5C" w:rsidP="00D21D5C">
      <w:pPr>
        <w:widowControl w:val="0"/>
        <w:spacing w:after="120"/>
        <w:rPr>
          <w:rFonts w:ascii="Times New Roman" w:hAnsi="Times New Roman"/>
          <w:bCs/>
          <w:u w:val="single"/>
        </w:rPr>
      </w:pPr>
      <w:r w:rsidRPr="00A4065E">
        <w:rPr>
          <w:rFonts w:ascii="Times New Roman" w:hAnsi="Times New Roman"/>
          <w:bCs/>
        </w:rPr>
        <w:t>The Commission recognises the possible role of inland ports as clean energy and circular hubs, and encourages synergies with initiatives like the Clean Hydrogen Strategy, the Batteries Alliance, to reap this potential.</w:t>
      </w:r>
      <w:r w:rsidRPr="00202FDF">
        <w:rPr>
          <w:rFonts w:ascii="Times New Roman" w:hAnsi="Times New Roman"/>
          <w:bCs/>
        </w:rPr>
        <w:t xml:space="preserve"> </w:t>
      </w:r>
      <w:r w:rsidRPr="00202FDF">
        <w:rPr>
          <w:rFonts w:ascii="Times New Roman" w:hAnsi="Times New Roman"/>
        </w:rPr>
        <w:t>As explained above in response to paragraph 20, the Commission has proposed the targets for shore-side electricity supply in inland waterway comprehensive and core ports.</w:t>
      </w:r>
      <w:r w:rsidRPr="00A4065E">
        <w:rPr>
          <w:rFonts w:ascii="Times New Roman" w:hAnsi="Times New Roman"/>
          <w:bCs/>
        </w:rPr>
        <w:t xml:space="preserve"> </w:t>
      </w:r>
      <w:r w:rsidRPr="00202FDF">
        <w:rPr>
          <w:rFonts w:ascii="Times New Roman" w:hAnsi="Times New Roman"/>
        </w:rPr>
        <w:t>The electrification of inland ports, if in combination with projects in seaports and other large infrastructure, could explore synergies with TEN-E.</w:t>
      </w:r>
    </w:p>
    <w:p w:rsidR="00D21D5C" w:rsidRPr="00202FDF" w:rsidRDefault="00D21D5C" w:rsidP="00D21D5C">
      <w:pPr>
        <w:widowControl w:val="0"/>
        <w:spacing w:after="120"/>
        <w:rPr>
          <w:rFonts w:ascii="Times New Roman" w:hAnsi="Times New Roman"/>
          <w:bCs/>
          <w:u w:val="single"/>
        </w:rPr>
      </w:pPr>
      <w:r w:rsidRPr="00202FDF">
        <w:rPr>
          <w:rFonts w:ascii="Times New Roman" w:hAnsi="Times New Roman"/>
          <w:bCs/>
          <w:u w:val="single"/>
        </w:rPr>
        <w:t>Paragraph 38</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rPr>
        <w:t>In the context of the TEN-T network, high-level standards to ‘green’ transport will be consistent with the “do no significant harm” principle</w:t>
      </w:r>
      <w:r>
        <w:rPr>
          <w:rFonts w:ascii="Times New Roman" w:hAnsi="Times New Roman"/>
          <w:bCs/>
        </w:rPr>
        <w:t>,</w:t>
      </w:r>
      <w:r w:rsidRPr="00202FDF">
        <w:rPr>
          <w:rFonts w:ascii="Times New Roman" w:hAnsi="Times New Roman"/>
          <w:bCs/>
        </w:rPr>
        <w:t xml:space="preserve"> which also encompasses the transition to the circular economy. </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rPr>
        <w:t xml:space="preserve">The Commission agrees on the potential of inland waterways to transport commodities originating from new circular markets. While stressing that inland ports in the EU are covered by Union waste law, the Commission recognises the importance of modern infrastructure to enable the application of circular principles to the entire waterway transport industry. This includes capacity building and renovation efforts where appropriate, in EU ports and vessels. The Commission confirms that EU funding is available to support such circular economy activities in ports, and to adopt life cycle thinking to implement projects able to establish local integrated management systems for, inter alia, water, energy, waste, construction sites, spatial planning and urban green areas. For such projects, cohesion policy funds are suited to </w:t>
      </w:r>
      <w:r w:rsidRPr="00202FDF">
        <w:rPr>
          <w:rFonts w:ascii="Times New Roman" w:hAnsi="Times New Roman"/>
          <w:bCs/>
        </w:rPr>
        <w:lastRenderedPageBreak/>
        <w:t>complement local-level actions. Innovative pilot projects for green and digital solutions in inland waterways are also i.a. eligible under the LIFE Programme and Horizon Europe.</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rPr>
        <w:t>The Commission will also carry out a European Parliament pilot study to support the greening of inland ports.</w:t>
      </w:r>
    </w:p>
    <w:p w:rsidR="00D21D5C" w:rsidRPr="00202FDF" w:rsidRDefault="00D21D5C" w:rsidP="00D21D5C">
      <w:pPr>
        <w:widowControl w:val="0"/>
        <w:spacing w:after="120"/>
        <w:rPr>
          <w:rFonts w:ascii="Times New Roman" w:hAnsi="Times New Roman"/>
          <w:b/>
          <w:bCs/>
        </w:rPr>
      </w:pPr>
      <w:r w:rsidRPr="00202FDF">
        <w:rPr>
          <w:rFonts w:ascii="Times New Roman" w:hAnsi="Times New Roman"/>
          <w:b/>
          <w:bCs/>
          <w:u w:val="single"/>
        </w:rPr>
        <w:t>Education and training, working conditions and research and innovation</w:t>
      </w:r>
    </w:p>
    <w:p w:rsidR="00D21D5C" w:rsidRPr="00202FDF" w:rsidRDefault="00D21D5C" w:rsidP="00D21D5C">
      <w:pPr>
        <w:widowControl w:val="0"/>
        <w:spacing w:after="120"/>
        <w:rPr>
          <w:rFonts w:ascii="Times New Roman" w:hAnsi="Times New Roman"/>
          <w:bCs/>
          <w:u w:val="single"/>
        </w:rPr>
      </w:pPr>
      <w:r>
        <w:rPr>
          <w:rFonts w:ascii="Times New Roman" w:hAnsi="Times New Roman"/>
          <w:bCs/>
          <w:u w:val="single"/>
        </w:rPr>
        <w:t>Paragraph 39</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rPr>
        <w:t>In the NAIADES III Action Plan, the Commission recognises that the current and future workforce needs to be equipped with the right skills to deal with the green and digital transitions, cybersecurity, synchromodality and the automation of vessels and infrastructure. The Commission encourages the sector and Member States to engage with the European Skills Agenda to further th</w:t>
      </w:r>
      <w:r>
        <w:rPr>
          <w:rFonts w:ascii="Times New Roman" w:hAnsi="Times New Roman"/>
          <w:bCs/>
        </w:rPr>
        <w:t>ese</w:t>
      </w:r>
      <w:r w:rsidRPr="00202FDF">
        <w:rPr>
          <w:rFonts w:ascii="Times New Roman" w:hAnsi="Times New Roman"/>
          <w:bCs/>
        </w:rPr>
        <w:t xml:space="preserve"> objectives.</w:t>
      </w:r>
    </w:p>
    <w:p w:rsidR="00D21D5C" w:rsidRPr="00202FDF" w:rsidRDefault="00D21D5C" w:rsidP="00D21D5C">
      <w:pPr>
        <w:widowControl w:val="0"/>
        <w:spacing w:after="120"/>
        <w:rPr>
          <w:rFonts w:ascii="Times New Roman" w:hAnsi="Times New Roman"/>
          <w:bCs/>
          <w:u w:val="single"/>
        </w:rPr>
      </w:pPr>
      <w:r w:rsidRPr="00202FDF">
        <w:rPr>
          <w:rFonts w:ascii="Times New Roman" w:hAnsi="Times New Roman"/>
          <w:bCs/>
          <w:u w:val="single"/>
        </w:rPr>
        <w:t>Paragraph 42</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rPr>
        <w:t>Within Horizon Europe, the development of innovative green inland waterway transport is addressed through activities within the Waterborne transport research area under cluster 5, including under the Zero-emission Waterborne Transport Partnership. For example, the 2022 call includes a topic addressing “Seamless safe logistics through an autonomous waterborne freight feeder loop service” which is likely to be applicable to Inland Waterway Transport. Planning for 2023 and 2024 calls is now underway and may also include topics addressing inland waterway transport. The Horizon Europe Clean Hydrogen Joint Undertaking could include innovative hydrogen in Inland waterway transport within its scope.</w:t>
      </w:r>
    </w:p>
    <w:p w:rsidR="00D21D5C" w:rsidRPr="00202FDF" w:rsidRDefault="00D21D5C" w:rsidP="00D21D5C">
      <w:pPr>
        <w:widowControl w:val="0"/>
        <w:spacing w:after="120"/>
        <w:rPr>
          <w:rFonts w:ascii="Times New Roman" w:hAnsi="Times New Roman"/>
          <w:b/>
          <w:bCs/>
          <w:u w:val="single"/>
        </w:rPr>
      </w:pPr>
      <w:r w:rsidRPr="00202FDF">
        <w:rPr>
          <w:rFonts w:ascii="Times New Roman" w:hAnsi="Times New Roman"/>
          <w:b/>
          <w:bCs/>
          <w:u w:val="single"/>
        </w:rPr>
        <w:t>EU Financing Plan</w:t>
      </w:r>
    </w:p>
    <w:p w:rsidR="00D21D5C" w:rsidRPr="00202FDF" w:rsidRDefault="00D21D5C" w:rsidP="00D21D5C">
      <w:pPr>
        <w:widowControl w:val="0"/>
        <w:spacing w:after="120"/>
        <w:rPr>
          <w:rFonts w:ascii="Times New Roman" w:hAnsi="Times New Roman"/>
          <w:bCs/>
          <w:u w:val="single"/>
        </w:rPr>
      </w:pPr>
      <w:r w:rsidRPr="00202FDF">
        <w:rPr>
          <w:rFonts w:ascii="Times New Roman" w:hAnsi="Times New Roman"/>
          <w:bCs/>
          <w:u w:val="single"/>
        </w:rPr>
        <w:t xml:space="preserve">Paragraphs 43 and 49 </w:t>
      </w:r>
    </w:p>
    <w:p w:rsidR="00D21D5C" w:rsidRPr="00202FDF" w:rsidRDefault="00D21D5C" w:rsidP="00D21D5C">
      <w:pPr>
        <w:spacing w:after="120"/>
        <w:rPr>
          <w:rFonts w:ascii="Times New Roman" w:hAnsi="Times New Roman"/>
        </w:rPr>
      </w:pPr>
      <w:r w:rsidRPr="00202FDF">
        <w:rPr>
          <w:rFonts w:ascii="Times New Roman" w:hAnsi="Times New Roman"/>
        </w:rPr>
        <w:t>In the NAIDES III Action Plan, the Commission recognises that the increase of financial support for the transition to a zero-emission fleet is one of the key challenges for the modernisation of the sector.</w:t>
      </w:r>
    </w:p>
    <w:p w:rsidR="00D21D5C" w:rsidRPr="00202FDF" w:rsidRDefault="00D21D5C" w:rsidP="00D21D5C">
      <w:pPr>
        <w:spacing w:after="120"/>
        <w:rPr>
          <w:rFonts w:ascii="Times New Roman" w:hAnsi="Times New Roman"/>
        </w:rPr>
      </w:pPr>
      <w:r w:rsidRPr="00202FDF">
        <w:rPr>
          <w:rFonts w:ascii="Times New Roman" w:hAnsi="Times New Roman"/>
        </w:rPr>
        <w:t xml:space="preserve">The Commission will facilitate efforts by </w:t>
      </w:r>
      <w:r>
        <w:rPr>
          <w:rFonts w:ascii="Times New Roman" w:hAnsi="Times New Roman"/>
        </w:rPr>
        <w:t xml:space="preserve">the </w:t>
      </w:r>
      <w:r w:rsidRPr="00202FDF">
        <w:rPr>
          <w:rFonts w:ascii="Times New Roman" w:hAnsi="Times New Roman"/>
        </w:rPr>
        <w:t xml:space="preserve">stakeholders and </w:t>
      </w:r>
      <w:r>
        <w:rPr>
          <w:rFonts w:ascii="Times New Roman" w:hAnsi="Times New Roman"/>
        </w:rPr>
        <w:t xml:space="preserve">the </w:t>
      </w:r>
      <w:r w:rsidRPr="00202FDF">
        <w:rPr>
          <w:rFonts w:ascii="Times New Roman" w:hAnsi="Times New Roman"/>
        </w:rPr>
        <w:t>Member States to create a fund to bring together and complement EU and national financial instruments for the deployment of zero-emission vessels, and the associated infrastructure.</w:t>
      </w:r>
    </w:p>
    <w:p w:rsidR="00D21D5C" w:rsidRPr="00202FDF" w:rsidRDefault="00D21D5C" w:rsidP="00D21D5C">
      <w:pPr>
        <w:widowControl w:val="0"/>
        <w:spacing w:after="120"/>
        <w:rPr>
          <w:rFonts w:ascii="Times New Roman" w:hAnsi="Times New Roman"/>
          <w:bCs/>
        </w:rPr>
      </w:pPr>
      <w:r w:rsidRPr="00202FDF">
        <w:rPr>
          <w:rFonts w:ascii="Times New Roman" w:hAnsi="Times New Roman"/>
        </w:rPr>
        <w:t>In this context, CEF is one of the main programmes for the support of the transport infrastructure. The Commission adopted the CEF Transport multiannual work programme 2021-2027 on 5 August 2021</w:t>
      </w:r>
      <w:r w:rsidRPr="00202FDF">
        <w:rPr>
          <w:rFonts w:ascii="Times New Roman" w:hAnsi="Times New Roman"/>
          <w:vertAlign w:val="superscript"/>
        </w:rPr>
        <w:footnoteReference w:id="2"/>
      </w:r>
      <w:r w:rsidRPr="00202FDF">
        <w:rPr>
          <w:rFonts w:ascii="Times New Roman" w:hAnsi="Times New Roman"/>
        </w:rPr>
        <w:t xml:space="preserve"> covering calls in 2021-2023. Concerning the inland waterways and ports, actions addressing infrastructure, environmental protection requirements, digitalisation and connections to other modes of transport will be supported, with the possibility to combine the funding with other forms of public and private investment to have greater impact. In particular, the Alternative Fuels Infrastructure Facility within the CEF is set up to support the deployment of such infrastructure in the inland ports. Importantly, support to zero -emission vessels will be eligible if an initial number of vessels is needed to kick-start the use of the alternative recharging/refuelling infrastructure in the inland ports. The CEF also supports actions improving the resilience of the infrastructure to climate change and the natural disasters, and synergies with the energy and digital sectors. </w:t>
      </w:r>
      <w:r w:rsidRPr="00202FDF">
        <w:rPr>
          <w:rFonts w:ascii="Times New Roman" w:hAnsi="Times New Roman"/>
          <w:bCs/>
        </w:rPr>
        <w:t>Through the Horizon Europe Programme, the Commission will support innovative projects on inland waterway transport infrastructure and fleets. The strengthened Innovation Fund will further incentivise innovation in waterborne transport including the deployment of zero emission vessels.</w:t>
      </w:r>
    </w:p>
    <w:p w:rsidR="00D21D5C" w:rsidRPr="00202FDF" w:rsidRDefault="00D21D5C" w:rsidP="00D21D5C">
      <w:pPr>
        <w:spacing w:after="120"/>
        <w:rPr>
          <w:rFonts w:ascii="Times New Roman" w:hAnsi="Times New Roman"/>
        </w:rPr>
      </w:pPr>
      <w:r w:rsidRPr="00202FDF">
        <w:rPr>
          <w:rFonts w:ascii="Times New Roman" w:hAnsi="Times New Roman"/>
        </w:rPr>
        <w:lastRenderedPageBreak/>
        <w:t>Funding for inland waterways is eligible also under the Cohesion policy funds, addressing both the TEN-T network and rivers beyond the network. The investments will focus on improving the navigability, the connection with other modes, digitalisation and environmental protection measures. Several Member States have envisaged in their National Recovery Plans funding for the inland waterway infrastructure under the RRF. Finally, InvestEU stimulates private investments in transport infrastructures and fleet renewal especially through its Sustainable infrastructure window, Research, innovation and digitisation window and SME window. The Commission will engage with the European Investment Bank to explore the role that their instruments can play in the transition to zero-emission fleets, with particular attention for smaller businesses in the sector.</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rPr>
        <w:t>The EU Taxonomy Climate Delegated Act also recognises the potential of low-carbon modes, such as inland waterways, to contribute to modal shift and to the achievement of the objectives in the Climate Law and Sustainabl</w:t>
      </w:r>
      <w:r>
        <w:rPr>
          <w:rFonts w:ascii="Times New Roman" w:hAnsi="Times New Roman"/>
          <w:bCs/>
        </w:rPr>
        <w:t>e and Smart Mobility Strategy.</w:t>
      </w:r>
    </w:p>
    <w:p w:rsidR="00D21D5C" w:rsidRPr="00202FDF" w:rsidRDefault="00D21D5C" w:rsidP="00D21D5C">
      <w:pPr>
        <w:widowControl w:val="0"/>
        <w:spacing w:after="120"/>
        <w:rPr>
          <w:rFonts w:ascii="Times New Roman" w:hAnsi="Times New Roman"/>
          <w:bCs/>
          <w:u w:val="single"/>
        </w:rPr>
      </w:pPr>
      <w:r w:rsidRPr="00202FDF">
        <w:rPr>
          <w:rFonts w:ascii="Times New Roman" w:hAnsi="Times New Roman"/>
          <w:bCs/>
          <w:u w:val="single"/>
        </w:rPr>
        <w:t>Paragraph 51</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rPr>
        <w:t>At EU level there is already existing legislation regulating the recycling of large commercial seagoing vessels flying the flag of a Member State of the EU. The EU Ship Recycling Regulation (SRR -</w:t>
      </w:r>
      <w:r>
        <w:rPr>
          <w:rFonts w:ascii="Times New Roman" w:hAnsi="Times New Roman"/>
          <w:bCs/>
        </w:rPr>
        <w:t xml:space="preserve"> </w:t>
      </w:r>
      <w:r w:rsidRPr="00202FDF">
        <w:rPr>
          <w:rFonts w:ascii="Times New Roman" w:hAnsi="Times New Roman"/>
          <w:bCs/>
        </w:rPr>
        <w:t>Regulation 1257/2013) requires such vessels to be recycled only in dedicated facilities included in the so-called EU List of ship recycling facilities. During the future review of the EU SRR, the Commission intends to explore whether it would be appropri</w:t>
      </w:r>
      <w:r>
        <w:rPr>
          <w:rFonts w:ascii="Times New Roman" w:hAnsi="Times New Roman"/>
          <w:bCs/>
        </w:rPr>
        <w:t>ate to extend the scope of the r</w:t>
      </w:r>
      <w:r w:rsidRPr="00202FDF">
        <w:rPr>
          <w:rFonts w:ascii="Times New Roman" w:hAnsi="Times New Roman"/>
          <w:bCs/>
        </w:rPr>
        <w:t>egulation to cover all seagoing vessels without any size and class limitation and to cover possibly also inland waterway vessels.</w:t>
      </w:r>
    </w:p>
    <w:p w:rsidR="00D21D5C" w:rsidRPr="00202FDF" w:rsidRDefault="00D21D5C" w:rsidP="00D21D5C">
      <w:pPr>
        <w:widowControl w:val="0"/>
        <w:spacing w:after="120"/>
        <w:rPr>
          <w:rFonts w:ascii="Times New Roman" w:hAnsi="Times New Roman"/>
          <w:bCs/>
          <w:u w:val="single"/>
        </w:rPr>
      </w:pPr>
      <w:r w:rsidRPr="00202FDF">
        <w:rPr>
          <w:rFonts w:ascii="Times New Roman" w:hAnsi="Times New Roman"/>
          <w:bCs/>
          <w:u w:val="single"/>
        </w:rPr>
        <w:t>Paragraph 53</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rPr>
        <w:t xml:space="preserve">The EU welcomes foreign investments. At the same time, the EU values its strategic assets and interests – including ports. The EU framework for investment screening is an important tool in this context. Foreign investments in European ports must be transparent; they must respect the European legal framework, standards, norms and rules. On 5 May 2021, the Commission adopted a proposal for a </w:t>
      </w:r>
      <w:r>
        <w:rPr>
          <w:rFonts w:ascii="Times New Roman" w:hAnsi="Times New Roman"/>
          <w:bCs/>
        </w:rPr>
        <w:t>r</w:t>
      </w:r>
      <w:r w:rsidRPr="00202FDF">
        <w:rPr>
          <w:rFonts w:ascii="Times New Roman" w:hAnsi="Times New Roman"/>
          <w:bCs/>
        </w:rPr>
        <w:t xml:space="preserve">egulation on foreign subsidies distorting the internal market. The legislative proposal follows the publication of a White Paper in June 2020 and an extensive consultation process with stakeholders. In recent years, foreign subsidies appear to have distorted the EU’s internal market, including by providing their recipients with an unfair advantage to acquire companies or obtain public procurement contracts in the EU, to the detriment of fair competition with other market players. The proposed </w:t>
      </w:r>
      <w:r>
        <w:rPr>
          <w:rFonts w:ascii="Times New Roman" w:hAnsi="Times New Roman"/>
          <w:bCs/>
        </w:rPr>
        <w:t>r</w:t>
      </w:r>
      <w:r w:rsidRPr="00202FDF">
        <w:rPr>
          <w:rFonts w:ascii="Times New Roman" w:hAnsi="Times New Roman"/>
          <w:bCs/>
        </w:rPr>
        <w:t>egulation addresses such distortions and closes a regulatory gap, whereby subsidies granted by non-EU governments go currently unchecked, while subsidies granted by</w:t>
      </w:r>
      <w:r>
        <w:rPr>
          <w:rFonts w:ascii="Times New Roman" w:hAnsi="Times New Roman"/>
          <w:bCs/>
        </w:rPr>
        <w:t xml:space="preserve"> the</w:t>
      </w:r>
      <w:r w:rsidRPr="00202FDF">
        <w:rPr>
          <w:rFonts w:ascii="Times New Roman" w:hAnsi="Times New Roman"/>
          <w:bCs/>
        </w:rPr>
        <w:t xml:space="preserve"> Member States are subject to close scrutiny and remedies. It proposes new tools to effectively tackle foreign subsidies that cause distortions and undermine the level playing field in the internal market, including investigating market concentration (mergers) and bids in public procurements. The Comm</w:t>
      </w:r>
      <w:r>
        <w:rPr>
          <w:rFonts w:ascii="Times New Roman" w:hAnsi="Times New Roman"/>
          <w:bCs/>
        </w:rPr>
        <w:t>ission hopes that the proposed r</w:t>
      </w:r>
      <w:r w:rsidRPr="00202FDF">
        <w:rPr>
          <w:rFonts w:ascii="Times New Roman" w:hAnsi="Times New Roman"/>
          <w:bCs/>
        </w:rPr>
        <w:t>egulation will quickly be adopted by the co-legislators. Foreign investments could also distort transport flows on the network by not complying with the standards of the European transport network and hence affect security or public order on critical infrastructure. The risk of non-compliance with technical standards, for instance by using different IT or telematics systems, can be higher when the investment stems from outside the EU. This is a matter that the Commission intends to address in t</w:t>
      </w:r>
      <w:r>
        <w:rPr>
          <w:rFonts w:ascii="Times New Roman" w:hAnsi="Times New Roman"/>
          <w:bCs/>
        </w:rPr>
        <w:t>he proposal revising the TEN-T r</w:t>
      </w:r>
      <w:r w:rsidRPr="00202FDF">
        <w:rPr>
          <w:rFonts w:ascii="Times New Roman" w:hAnsi="Times New Roman"/>
          <w:bCs/>
        </w:rPr>
        <w:t>egulation</w:t>
      </w:r>
      <w:r>
        <w:rPr>
          <w:rFonts w:ascii="Times New Roman" w:hAnsi="Times New Roman"/>
          <w:bCs/>
        </w:rPr>
        <w:t>,</w:t>
      </w:r>
      <w:r w:rsidRPr="00202FDF">
        <w:rPr>
          <w:rFonts w:ascii="Times New Roman" w:hAnsi="Times New Roman"/>
          <w:bCs/>
        </w:rPr>
        <w:t xml:space="preserve"> which is planned to be adopted on 14 December 2021.</w:t>
      </w:r>
    </w:p>
    <w:p w:rsidR="00D21D5C" w:rsidRPr="00202FDF" w:rsidRDefault="00D21D5C" w:rsidP="00D21D5C">
      <w:pPr>
        <w:widowControl w:val="0"/>
        <w:spacing w:after="120"/>
        <w:rPr>
          <w:rFonts w:ascii="Times New Roman" w:hAnsi="Times New Roman"/>
          <w:b/>
          <w:bCs/>
          <w:u w:val="single"/>
        </w:rPr>
      </w:pPr>
      <w:r w:rsidRPr="00202FDF">
        <w:rPr>
          <w:rFonts w:ascii="Times New Roman" w:hAnsi="Times New Roman"/>
          <w:b/>
          <w:bCs/>
          <w:u w:val="single"/>
        </w:rPr>
        <w:t>Passenger transport, urban mobility</w:t>
      </w:r>
    </w:p>
    <w:p w:rsidR="00D21D5C" w:rsidRPr="00202FDF" w:rsidRDefault="00D21D5C" w:rsidP="00D21D5C">
      <w:pPr>
        <w:widowControl w:val="0"/>
        <w:spacing w:after="120"/>
        <w:rPr>
          <w:rFonts w:ascii="Times New Roman" w:hAnsi="Times New Roman"/>
          <w:bCs/>
          <w:u w:val="single"/>
        </w:rPr>
      </w:pPr>
      <w:r w:rsidRPr="00202FDF">
        <w:rPr>
          <w:rFonts w:ascii="Times New Roman" w:hAnsi="Times New Roman"/>
          <w:bCs/>
          <w:u w:val="single"/>
        </w:rPr>
        <w:t>Paragraph 54</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rPr>
        <w:t xml:space="preserve">As indicated in the Roadmap on the New EU urban mobility framework </w:t>
      </w:r>
      <w:r w:rsidRPr="00202FDF">
        <w:rPr>
          <w:rFonts w:ascii="Times New Roman" w:hAnsi="Times New Roman"/>
          <w:bCs/>
        </w:rPr>
        <w:lastRenderedPageBreak/>
        <w:t>(</w:t>
      </w:r>
      <w:hyperlink r:id="rId7" w:history="1">
        <w:r w:rsidRPr="00202FDF">
          <w:rPr>
            <w:rFonts w:ascii="Times New Roman" w:hAnsi="Times New Roman"/>
            <w:bCs/>
            <w:color w:val="0000FF"/>
            <w:u w:val="single"/>
          </w:rPr>
          <w:t>https://ec.europa.eu/info/law/better-regulation/have-your-say/initiatives/12916-Sustainable-transport-new-urban-mobility-framework_en</w:t>
        </w:r>
      </w:hyperlink>
      <w:r w:rsidRPr="00202FDF">
        <w:rPr>
          <w:rFonts w:ascii="Times New Roman" w:hAnsi="Times New Roman"/>
          <w:bCs/>
        </w:rPr>
        <w:t>), the Commission is envisaging, inter alia, to update and strengthen the EU sustainable urban mobility planning (SUMP) framework, promoting public transport and zero-emission urban logistics. The Commission will take into account waterborne public transport and urban distribution centres in this work. The Commission will also consider the inclusion of inland waterway transport in its work on multimodal travel information services.</w:t>
      </w:r>
    </w:p>
    <w:p w:rsidR="00D21D5C" w:rsidRPr="00202FDF" w:rsidRDefault="00D21D5C" w:rsidP="00D21D5C">
      <w:pPr>
        <w:widowControl w:val="0"/>
        <w:spacing w:after="120"/>
        <w:rPr>
          <w:rFonts w:ascii="Times New Roman" w:hAnsi="Times New Roman"/>
          <w:bCs/>
          <w:u w:val="single"/>
        </w:rPr>
      </w:pPr>
      <w:r>
        <w:rPr>
          <w:rFonts w:ascii="Times New Roman" w:hAnsi="Times New Roman"/>
          <w:bCs/>
          <w:u w:val="single"/>
        </w:rPr>
        <w:t>Paragraph 55</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rPr>
        <w:t>As indicated in the Roadmap on the New EU urban mobility framework (</w:t>
      </w:r>
      <w:hyperlink r:id="rId8" w:history="1">
        <w:r w:rsidRPr="00202FDF">
          <w:rPr>
            <w:rFonts w:ascii="Times New Roman" w:hAnsi="Times New Roman"/>
            <w:bCs/>
            <w:color w:val="0000FF"/>
            <w:u w:val="single"/>
          </w:rPr>
          <w:t>https://ec.europa.eu/info/law/better-regulation/have-your-say/initiatives/12916-Sustainable-transport-new-urban-mobility-framework_en</w:t>
        </w:r>
      </w:hyperlink>
      <w:r w:rsidRPr="00202FDF">
        <w:rPr>
          <w:rFonts w:ascii="Times New Roman" w:hAnsi="Times New Roman"/>
          <w:bCs/>
        </w:rPr>
        <w:t xml:space="preserve">), the Commission is envisaging to support better progress in tracking and monitoring of urban mobility policies and measures with a coherent approach to urban mobility data collection. The Commission will take into account </w:t>
      </w:r>
      <w:r w:rsidRPr="00202FDF">
        <w:rPr>
          <w:rFonts w:ascii="Times New Roman" w:hAnsi="Times New Roman"/>
          <w:szCs w:val="24"/>
        </w:rPr>
        <w:t>waterborne passenger transport in this work.</w:t>
      </w:r>
    </w:p>
    <w:p w:rsidR="00D21D5C" w:rsidRPr="00202FDF" w:rsidRDefault="00D21D5C" w:rsidP="00D21D5C">
      <w:pPr>
        <w:widowControl w:val="0"/>
        <w:spacing w:after="120"/>
        <w:rPr>
          <w:rFonts w:ascii="Times New Roman" w:hAnsi="Times New Roman"/>
          <w:bCs/>
          <w:u w:val="single"/>
        </w:rPr>
      </w:pPr>
      <w:r w:rsidRPr="00202FDF">
        <w:rPr>
          <w:rFonts w:ascii="Times New Roman" w:hAnsi="Times New Roman"/>
          <w:bCs/>
          <w:u w:val="single"/>
        </w:rPr>
        <w:t>Paragraph 56</w:t>
      </w:r>
    </w:p>
    <w:p w:rsidR="00D21D5C" w:rsidRPr="00202FDF" w:rsidRDefault="00D21D5C" w:rsidP="00D21D5C">
      <w:pPr>
        <w:widowControl w:val="0"/>
        <w:spacing w:after="120"/>
        <w:rPr>
          <w:rFonts w:ascii="Times New Roman" w:hAnsi="Times New Roman"/>
          <w:bCs/>
        </w:rPr>
      </w:pPr>
      <w:r w:rsidRPr="00202FDF">
        <w:rPr>
          <w:rFonts w:ascii="Times New Roman" w:hAnsi="Times New Roman"/>
          <w:bCs/>
        </w:rPr>
        <w:t>The actions included in the ongoing co-creation process for the Tourism Transition Pathway will cover all forms of tourism, including all transport modes, aiming towards a sustainable, innovative and resilient recovery. The final Tourism Transition Pathway expected for early 2022 will feed into the European Agenda for Tourism 2030/2050.</w:t>
      </w:r>
    </w:p>
    <w:sectPr w:rsidR="00D21D5C" w:rsidRPr="00202F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5C" w:rsidRDefault="00D21D5C" w:rsidP="00D21D5C">
      <w:pPr>
        <w:spacing w:after="0"/>
      </w:pPr>
      <w:r>
        <w:separator/>
      </w:r>
    </w:p>
  </w:endnote>
  <w:endnote w:type="continuationSeparator" w:id="0">
    <w:p w:rsidR="00D21D5C" w:rsidRDefault="00D21D5C" w:rsidP="00D21D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5C" w:rsidRDefault="00D21D5C" w:rsidP="00D21D5C">
      <w:pPr>
        <w:spacing w:after="0"/>
      </w:pPr>
      <w:r>
        <w:separator/>
      </w:r>
    </w:p>
  </w:footnote>
  <w:footnote w:type="continuationSeparator" w:id="0">
    <w:p w:rsidR="00D21D5C" w:rsidRDefault="00D21D5C" w:rsidP="00D21D5C">
      <w:pPr>
        <w:spacing w:after="0"/>
      </w:pPr>
      <w:r>
        <w:continuationSeparator/>
      </w:r>
    </w:p>
  </w:footnote>
  <w:footnote w:id="1">
    <w:p w:rsidR="00D21D5C" w:rsidRPr="0017621C" w:rsidRDefault="00D21D5C" w:rsidP="00D21D5C">
      <w:pPr>
        <w:pStyle w:val="FootnoteText"/>
        <w:spacing w:after="0"/>
        <w:rPr>
          <w:rFonts w:ascii="Times New Roman" w:hAnsi="Times New Roman"/>
          <w:lang w:val="pt-PT"/>
        </w:rPr>
      </w:pPr>
      <w:r>
        <w:rPr>
          <w:rStyle w:val="FootnoteReference"/>
        </w:rPr>
        <w:footnoteRef/>
      </w:r>
      <w:r w:rsidRPr="00860FBB">
        <w:rPr>
          <w:lang w:val="pt-PT"/>
        </w:rPr>
        <w:t xml:space="preserve"> </w:t>
      </w:r>
      <w:r>
        <w:rPr>
          <w:lang w:val="pt-PT"/>
        </w:rPr>
        <w:tab/>
      </w:r>
      <w:r>
        <w:rPr>
          <w:rFonts w:ascii="Times New Roman" w:hAnsi="Times New Roman"/>
          <w:lang w:val="pt-PT"/>
        </w:rPr>
        <w:t>COM(2021) 559 final</w:t>
      </w:r>
    </w:p>
  </w:footnote>
  <w:footnote w:id="2">
    <w:p w:rsidR="00D21D5C" w:rsidRPr="00A4065E" w:rsidRDefault="00D21D5C" w:rsidP="00D21D5C">
      <w:pPr>
        <w:pStyle w:val="FootnoteText"/>
        <w:spacing w:after="0"/>
        <w:rPr>
          <w:rFonts w:ascii="Times New Roman" w:hAnsi="Times New Roman"/>
          <w:lang w:val="et-EE"/>
        </w:rPr>
      </w:pPr>
      <w:r w:rsidRPr="009A02F6">
        <w:rPr>
          <w:rStyle w:val="FootnoteReference"/>
          <w:rFonts w:ascii="Times New Roman" w:hAnsi="Times New Roman"/>
        </w:rPr>
        <w:footnoteRef/>
      </w:r>
      <w:r w:rsidRPr="00860FBB">
        <w:rPr>
          <w:lang w:val="pt-PT"/>
        </w:rPr>
        <w:t xml:space="preserve"> </w:t>
      </w:r>
      <w:hyperlink r:id="rId1" w:history="1">
        <w:r w:rsidRPr="00A4065E">
          <w:rPr>
            <w:rStyle w:val="Hyperlink"/>
            <w:rFonts w:ascii="Times New Roman" w:hAnsi="Times New Roman"/>
            <w:lang w:val="pt-PT"/>
          </w:rPr>
          <w:t>https://ec.europa.eu/transport/themes/infrastructure-ten-t-connecting-europe/reference-documents-work-programmes-selection_en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5C"/>
    <w:rsid w:val="00841B62"/>
    <w:rsid w:val="00D21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1BBB6-7C03-4010-B7A1-9DD51F0F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D5C"/>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rsid w:val="00D21D5C"/>
    <w:pPr>
      <w:ind w:left="357" w:hanging="357"/>
    </w:pPr>
    <w:rPr>
      <w:sz w:val="20"/>
    </w:rPr>
  </w:style>
  <w:style w:type="character" w:customStyle="1" w:styleId="FootnoteTextChar">
    <w:name w:val="Footnote Text Char"/>
    <w:basedOn w:val="DefaultParagraphFont"/>
    <w:uiPriority w:val="99"/>
    <w:semiHidden/>
    <w:rsid w:val="00D21D5C"/>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D21D5C"/>
    <w:rPr>
      <w:vertAlign w:val="superscript"/>
    </w:rPr>
  </w:style>
  <w:style w:type="character" w:styleId="Hyperlink">
    <w:name w:val="Hyperlink"/>
    <w:aliases w:val="Char1"/>
    <w:uiPriority w:val="99"/>
    <w:rsid w:val="00D21D5C"/>
    <w:rPr>
      <w:color w:val="0000FF"/>
      <w:u w:val="single"/>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D21D5C"/>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D21D5C"/>
    <w:pPr>
      <w:spacing w:after="160" w:line="240" w:lineRule="exact"/>
      <w:jc w:val="lef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better-regulation/have-your-say/initiatives/12916-Sustainable-transport-new-urban-mobility-framework_en" TargetMode="External"/><Relationship Id="rId3" Type="http://schemas.openxmlformats.org/officeDocument/2006/relationships/webSettings" Target="webSettings.xml"/><Relationship Id="rId7" Type="http://schemas.openxmlformats.org/officeDocument/2006/relationships/hyperlink" Target="https://ec.europa.eu/info/law/better-regulation/have-your-say/initiatives/12916-Sustainable-transport-new-urban-mobility-framework_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eurostat/statistics-explained/index.php?title=Inland_waterways_-_statistics_on_container_transpor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ransport/themes/infrastructure-ten-t-connecting-europe/reference-documents-work-programmes-selec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4423</Words>
  <Characters>25083</Characters>
  <Application>Microsoft Office Word</Application>
  <DocSecurity>0</DocSecurity>
  <Lines>380</Lines>
  <Paragraphs>105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DODEKOVA Gabriela (SG)</dc:creator>
  <cp:keywords/>
  <dc:description/>
  <cp:lastModifiedBy>DODEKOVA Gabriela (SG)</cp:lastModifiedBy>
  <cp:revision>1</cp:revision>
  <dcterms:created xsi:type="dcterms:W3CDTF">2021-11-17T09:11:00Z</dcterms:created>
  <dcterms:modified xsi:type="dcterms:W3CDTF">2021-11-17T09:12:00Z</dcterms:modified>
</cp:coreProperties>
</file>