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B0E" w:rsidRPr="00925AE6" w:rsidRDefault="00373B0E" w:rsidP="00373B0E">
      <w:pPr>
        <w:spacing w:after="600"/>
        <w:jc w:val="center"/>
        <w:rPr>
          <w:rFonts w:ascii="Times New Roman" w:hAnsi="Times New Roman"/>
          <w:b/>
          <w:bCs/>
          <w:szCs w:val="24"/>
        </w:rPr>
      </w:pPr>
      <w:bookmarkStart w:id="0" w:name="LGBTIQ"/>
      <w:r w:rsidRPr="00925AE6">
        <w:rPr>
          <w:rFonts w:ascii="Times New Roman" w:hAnsi="Times New Roman"/>
          <w:b/>
          <w:szCs w:val="24"/>
        </w:rPr>
        <w:t xml:space="preserve">Follow-up to the European Parliament non-legislative resolution </w:t>
      </w:r>
      <w:r w:rsidRPr="00925AE6">
        <w:rPr>
          <w:rFonts w:ascii="Times New Roman" w:hAnsi="Times New Roman"/>
          <w:b/>
          <w:bCs/>
          <w:szCs w:val="24"/>
        </w:rPr>
        <w:t xml:space="preserve">on </w:t>
      </w:r>
      <w:r>
        <w:rPr>
          <w:rFonts w:ascii="Times New Roman" w:hAnsi="Times New Roman"/>
          <w:b/>
          <w:bCs/>
          <w:szCs w:val="24"/>
        </w:rPr>
        <w:br/>
      </w:r>
      <w:r w:rsidRPr="00E14115">
        <w:rPr>
          <w:rFonts w:ascii="Times New Roman" w:hAnsi="Times New Roman"/>
          <w:b/>
          <w:noProof/>
          <w:lang w:eastAsia="fr-BE"/>
        </w:rPr>
        <w:t>LGBTIQ rights in the EU</w:t>
      </w:r>
      <w:r w:rsidRPr="00351781">
        <w:rPr>
          <w:rFonts w:ascii="Times New Roman" w:hAnsi="Times New Roman"/>
          <w:noProof/>
          <w:lang w:eastAsia="fr-BE"/>
        </w:rPr>
        <w:t xml:space="preserve"> </w:t>
      </w:r>
    </w:p>
    <w:bookmarkEnd w:id="0"/>
    <w:p w:rsidR="00373B0E" w:rsidRDefault="00373B0E" w:rsidP="00373B0E">
      <w:pPr>
        <w:ind w:left="720" w:hanging="720"/>
        <w:rPr>
          <w:rFonts w:ascii="Times New Roman" w:hAnsi="Times New Roman"/>
          <w:b/>
          <w:szCs w:val="24"/>
        </w:rPr>
      </w:pPr>
      <w:r>
        <w:rPr>
          <w:rFonts w:ascii="Times New Roman" w:hAnsi="Times New Roman"/>
          <w:b/>
          <w:szCs w:val="24"/>
        </w:rPr>
        <w:t>1.</w:t>
      </w:r>
      <w:r>
        <w:rPr>
          <w:rFonts w:ascii="Times New Roman" w:hAnsi="Times New Roman"/>
          <w:b/>
          <w:szCs w:val="24"/>
        </w:rPr>
        <w:tab/>
        <w:t>Resolution</w:t>
      </w:r>
      <w:r w:rsidRPr="00346258">
        <w:rPr>
          <w:rFonts w:ascii="Times New Roman" w:hAnsi="Times New Roman"/>
          <w:b/>
          <w:szCs w:val="24"/>
        </w:rPr>
        <w:t xml:space="preserve"> tabled pursuant to Rules 2</w:t>
      </w:r>
      <w:r>
        <w:rPr>
          <w:rFonts w:ascii="Times New Roman" w:hAnsi="Times New Roman"/>
          <w:b/>
          <w:szCs w:val="24"/>
        </w:rPr>
        <w:t>27</w:t>
      </w:r>
      <w:r w:rsidRPr="00346258">
        <w:rPr>
          <w:rFonts w:ascii="Times New Roman" w:hAnsi="Times New Roman"/>
          <w:b/>
          <w:szCs w:val="24"/>
        </w:rPr>
        <w:t>(2) of the European Parliament's Rules of procedure</w:t>
      </w:r>
    </w:p>
    <w:p w:rsidR="00373B0E" w:rsidRPr="00925AE6" w:rsidRDefault="00373B0E" w:rsidP="00373B0E">
      <w:pPr>
        <w:rPr>
          <w:rFonts w:ascii="Times New Roman" w:hAnsi="Times New Roman"/>
          <w:i/>
          <w:szCs w:val="24"/>
        </w:rPr>
      </w:pPr>
      <w:r w:rsidRPr="00BB0437">
        <w:rPr>
          <w:rFonts w:ascii="Times New Roman" w:hAnsi="Times New Roman"/>
          <w:b/>
          <w:szCs w:val="24"/>
        </w:rPr>
        <w:t>2.</w:t>
      </w:r>
      <w:r w:rsidRPr="00BB0437">
        <w:rPr>
          <w:rFonts w:ascii="Times New Roman" w:hAnsi="Times New Roman"/>
          <w:b/>
          <w:szCs w:val="24"/>
        </w:rPr>
        <w:tab/>
      </w:r>
      <w:r w:rsidRPr="00925AE6">
        <w:rPr>
          <w:rFonts w:ascii="Times New Roman" w:hAnsi="Times New Roman"/>
          <w:b/>
          <w:szCs w:val="24"/>
        </w:rPr>
        <w:t xml:space="preserve">Reference number: </w:t>
      </w:r>
      <w:r>
        <w:rPr>
          <w:rFonts w:ascii="Times New Roman" w:hAnsi="Times New Roman"/>
          <w:noProof/>
          <w:lang w:eastAsia="fr-BE"/>
        </w:rPr>
        <w:t xml:space="preserve">2021/2679 (RSP) </w:t>
      </w:r>
      <w:r w:rsidRPr="00925AE6">
        <w:rPr>
          <w:rFonts w:ascii="Times New Roman" w:hAnsi="Times New Roman"/>
        </w:rPr>
        <w:t xml:space="preserve">/ </w:t>
      </w:r>
      <w:bookmarkStart w:id="1" w:name="_GoBack"/>
      <w:r w:rsidRPr="00351781">
        <w:rPr>
          <w:rFonts w:ascii="Times New Roman" w:hAnsi="Times New Roman"/>
          <w:noProof/>
          <w:lang w:eastAsia="fr-BE"/>
        </w:rPr>
        <w:t>B9-0431/2021</w:t>
      </w:r>
      <w:r>
        <w:rPr>
          <w:rFonts w:ascii="Times New Roman" w:hAnsi="Times New Roman"/>
          <w:noProof/>
          <w:lang w:eastAsia="fr-BE"/>
        </w:rPr>
        <w:t xml:space="preserve"> </w:t>
      </w:r>
      <w:bookmarkEnd w:id="1"/>
      <w:r w:rsidRPr="00925AE6">
        <w:rPr>
          <w:rFonts w:ascii="Times New Roman" w:hAnsi="Times New Roman"/>
        </w:rPr>
        <w:t xml:space="preserve">/ </w:t>
      </w:r>
      <w:r w:rsidRPr="00E14115">
        <w:rPr>
          <w:rFonts w:ascii="Times New Roman" w:hAnsi="Times New Roman"/>
        </w:rPr>
        <w:t>P9_TA</w:t>
      </w:r>
      <w:r w:rsidRPr="006B2055">
        <w:rPr>
          <w:rFonts w:ascii="Times New Roman" w:hAnsi="Times New Roman"/>
          <w:lang w:val="en-IE"/>
        </w:rPr>
        <w:t>-</w:t>
      </w:r>
      <w:proofErr w:type="gramStart"/>
      <w:r w:rsidRPr="006B2055">
        <w:rPr>
          <w:rFonts w:ascii="Times New Roman" w:hAnsi="Times New Roman"/>
          <w:lang w:val="en-IE"/>
        </w:rPr>
        <w:t>PROV</w:t>
      </w:r>
      <w:r w:rsidRPr="00E14115">
        <w:rPr>
          <w:rFonts w:ascii="Times New Roman" w:hAnsi="Times New Roman"/>
        </w:rPr>
        <w:t>(</w:t>
      </w:r>
      <w:proofErr w:type="gramEnd"/>
      <w:r w:rsidRPr="00E14115">
        <w:rPr>
          <w:rFonts w:ascii="Times New Roman" w:hAnsi="Times New Roman"/>
        </w:rPr>
        <w:t>2021)0366</w:t>
      </w:r>
    </w:p>
    <w:p w:rsidR="00373B0E" w:rsidRPr="00925AE6" w:rsidRDefault="00373B0E" w:rsidP="00373B0E">
      <w:pPr>
        <w:rPr>
          <w:rFonts w:ascii="Times New Roman" w:hAnsi="Times New Roman"/>
          <w:szCs w:val="24"/>
        </w:rPr>
      </w:pPr>
      <w:r>
        <w:rPr>
          <w:rFonts w:ascii="Times New Roman" w:hAnsi="Times New Roman"/>
          <w:b/>
          <w:szCs w:val="24"/>
        </w:rPr>
        <w:t>3.</w:t>
      </w:r>
      <w:r>
        <w:rPr>
          <w:rFonts w:ascii="Times New Roman" w:hAnsi="Times New Roman"/>
          <w:b/>
          <w:szCs w:val="24"/>
        </w:rPr>
        <w:tab/>
      </w:r>
      <w:r w:rsidRPr="00925AE6">
        <w:rPr>
          <w:rFonts w:ascii="Times New Roman" w:hAnsi="Times New Roman"/>
          <w:b/>
          <w:szCs w:val="24"/>
        </w:rPr>
        <w:t>Date of adoption of the resolution:</w:t>
      </w:r>
      <w:r w:rsidRPr="00925AE6">
        <w:rPr>
          <w:rFonts w:ascii="Times New Roman" w:hAnsi="Times New Roman"/>
          <w:szCs w:val="24"/>
        </w:rPr>
        <w:t xml:space="preserve"> </w:t>
      </w:r>
      <w:r>
        <w:rPr>
          <w:rFonts w:ascii="Times New Roman" w:hAnsi="Times New Roman"/>
          <w:szCs w:val="24"/>
        </w:rPr>
        <w:t>14 September</w:t>
      </w:r>
      <w:r w:rsidRPr="00925AE6">
        <w:rPr>
          <w:rFonts w:ascii="Times New Roman" w:hAnsi="Times New Roman"/>
          <w:szCs w:val="24"/>
        </w:rPr>
        <w:t xml:space="preserve"> 2021</w:t>
      </w:r>
    </w:p>
    <w:p w:rsidR="00373B0E" w:rsidRPr="00925AE6" w:rsidRDefault="00373B0E" w:rsidP="00373B0E">
      <w:pPr>
        <w:rPr>
          <w:rFonts w:ascii="Times New Roman" w:hAnsi="Times New Roman"/>
          <w:i/>
          <w:szCs w:val="24"/>
        </w:rPr>
      </w:pPr>
      <w:r>
        <w:rPr>
          <w:rFonts w:ascii="Times New Roman" w:hAnsi="Times New Roman"/>
          <w:b/>
          <w:szCs w:val="24"/>
        </w:rPr>
        <w:t>4.</w:t>
      </w:r>
      <w:r>
        <w:rPr>
          <w:rFonts w:ascii="Times New Roman" w:hAnsi="Times New Roman"/>
          <w:b/>
          <w:szCs w:val="24"/>
        </w:rPr>
        <w:tab/>
      </w:r>
      <w:r w:rsidRPr="00925AE6">
        <w:rPr>
          <w:rFonts w:ascii="Times New Roman" w:hAnsi="Times New Roman"/>
          <w:b/>
          <w:szCs w:val="24"/>
        </w:rPr>
        <w:t xml:space="preserve">Competent Parliamentary Committee: </w:t>
      </w:r>
      <w:r>
        <w:rPr>
          <w:rFonts w:ascii="Times New Roman" w:hAnsi="Times New Roman"/>
          <w:szCs w:val="24"/>
        </w:rPr>
        <w:t>Committee on Petitions (PETI)</w:t>
      </w:r>
    </w:p>
    <w:p w:rsidR="00373B0E" w:rsidRPr="00925AE6" w:rsidRDefault="00373B0E" w:rsidP="00373B0E">
      <w:pPr>
        <w:widowControl w:val="0"/>
        <w:rPr>
          <w:rFonts w:ascii="Times New Roman" w:hAnsi="Times New Roman"/>
          <w:b/>
          <w:szCs w:val="24"/>
        </w:rPr>
      </w:pPr>
      <w:r>
        <w:rPr>
          <w:rFonts w:ascii="Times New Roman" w:hAnsi="Times New Roman"/>
          <w:b/>
          <w:szCs w:val="24"/>
        </w:rPr>
        <w:t>5.</w:t>
      </w:r>
      <w:r>
        <w:rPr>
          <w:rFonts w:ascii="Times New Roman" w:hAnsi="Times New Roman"/>
          <w:b/>
          <w:szCs w:val="24"/>
        </w:rPr>
        <w:tab/>
      </w:r>
      <w:r w:rsidRPr="00925AE6">
        <w:rPr>
          <w:rFonts w:ascii="Times New Roman" w:hAnsi="Times New Roman"/>
          <w:b/>
          <w:szCs w:val="24"/>
        </w:rPr>
        <w:t xml:space="preserve">Brief analysis/assessment of the resolution and requests made in it: </w:t>
      </w:r>
    </w:p>
    <w:p w:rsidR="00373B0E" w:rsidRPr="003B6916" w:rsidRDefault="00373B0E" w:rsidP="00373B0E">
      <w:pPr>
        <w:widowControl w:val="0"/>
        <w:spacing w:after="120"/>
        <w:rPr>
          <w:rFonts w:ascii="Times New Roman" w:hAnsi="Times New Roman"/>
          <w:szCs w:val="24"/>
        </w:rPr>
      </w:pPr>
      <w:r w:rsidRPr="003B6916">
        <w:rPr>
          <w:rFonts w:ascii="Times New Roman" w:hAnsi="Times New Roman"/>
          <w:szCs w:val="24"/>
        </w:rPr>
        <w:t>This resolution raises concerns about discrimination faced by LGBTIQ persons in the EU in general and in particular in relation to freedom of movement and the mutual recognition of their rel</w:t>
      </w:r>
      <w:r>
        <w:rPr>
          <w:rFonts w:ascii="Times New Roman" w:hAnsi="Times New Roman"/>
          <w:szCs w:val="24"/>
        </w:rPr>
        <w:t>ationship and their parenthood.</w:t>
      </w:r>
    </w:p>
    <w:p w:rsidR="00373B0E" w:rsidRDefault="00373B0E" w:rsidP="00373B0E">
      <w:pPr>
        <w:widowControl w:val="0"/>
        <w:spacing w:after="120"/>
        <w:rPr>
          <w:rFonts w:ascii="Times New Roman" w:hAnsi="Times New Roman"/>
          <w:szCs w:val="24"/>
        </w:rPr>
      </w:pPr>
      <w:r>
        <w:rPr>
          <w:rFonts w:ascii="Times New Roman" w:hAnsi="Times New Roman"/>
          <w:szCs w:val="24"/>
        </w:rPr>
        <w:t>First, the resolution welcomes the adoption of the LGBTIQ Equality Strategy 2020-2025 and in particular the reference to a legislative initiative on parenthood and the update of the 2009 Guidelines on Free Movement. It also addresses its support to the Commission in its willingness to propose a legislative initiative that would aim at adding hate crimes and hate speeches to the list of EU crimes of Article 87(1) of the Treaty on the Functioning of the European Union (TFEU).</w:t>
      </w:r>
    </w:p>
    <w:p w:rsidR="00373B0E" w:rsidRDefault="00373B0E" w:rsidP="00373B0E">
      <w:pPr>
        <w:widowControl w:val="0"/>
        <w:spacing w:after="120"/>
        <w:rPr>
          <w:rFonts w:ascii="Times New Roman" w:hAnsi="Times New Roman"/>
          <w:szCs w:val="24"/>
        </w:rPr>
      </w:pPr>
      <w:r>
        <w:rPr>
          <w:rFonts w:ascii="Times New Roman" w:hAnsi="Times New Roman"/>
          <w:szCs w:val="24"/>
        </w:rPr>
        <w:t xml:space="preserve">The resolution also raises concerns on several aspects related to possible discrimination against LGBTIQ persons and recalls that work from different actors (EU institutions and Member States) </w:t>
      </w:r>
      <w:proofErr w:type="gramStart"/>
      <w:r>
        <w:rPr>
          <w:rFonts w:ascii="Times New Roman" w:hAnsi="Times New Roman"/>
          <w:szCs w:val="24"/>
        </w:rPr>
        <w:t>is needed</w:t>
      </w:r>
      <w:proofErr w:type="gramEnd"/>
      <w:r>
        <w:rPr>
          <w:rFonts w:ascii="Times New Roman" w:hAnsi="Times New Roman"/>
          <w:szCs w:val="24"/>
        </w:rPr>
        <w:t xml:space="preserve"> to ensure that LGBTIQ persons in the EU enjoy fully their fundamental rights. The resolution identifies several fields were progress need to </w:t>
      </w:r>
      <w:proofErr w:type="gramStart"/>
      <w:r>
        <w:rPr>
          <w:rFonts w:ascii="Times New Roman" w:hAnsi="Times New Roman"/>
          <w:szCs w:val="24"/>
        </w:rPr>
        <w:t>be made</w:t>
      </w:r>
      <w:proofErr w:type="gramEnd"/>
      <w:r>
        <w:rPr>
          <w:rFonts w:ascii="Times New Roman" w:hAnsi="Times New Roman"/>
          <w:szCs w:val="24"/>
        </w:rPr>
        <w:t xml:space="preserve"> in relation to recognition of family ties (marriage, partnership, parenthood) in cross border situations and formulates demands for action by the Commission in this particular field.</w:t>
      </w:r>
    </w:p>
    <w:p w:rsidR="00373B0E" w:rsidRDefault="00373B0E" w:rsidP="00373B0E">
      <w:pPr>
        <w:widowControl w:val="0"/>
        <w:spacing w:after="120"/>
        <w:rPr>
          <w:rFonts w:ascii="Times New Roman" w:hAnsi="Times New Roman"/>
          <w:szCs w:val="24"/>
        </w:rPr>
      </w:pPr>
      <w:r>
        <w:rPr>
          <w:rFonts w:ascii="Times New Roman" w:hAnsi="Times New Roman"/>
          <w:szCs w:val="24"/>
        </w:rPr>
        <w:t xml:space="preserve">Thirdly, the resolution refers to the blockage of the negotiations of the proposal for a Council directive on Equal Treatment. While mostly addressing the Council, this reference also includes all institutions whose inaction sends the wrong signal in terms of fighting against discrimination of LGBTIQ persons. </w:t>
      </w:r>
    </w:p>
    <w:p w:rsidR="00373B0E" w:rsidRPr="00890FA8" w:rsidRDefault="00373B0E" w:rsidP="00373B0E">
      <w:pPr>
        <w:widowControl w:val="0"/>
        <w:spacing w:after="120"/>
        <w:rPr>
          <w:rFonts w:ascii="Times New Roman" w:hAnsi="Times New Roman"/>
          <w:szCs w:val="24"/>
        </w:rPr>
      </w:pPr>
      <w:r>
        <w:rPr>
          <w:rFonts w:ascii="Times New Roman" w:hAnsi="Times New Roman"/>
          <w:szCs w:val="24"/>
        </w:rPr>
        <w:t xml:space="preserve">Eventually, the resolution mentions the situation in Hungary and Poland and ask the Commission to address it by urging these two Member States to respect EU legislation on non-discrimination. </w:t>
      </w:r>
    </w:p>
    <w:p w:rsidR="00373B0E" w:rsidRPr="00925AE6" w:rsidRDefault="00373B0E" w:rsidP="00373B0E">
      <w:pPr>
        <w:widowControl w:val="0"/>
        <w:ind w:left="720" w:hanging="720"/>
        <w:rPr>
          <w:rFonts w:ascii="Times New Roman" w:hAnsi="Times New Roman"/>
          <w:b/>
          <w:szCs w:val="24"/>
        </w:rPr>
      </w:pPr>
      <w:r>
        <w:rPr>
          <w:rFonts w:ascii="Times New Roman" w:hAnsi="Times New Roman"/>
          <w:b/>
          <w:szCs w:val="24"/>
        </w:rPr>
        <w:t>6.</w:t>
      </w:r>
      <w:r>
        <w:rPr>
          <w:rFonts w:ascii="Times New Roman" w:hAnsi="Times New Roman"/>
          <w:b/>
          <w:szCs w:val="24"/>
        </w:rPr>
        <w:tab/>
      </w:r>
      <w:r w:rsidRPr="00925AE6">
        <w:rPr>
          <w:rFonts w:ascii="Times New Roman" w:hAnsi="Times New Roman"/>
          <w:b/>
          <w:szCs w:val="24"/>
        </w:rPr>
        <w:t xml:space="preserve">Response to requests and overview of action taken, or </w:t>
      </w:r>
      <w:proofErr w:type="gramStart"/>
      <w:r w:rsidRPr="00925AE6">
        <w:rPr>
          <w:rFonts w:ascii="Times New Roman" w:hAnsi="Times New Roman"/>
          <w:b/>
          <w:szCs w:val="24"/>
        </w:rPr>
        <w:t>intended to be taken</w:t>
      </w:r>
      <w:proofErr w:type="gramEnd"/>
      <w:r w:rsidRPr="00925AE6">
        <w:rPr>
          <w:rFonts w:ascii="Times New Roman" w:hAnsi="Times New Roman"/>
          <w:b/>
          <w:szCs w:val="24"/>
        </w:rPr>
        <w:t>, by the Commission:</w:t>
      </w:r>
    </w:p>
    <w:p w:rsidR="00373B0E" w:rsidRPr="00616350" w:rsidRDefault="00373B0E" w:rsidP="00373B0E">
      <w:pPr>
        <w:spacing w:after="120"/>
        <w:rPr>
          <w:rFonts w:ascii="Times New Roman" w:hAnsi="Times New Roman"/>
          <w:szCs w:val="24"/>
        </w:rPr>
      </w:pPr>
      <w:r w:rsidRPr="00616350">
        <w:rPr>
          <w:rFonts w:ascii="Times New Roman" w:hAnsi="Times New Roman"/>
          <w:szCs w:val="24"/>
          <w:u w:val="single"/>
        </w:rPr>
        <w:t>Paragraph 2</w:t>
      </w:r>
    </w:p>
    <w:p w:rsidR="00373B0E" w:rsidRPr="00616350" w:rsidRDefault="00373B0E" w:rsidP="00373B0E">
      <w:pPr>
        <w:spacing w:after="120"/>
        <w:rPr>
          <w:rFonts w:ascii="Times New Roman" w:hAnsi="Times New Roman"/>
          <w:szCs w:val="24"/>
        </w:rPr>
      </w:pPr>
      <w:r w:rsidRPr="00616350">
        <w:rPr>
          <w:rFonts w:ascii="Times New Roman" w:hAnsi="Times New Roman"/>
          <w:szCs w:val="24"/>
        </w:rPr>
        <w:t xml:space="preserve">The Commission acknowledges that due to differences in family law across the Member States, family ties may cease to </w:t>
      </w:r>
      <w:proofErr w:type="gramStart"/>
      <w:r w:rsidRPr="00616350">
        <w:rPr>
          <w:rFonts w:ascii="Times New Roman" w:hAnsi="Times New Roman"/>
          <w:szCs w:val="24"/>
        </w:rPr>
        <w:t>be recognised</w:t>
      </w:r>
      <w:proofErr w:type="gramEnd"/>
      <w:r w:rsidRPr="00616350">
        <w:rPr>
          <w:rFonts w:ascii="Times New Roman" w:hAnsi="Times New Roman"/>
          <w:szCs w:val="24"/>
        </w:rPr>
        <w:t xml:space="preserve"> in cross-border situations. The Commission therefore committed, in the LGBTIQ Equality Strategy adopted in November 2020 to ensure the correct application of EU rights of LGBTIQ people and to improve the legal protection of all families in cross-border situations.</w:t>
      </w:r>
    </w:p>
    <w:p w:rsidR="00373B0E" w:rsidRPr="00616350" w:rsidRDefault="00373B0E" w:rsidP="00373B0E">
      <w:pPr>
        <w:keepNext/>
        <w:keepLines/>
        <w:spacing w:after="120"/>
        <w:rPr>
          <w:rFonts w:ascii="Times New Roman" w:hAnsi="Times New Roman"/>
          <w:szCs w:val="24"/>
        </w:rPr>
      </w:pPr>
      <w:r w:rsidRPr="00616350">
        <w:rPr>
          <w:rFonts w:ascii="Times New Roman" w:hAnsi="Times New Roman"/>
          <w:szCs w:val="24"/>
          <w:u w:val="single"/>
        </w:rPr>
        <w:lastRenderedPageBreak/>
        <w:t>Paragraph</w:t>
      </w:r>
      <w:r>
        <w:rPr>
          <w:rFonts w:ascii="Times New Roman" w:hAnsi="Times New Roman"/>
          <w:szCs w:val="24"/>
          <w:u w:val="single"/>
        </w:rPr>
        <w:t>s</w:t>
      </w:r>
      <w:r w:rsidRPr="00616350">
        <w:rPr>
          <w:rFonts w:ascii="Times New Roman" w:hAnsi="Times New Roman"/>
          <w:szCs w:val="24"/>
          <w:u w:val="single"/>
        </w:rPr>
        <w:t xml:space="preserve"> 7 and 8</w:t>
      </w:r>
    </w:p>
    <w:p w:rsidR="00373B0E" w:rsidRPr="00616350" w:rsidRDefault="00373B0E" w:rsidP="00373B0E">
      <w:pPr>
        <w:keepNext/>
        <w:keepLines/>
        <w:spacing w:after="120"/>
        <w:rPr>
          <w:rFonts w:ascii="Times New Roman" w:hAnsi="Times New Roman"/>
          <w:szCs w:val="24"/>
        </w:rPr>
      </w:pPr>
      <w:r w:rsidRPr="00616350">
        <w:rPr>
          <w:rFonts w:ascii="Times New Roman" w:hAnsi="Times New Roman"/>
          <w:szCs w:val="24"/>
        </w:rPr>
        <w:t xml:space="preserve">Under the Treaties, substantive law on family matters, which governs matters such as the establishment of family ties, falls within the competence of the EU Member States and </w:t>
      </w:r>
      <w:proofErr w:type="gramStart"/>
      <w:r w:rsidRPr="00616350">
        <w:rPr>
          <w:rFonts w:ascii="Times New Roman" w:hAnsi="Times New Roman"/>
          <w:szCs w:val="24"/>
        </w:rPr>
        <w:t>is therefore governed</w:t>
      </w:r>
      <w:proofErr w:type="gramEnd"/>
      <w:r w:rsidRPr="00616350">
        <w:rPr>
          <w:rFonts w:ascii="Times New Roman" w:hAnsi="Times New Roman"/>
          <w:szCs w:val="24"/>
        </w:rPr>
        <w:t xml:space="preserve"> by national law. While a majority of national legislations contain provisions applying to rainbow families, the Commission is aware of the difficulties the latter may face in cross-border situations</w:t>
      </w:r>
      <w:r>
        <w:rPr>
          <w:rFonts w:ascii="Times New Roman" w:hAnsi="Times New Roman"/>
          <w:szCs w:val="24"/>
        </w:rPr>
        <w:t>.</w:t>
      </w:r>
    </w:p>
    <w:p w:rsidR="00373B0E" w:rsidRPr="00616350" w:rsidRDefault="00373B0E" w:rsidP="00373B0E">
      <w:pPr>
        <w:spacing w:after="120"/>
        <w:rPr>
          <w:rFonts w:ascii="Times New Roman" w:hAnsi="Times New Roman"/>
          <w:szCs w:val="24"/>
        </w:rPr>
      </w:pPr>
      <w:r w:rsidRPr="00616350">
        <w:rPr>
          <w:rFonts w:ascii="Times New Roman" w:hAnsi="Times New Roman"/>
          <w:szCs w:val="24"/>
        </w:rPr>
        <w:t xml:space="preserve">The Commission </w:t>
      </w:r>
      <w:r>
        <w:rPr>
          <w:rFonts w:ascii="Times New Roman" w:hAnsi="Times New Roman"/>
          <w:szCs w:val="24"/>
        </w:rPr>
        <w:t>will continue</w:t>
      </w:r>
      <w:r w:rsidRPr="00616350">
        <w:rPr>
          <w:rFonts w:ascii="Times New Roman" w:hAnsi="Times New Roman"/>
          <w:szCs w:val="24"/>
        </w:rPr>
        <w:t xml:space="preserve"> to support </w:t>
      </w:r>
      <w:r>
        <w:rPr>
          <w:rFonts w:ascii="Times New Roman" w:hAnsi="Times New Roman"/>
          <w:szCs w:val="24"/>
        </w:rPr>
        <w:t xml:space="preserve">the </w:t>
      </w:r>
      <w:r w:rsidRPr="00616350">
        <w:rPr>
          <w:rFonts w:ascii="Times New Roman" w:hAnsi="Times New Roman"/>
          <w:szCs w:val="24"/>
        </w:rPr>
        <w:t xml:space="preserve">Member States in their implementation of the Free Movement acquis in a way that fully takes into account the diversity of families and that it is in line with existing Union </w:t>
      </w:r>
      <w:r>
        <w:rPr>
          <w:rFonts w:ascii="Times New Roman" w:hAnsi="Times New Roman"/>
          <w:szCs w:val="24"/>
        </w:rPr>
        <w:t xml:space="preserve">law and case law. </w:t>
      </w:r>
      <w:r w:rsidRPr="002270AB">
        <w:rPr>
          <w:rFonts w:ascii="Times New Roman" w:hAnsi="Times New Roman"/>
          <w:szCs w:val="24"/>
        </w:rPr>
        <w:t>In addition, the Commission will explore possible measures to support the mutual recognition of same-gender spouses and registered partners’ legal status in cross border situations.</w:t>
      </w:r>
    </w:p>
    <w:p w:rsidR="00373B0E" w:rsidRPr="00616350" w:rsidRDefault="00373B0E" w:rsidP="00373B0E">
      <w:pPr>
        <w:spacing w:after="120"/>
        <w:rPr>
          <w:rFonts w:ascii="Times New Roman" w:hAnsi="Times New Roman"/>
          <w:szCs w:val="24"/>
        </w:rPr>
      </w:pPr>
      <w:r w:rsidRPr="00616350">
        <w:rPr>
          <w:rFonts w:ascii="Times New Roman" w:hAnsi="Times New Roman"/>
          <w:szCs w:val="24"/>
          <w:u w:val="single"/>
        </w:rPr>
        <w:t>Paragraph 8</w:t>
      </w:r>
    </w:p>
    <w:p w:rsidR="00373B0E" w:rsidRPr="00616350" w:rsidRDefault="00373B0E" w:rsidP="00373B0E">
      <w:pPr>
        <w:spacing w:after="120"/>
        <w:rPr>
          <w:rFonts w:ascii="Times New Roman" w:hAnsi="Times New Roman"/>
          <w:szCs w:val="24"/>
        </w:rPr>
      </w:pPr>
      <w:proofErr w:type="gramStart"/>
      <w:r w:rsidRPr="00616350">
        <w:rPr>
          <w:rFonts w:ascii="Times New Roman" w:hAnsi="Times New Roman"/>
          <w:szCs w:val="24"/>
        </w:rPr>
        <w:t xml:space="preserve">As regards the recognition of marriages, the Court of Justice already recognised in the </w:t>
      </w:r>
      <w:proofErr w:type="spellStart"/>
      <w:r w:rsidRPr="00616350">
        <w:rPr>
          <w:rFonts w:ascii="Times New Roman" w:hAnsi="Times New Roman"/>
          <w:szCs w:val="24"/>
        </w:rPr>
        <w:t>Coman</w:t>
      </w:r>
      <w:proofErr w:type="spellEnd"/>
      <w:r w:rsidRPr="00616350">
        <w:rPr>
          <w:rFonts w:ascii="Times New Roman" w:hAnsi="Times New Roman"/>
          <w:szCs w:val="24"/>
        </w:rPr>
        <w:t xml:space="preserve"> judgment that a marriage of a same-sex couple was to be recognised for the purpose of granting a residence right, and indeed for the purpose of enabling exercise of all rights granted under Union law</w:t>
      </w:r>
      <w:r w:rsidRPr="00616350">
        <w:rPr>
          <w:rFonts w:ascii="Times New Roman" w:hAnsi="Times New Roman"/>
          <w:szCs w:val="24"/>
          <w:vertAlign w:val="superscript"/>
        </w:rPr>
        <w:footnoteReference w:id="1"/>
      </w:r>
      <w:r w:rsidRPr="00616350">
        <w:rPr>
          <w:rFonts w:ascii="Times New Roman" w:hAnsi="Times New Roman"/>
          <w:szCs w:val="24"/>
        </w:rPr>
        <w:t>, by all Member States, even those whose national legislation limits marriage to different-</w:t>
      </w:r>
      <w:r>
        <w:rPr>
          <w:rFonts w:ascii="Times New Roman" w:hAnsi="Times New Roman"/>
          <w:szCs w:val="24"/>
        </w:rPr>
        <w:t>sex couples.</w:t>
      </w:r>
      <w:proofErr w:type="gramEnd"/>
    </w:p>
    <w:p w:rsidR="00373B0E" w:rsidRPr="00616350" w:rsidRDefault="00373B0E" w:rsidP="00373B0E">
      <w:pPr>
        <w:spacing w:after="120"/>
        <w:rPr>
          <w:rFonts w:ascii="Times New Roman" w:hAnsi="Times New Roman"/>
          <w:szCs w:val="24"/>
        </w:rPr>
      </w:pPr>
      <w:r w:rsidRPr="00616350">
        <w:rPr>
          <w:rFonts w:ascii="Times New Roman" w:hAnsi="Times New Roman"/>
          <w:szCs w:val="24"/>
        </w:rPr>
        <w:t xml:space="preserve">Regarding the recognition of the birth certificates in cross-border situations, the Commission is also expecting the judgment to </w:t>
      </w:r>
      <w:proofErr w:type="gramStart"/>
      <w:r w:rsidRPr="00616350">
        <w:rPr>
          <w:rFonts w:ascii="Times New Roman" w:hAnsi="Times New Roman"/>
          <w:szCs w:val="24"/>
        </w:rPr>
        <w:t>be delivered</w:t>
      </w:r>
      <w:proofErr w:type="gramEnd"/>
      <w:r w:rsidRPr="00616350">
        <w:rPr>
          <w:rFonts w:ascii="Times New Roman" w:hAnsi="Times New Roman"/>
          <w:szCs w:val="24"/>
        </w:rPr>
        <w:t xml:space="preserve"> by the Court of Justice of the European Union in the VMA case (C-490/20). This judgment should bring clarifications on the interpretation of relevant provi</w:t>
      </w:r>
      <w:r>
        <w:rPr>
          <w:rFonts w:ascii="Times New Roman" w:hAnsi="Times New Roman"/>
          <w:szCs w:val="24"/>
        </w:rPr>
        <w:t>sions of EU law on that matter.</w:t>
      </w:r>
    </w:p>
    <w:p w:rsidR="00373B0E" w:rsidRPr="00616350" w:rsidRDefault="00373B0E" w:rsidP="00373B0E">
      <w:pPr>
        <w:spacing w:after="120"/>
        <w:rPr>
          <w:rFonts w:ascii="Times New Roman" w:hAnsi="Times New Roman"/>
          <w:szCs w:val="24"/>
        </w:rPr>
      </w:pPr>
      <w:r w:rsidRPr="00616350">
        <w:rPr>
          <w:rFonts w:ascii="Times New Roman" w:hAnsi="Times New Roman"/>
          <w:szCs w:val="24"/>
        </w:rPr>
        <w:t xml:space="preserve">In addition, as the Union has competence over measures concerning family law with cross-border implications, the Commission is working on a legislative initiative to facilitate the recognition of parenthood between </w:t>
      </w:r>
      <w:r>
        <w:rPr>
          <w:rFonts w:ascii="Times New Roman" w:hAnsi="Times New Roman"/>
          <w:szCs w:val="24"/>
        </w:rPr>
        <w:t xml:space="preserve">the </w:t>
      </w:r>
      <w:r w:rsidRPr="00616350">
        <w:rPr>
          <w:rFonts w:ascii="Times New Roman" w:hAnsi="Times New Roman"/>
          <w:szCs w:val="24"/>
        </w:rPr>
        <w:t xml:space="preserve">Member States. While, in accordance with the Treaties, each Member State will continue to decide the conditions under which parenthood </w:t>
      </w:r>
      <w:proofErr w:type="gramStart"/>
      <w:r w:rsidRPr="00616350">
        <w:rPr>
          <w:rFonts w:ascii="Times New Roman" w:hAnsi="Times New Roman"/>
          <w:szCs w:val="24"/>
        </w:rPr>
        <w:t>can be established</w:t>
      </w:r>
      <w:proofErr w:type="gramEnd"/>
      <w:r w:rsidRPr="00616350">
        <w:rPr>
          <w:rFonts w:ascii="Times New Roman" w:hAnsi="Times New Roman"/>
          <w:szCs w:val="24"/>
        </w:rPr>
        <w:t xml:space="preserve">, once a Member State has validly established parenthood, this legislative initiative will facilitate the recognition of that parenthood in cross-border situations. This will ensure that children’s rights (such as their rights to maintenance or inheritance) </w:t>
      </w:r>
      <w:proofErr w:type="gramStart"/>
      <w:r w:rsidRPr="00616350">
        <w:rPr>
          <w:rFonts w:ascii="Times New Roman" w:hAnsi="Times New Roman"/>
          <w:szCs w:val="24"/>
        </w:rPr>
        <w:t>are upheld</w:t>
      </w:r>
      <w:proofErr w:type="gramEnd"/>
      <w:r w:rsidRPr="00616350">
        <w:rPr>
          <w:rFonts w:ascii="Times New Roman" w:hAnsi="Times New Roman"/>
          <w:szCs w:val="24"/>
        </w:rPr>
        <w:t xml:space="preserve"> in other Member States.</w:t>
      </w:r>
    </w:p>
    <w:p w:rsidR="00373B0E" w:rsidRPr="00616350" w:rsidRDefault="00373B0E" w:rsidP="00373B0E">
      <w:pPr>
        <w:spacing w:after="120"/>
        <w:rPr>
          <w:rFonts w:ascii="Times New Roman" w:hAnsi="Times New Roman"/>
          <w:szCs w:val="24"/>
        </w:rPr>
      </w:pPr>
      <w:r w:rsidRPr="00616350">
        <w:rPr>
          <w:rFonts w:ascii="Times New Roman" w:hAnsi="Times New Roman"/>
          <w:szCs w:val="24"/>
          <w:u w:val="single"/>
        </w:rPr>
        <w:t>Paragraph 10</w:t>
      </w:r>
    </w:p>
    <w:p w:rsidR="00373B0E" w:rsidRPr="00616350" w:rsidRDefault="00373B0E" w:rsidP="00373B0E">
      <w:pPr>
        <w:spacing w:after="120"/>
        <w:rPr>
          <w:rFonts w:ascii="Times New Roman" w:hAnsi="Times New Roman"/>
          <w:szCs w:val="24"/>
        </w:rPr>
      </w:pPr>
      <w:r w:rsidRPr="00616350">
        <w:rPr>
          <w:rFonts w:ascii="Times New Roman" w:hAnsi="Times New Roman"/>
          <w:szCs w:val="24"/>
        </w:rPr>
        <w:t xml:space="preserve">Implementation of the judgments of the Court of Justice of the European Union is an essential part of the implementation of the Free Movement acquis. The Commission will therefore continue to ensure its correct application by the Member States in general as well as regarding specific issues that could prevent members of the LGBTIQ community and their families from fully enjoying their free movement rights. On this specific aspect, clarifications </w:t>
      </w:r>
      <w:proofErr w:type="gramStart"/>
      <w:r w:rsidRPr="00616350">
        <w:rPr>
          <w:rFonts w:ascii="Times New Roman" w:hAnsi="Times New Roman"/>
          <w:szCs w:val="24"/>
        </w:rPr>
        <w:t>will be added</w:t>
      </w:r>
      <w:proofErr w:type="gramEnd"/>
      <w:r w:rsidRPr="00616350">
        <w:rPr>
          <w:rFonts w:ascii="Times New Roman" w:hAnsi="Times New Roman"/>
          <w:szCs w:val="24"/>
        </w:rPr>
        <w:t xml:space="preserve"> to the Guidelines on Free Movement</w:t>
      </w:r>
      <w:r w:rsidRPr="00616350">
        <w:rPr>
          <w:rFonts w:ascii="Times New Roman" w:hAnsi="Times New Roman"/>
          <w:szCs w:val="24"/>
          <w:vertAlign w:val="superscript"/>
        </w:rPr>
        <w:footnoteReference w:id="2"/>
      </w:r>
      <w:r w:rsidRPr="00616350">
        <w:rPr>
          <w:rFonts w:ascii="Times New Roman" w:hAnsi="Times New Roman"/>
          <w:szCs w:val="24"/>
        </w:rPr>
        <w:t xml:space="preserve"> through the revision </w:t>
      </w:r>
      <w:r>
        <w:rPr>
          <w:rFonts w:ascii="Times New Roman" w:hAnsi="Times New Roman"/>
          <w:szCs w:val="24"/>
        </w:rPr>
        <w:t>planned</w:t>
      </w:r>
      <w:r w:rsidRPr="00616350">
        <w:rPr>
          <w:rFonts w:ascii="Times New Roman" w:hAnsi="Times New Roman"/>
          <w:szCs w:val="24"/>
        </w:rPr>
        <w:t xml:space="preserve"> for 2022 in order for all relevant actors in the Member States to be fully aware of the latest case law developments. The Commission is confident that a better information will help in a better implementation in particular as regards the fact that the term spouse in Directive 2004/38/EC is gender-neutral.</w:t>
      </w:r>
    </w:p>
    <w:p w:rsidR="00373B0E" w:rsidRPr="00616350" w:rsidRDefault="00373B0E" w:rsidP="00373B0E">
      <w:pPr>
        <w:spacing w:after="120"/>
        <w:rPr>
          <w:rFonts w:ascii="Times New Roman" w:hAnsi="Times New Roman"/>
          <w:szCs w:val="24"/>
        </w:rPr>
      </w:pPr>
      <w:r w:rsidRPr="00616350">
        <w:rPr>
          <w:rFonts w:ascii="Times New Roman" w:hAnsi="Times New Roman"/>
          <w:szCs w:val="24"/>
        </w:rPr>
        <w:t>The Commission is aware that M</w:t>
      </w:r>
      <w:r>
        <w:rPr>
          <w:rFonts w:ascii="Times New Roman" w:hAnsi="Times New Roman"/>
          <w:szCs w:val="24"/>
        </w:rPr>
        <w:t>r</w:t>
      </w:r>
      <w:r w:rsidRPr="00616350">
        <w:rPr>
          <w:rFonts w:ascii="Times New Roman" w:hAnsi="Times New Roman"/>
          <w:szCs w:val="24"/>
        </w:rPr>
        <w:t xml:space="preserve"> </w:t>
      </w:r>
      <w:proofErr w:type="spellStart"/>
      <w:r w:rsidRPr="00616350">
        <w:rPr>
          <w:rFonts w:ascii="Times New Roman" w:hAnsi="Times New Roman"/>
          <w:szCs w:val="24"/>
        </w:rPr>
        <w:t>Coman</w:t>
      </w:r>
      <w:proofErr w:type="spellEnd"/>
      <w:r w:rsidRPr="00616350">
        <w:rPr>
          <w:rFonts w:ascii="Times New Roman" w:hAnsi="Times New Roman"/>
          <w:szCs w:val="24"/>
        </w:rPr>
        <w:t xml:space="preserve"> and </w:t>
      </w:r>
      <w:r>
        <w:rPr>
          <w:rFonts w:ascii="Times New Roman" w:hAnsi="Times New Roman"/>
          <w:szCs w:val="24"/>
        </w:rPr>
        <w:t xml:space="preserve">Mr </w:t>
      </w:r>
      <w:r w:rsidRPr="00616350">
        <w:rPr>
          <w:rFonts w:ascii="Times New Roman" w:hAnsi="Times New Roman"/>
          <w:szCs w:val="24"/>
        </w:rPr>
        <w:t>Hamilton brought their case before the European Court of Human Right</w:t>
      </w:r>
      <w:r>
        <w:rPr>
          <w:rFonts w:ascii="Times New Roman" w:hAnsi="Times New Roman"/>
          <w:szCs w:val="24"/>
        </w:rPr>
        <w:t>s (ECHR)</w:t>
      </w:r>
      <w:r w:rsidRPr="00616350">
        <w:rPr>
          <w:rFonts w:ascii="Times New Roman" w:hAnsi="Times New Roman"/>
          <w:szCs w:val="24"/>
        </w:rPr>
        <w:t xml:space="preserve"> following the refusal of Romanian Courts to issue </w:t>
      </w:r>
      <w:r w:rsidRPr="00616350">
        <w:rPr>
          <w:rFonts w:ascii="Times New Roman" w:hAnsi="Times New Roman"/>
          <w:szCs w:val="24"/>
        </w:rPr>
        <w:lastRenderedPageBreak/>
        <w:t xml:space="preserve">Mr Hamilton with a residence card. Based on publicly available information and in particular on the application lodged to the ECHR, the Romanian authorities seem to have refused the issuance of the residence card based on procedural grounds. </w:t>
      </w:r>
      <w:proofErr w:type="gramStart"/>
      <w:r w:rsidRPr="00616350">
        <w:rPr>
          <w:rFonts w:ascii="Times New Roman" w:hAnsi="Times New Roman"/>
          <w:szCs w:val="24"/>
        </w:rPr>
        <w:t>However, it needs to be highlighted that the Constitutional Court of Romania has, in the meantime</w:t>
      </w:r>
      <w:r>
        <w:rPr>
          <w:rFonts w:ascii="Times New Roman" w:hAnsi="Times New Roman"/>
          <w:szCs w:val="24"/>
        </w:rPr>
        <w:t>, ruled that, based on the judg</w:t>
      </w:r>
      <w:r w:rsidRPr="00616350">
        <w:rPr>
          <w:rFonts w:ascii="Times New Roman" w:hAnsi="Times New Roman"/>
          <w:szCs w:val="24"/>
        </w:rPr>
        <w:t>ment of the Court of Justice of the European Union, the relevant provisions of the Romanian Civil Code are to be interpreted in the light of European law and that they should allow to grant a right of residence to spouses of the same sex of Romanian citizens moving back to Romania after having exercised their right of free movement</w:t>
      </w:r>
      <w:r w:rsidRPr="00616350">
        <w:rPr>
          <w:rFonts w:ascii="Times New Roman" w:hAnsi="Times New Roman"/>
          <w:szCs w:val="24"/>
          <w:vertAlign w:val="superscript"/>
        </w:rPr>
        <w:footnoteReference w:id="3"/>
      </w:r>
      <w:r w:rsidRPr="00616350">
        <w:rPr>
          <w:rFonts w:ascii="Times New Roman" w:hAnsi="Times New Roman"/>
          <w:szCs w:val="24"/>
        </w:rPr>
        <w:t>.</w:t>
      </w:r>
      <w:proofErr w:type="gramEnd"/>
      <w:r w:rsidRPr="00616350">
        <w:rPr>
          <w:rFonts w:ascii="Times New Roman" w:hAnsi="Times New Roman"/>
          <w:szCs w:val="24"/>
        </w:rPr>
        <w:t xml:space="preserve"> The Constitutional Court of Romania has therefore drawn the</w:t>
      </w:r>
      <w:r>
        <w:rPr>
          <w:rFonts w:ascii="Times New Roman" w:hAnsi="Times New Roman"/>
          <w:szCs w:val="24"/>
        </w:rPr>
        <w:t xml:space="preserve"> consequences of the </w:t>
      </w:r>
      <w:proofErr w:type="spellStart"/>
      <w:r>
        <w:rPr>
          <w:rFonts w:ascii="Times New Roman" w:hAnsi="Times New Roman"/>
          <w:szCs w:val="24"/>
        </w:rPr>
        <w:t>Coman</w:t>
      </w:r>
      <w:proofErr w:type="spellEnd"/>
      <w:r>
        <w:rPr>
          <w:rFonts w:ascii="Times New Roman" w:hAnsi="Times New Roman"/>
          <w:szCs w:val="24"/>
        </w:rPr>
        <w:t xml:space="preserve"> judg</w:t>
      </w:r>
      <w:r w:rsidRPr="00616350">
        <w:rPr>
          <w:rFonts w:ascii="Times New Roman" w:hAnsi="Times New Roman"/>
          <w:szCs w:val="24"/>
        </w:rPr>
        <w:t>ment delivered by the Court of</w:t>
      </w:r>
      <w:r>
        <w:rPr>
          <w:rFonts w:ascii="Times New Roman" w:hAnsi="Times New Roman"/>
          <w:szCs w:val="24"/>
        </w:rPr>
        <w:t xml:space="preserve"> Justice of the European Union.</w:t>
      </w:r>
    </w:p>
    <w:p w:rsidR="00373B0E" w:rsidRPr="00616350" w:rsidRDefault="00373B0E" w:rsidP="00373B0E">
      <w:pPr>
        <w:spacing w:after="120"/>
        <w:rPr>
          <w:rFonts w:ascii="Times New Roman" w:hAnsi="Times New Roman"/>
          <w:szCs w:val="24"/>
        </w:rPr>
      </w:pPr>
      <w:r w:rsidRPr="00616350">
        <w:rPr>
          <w:rFonts w:ascii="Times New Roman" w:hAnsi="Times New Roman"/>
          <w:szCs w:val="24"/>
          <w:u w:val="single"/>
        </w:rPr>
        <w:t>Paragraph 11</w:t>
      </w:r>
    </w:p>
    <w:p w:rsidR="00373B0E" w:rsidRPr="00616350" w:rsidRDefault="00373B0E" w:rsidP="00373B0E">
      <w:pPr>
        <w:spacing w:after="120"/>
        <w:rPr>
          <w:rFonts w:ascii="Times New Roman" w:hAnsi="Times New Roman"/>
          <w:szCs w:val="24"/>
        </w:rPr>
      </w:pPr>
      <w:proofErr w:type="gramStart"/>
      <w:r w:rsidRPr="00904EE8">
        <w:rPr>
          <w:rFonts w:ascii="Times New Roman" w:hAnsi="Times New Roman"/>
          <w:szCs w:val="24"/>
        </w:rPr>
        <w:t>As explained in the Guidelines themselves, their aim is to provide guidance to the Member States on how to apply correctly Directive 2004/38/EC of 29 April 2004 on the right of citizens of the Union and their family members to move and reside freely within the territory of the Member States</w:t>
      </w:r>
      <w:r>
        <w:rPr>
          <w:rFonts w:ascii="Times New Roman" w:hAnsi="Times New Roman"/>
          <w:szCs w:val="24"/>
        </w:rPr>
        <w:t>,</w:t>
      </w:r>
      <w:r w:rsidRPr="00904EE8">
        <w:rPr>
          <w:rFonts w:ascii="Times New Roman" w:hAnsi="Times New Roman"/>
          <w:szCs w:val="24"/>
        </w:rPr>
        <w:t xml:space="preserve"> with the objective of bringing a real improvement for all EU citizens and of making the EU an area of security, freedom and justice.</w:t>
      </w:r>
      <w:proofErr w:type="gramEnd"/>
      <w:r w:rsidRPr="00904EE8">
        <w:rPr>
          <w:rFonts w:ascii="Times New Roman" w:hAnsi="Times New Roman"/>
          <w:szCs w:val="24"/>
        </w:rPr>
        <w:t xml:space="preserve"> The scope of the Guidelines does not extend to the implementation of Directive 2000/78/EC. In addition,</w:t>
      </w:r>
      <w:r>
        <w:rPr>
          <w:rFonts w:ascii="Times New Roman" w:hAnsi="Times New Roman"/>
          <w:szCs w:val="24"/>
        </w:rPr>
        <w:t xml:space="preserve"> the Maruko, </w:t>
      </w:r>
      <w:proofErr w:type="spellStart"/>
      <w:r>
        <w:rPr>
          <w:rFonts w:ascii="Times New Roman" w:hAnsi="Times New Roman"/>
          <w:szCs w:val="24"/>
        </w:rPr>
        <w:t>Römer</w:t>
      </w:r>
      <w:proofErr w:type="spellEnd"/>
      <w:r>
        <w:rPr>
          <w:rFonts w:ascii="Times New Roman" w:hAnsi="Times New Roman"/>
          <w:szCs w:val="24"/>
        </w:rPr>
        <w:t xml:space="preserve"> and Hay judg</w:t>
      </w:r>
      <w:r w:rsidRPr="00904EE8">
        <w:rPr>
          <w:rFonts w:ascii="Times New Roman" w:hAnsi="Times New Roman"/>
          <w:szCs w:val="24"/>
        </w:rPr>
        <w:t>ments of the European Court of Human Rights do not involve cross-border elements and do not refer to situations falling within the scope of free movement. T</w:t>
      </w:r>
      <w:r>
        <w:rPr>
          <w:rFonts w:ascii="Times New Roman" w:hAnsi="Times New Roman"/>
          <w:szCs w:val="24"/>
        </w:rPr>
        <w:t xml:space="preserve">he </w:t>
      </w:r>
      <w:proofErr w:type="spellStart"/>
      <w:r>
        <w:rPr>
          <w:rFonts w:ascii="Times New Roman" w:hAnsi="Times New Roman"/>
          <w:szCs w:val="24"/>
        </w:rPr>
        <w:t>Taddeucci</w:t>
      </w:r>
      <w:proofErr w:type="spellEnd"/>
      <w:r>
        <w:rPr>
          <w:rFonts w:ascii="Times New Roman" w:hAnsi="Times New Roman"/>
          <w:szCs w:val="24"/>
        </w:rPr>
        <w:t xml:space="preserve"> and </w:t>
      </w:r>
      <w:proofErr w:type="spellStart"/>
      <w:r>
        <w:rPr>
          <w:rFonts w:ascii="Times New Roman" w:hAnsi="Times New Roman"/>
          <w:szCs w:val="24"/>
        </w:rPr>
        <w:t>MacCall</w:t>
      </w:r>
      <w:proofErr w:type="spellEnd"/>
      <w:r>
        <w:rPr>
          <w:rFonts w:ascii="Times New Roman" w:hAnsi="Times New Roman"/>
          <w:szCs w:val="24"/>
        </w:rPr>
        <w:t xml:space="preserve"> </w:t>
      </w:r>
      <w:proofErr w:type="spellStart"/>
      <w:r>
        <w:rPr>
          <w:rFonts w:ascii="Times New Roman" w:hAnsi="Times New Roman"/>
          <w:szCs w:val="24"/>
        </w:rPr>
        <w:t>judgem</w:t>
      </w:r>
      <w:r w:rsidRPr="00904EE8">
        <w:rPr>
          <w:rFonts w:ascii="Times New Roman" w:hAnsi="Times New Roman"/>
          <w:szCs w:val="24"/>
        </w:rPr>
        <w:t>nts</w:t>
      </w:r>
      <w:proofErr w:type="spellEnd"/>
      <w:r w:rsidRPr="00904EE8">
        <w:rPr>
          <w:rFonts w:ascii="Times New Roman" w:hAnsi="Times New Roman"/>
          <w:szCs w:val="24"/>
        </w:rPr>
        <w:t xml:space="preserve"> of the same court address issues arising in Italy where free movement provisions did</w:t>
      </w:r>
      <w:r w:rsidRPr="00616350">
        <w:rPr>
          <w:rFonts w:ascii="Times New Roman" w:hAnsi="Times New Roman"/>
          <w:szCs w:val="24"/>
        </w:rPr>
        <w:t xml:space="preserve"> also not apply to the applicants, the EU citizen being Italian</w:t>
      </w:r>
      <w:r>
        <w:rPr>
          <w:rFonts w:ascii="Times New Roman" w:hAnsi="Times New Roman"/>
          <w:szCs w:val="24"/>
        </w:rPr>
        <w:t>.</w:t>
      </w:r>
    </w:p>
    <w:p w:rsidR="00373B0E" w:rsidRPr="00616350" w:rsidRDefault="00373B0E" w:rsidP="00373B0E">
      <w:pPr>
        <w:spacing w:after="120"/>
        <w:rPr>
          <w:rFonts w:ascii="Times New Roman" w:hAnsi="Times New Roman"/>
          <w:szCs w:val="24"/>
        </w:rPr>
      </w:pPr>
      <w:r w:rsidRPr="00616350">
        <w:rPr>
          <w:rFonts w:ascii="Times New Roman" w:hAnsi="Times New Roman"/>
          <w:szCs w:val="24"/>
          <w:u w:val="single"/>
        </w:rPr>
        <w:t>Paragraph 12</w:t>
      </w:r>
    </w:p>
    <w:p w:rsidR="00373B0E" w:rsidRDefault="00373B0E" w:rsidP="00373B0E">
      <w:pPr>
        <w:spacing w:after="120"/>
        <w:rPr>
          <w:rFonts w:ascii="Times New Roman" w:hAnsi="Times New Roman"/>
          <w:szCs w:val="24"/>
        </w:rPr>
      </w:pPr>
      <w:r w:rsidRPr="00616350">
        <w:rPr>
          <w:rFonts w:ascii="Times New Roman" w:hAnsi="Times New Roman"/>
          <w:szCs w:val="24"/>
        </w:rPr>
        <w:t>The Commission considers tha</w:t>
      </w:r>
      <w:r>
        <w:rPr>
          <w:rFonts w:ascii="Times New Roman" w:hAnsi="Times New Roman"/>
          <w:szCs w:val="24"/>
        </w:rPr>
        <w:t>t Article 2(2</w:t>
      </w:r>
      <w:proofErr w:type="gramStart"/>
      <w:r>
        <w:rPr>
          <w:rFonts w:ascii="Times New Roman" w:hAnsi="Times New Roman"/>
          <w:szCs w:val="24"/>
        </w:rPr>
        <w:t>)(</w:t>
      </w:r>
      <w:proofErr w:type="gramEnd"/>
      <w:r>
        <w:rPr>
          <w:rFonts w:ascii="Times New Roman" w:hAnsi="Times New Roman"/>
          <w:szCs w:val="24"/>
        </w:rPr>
        <w:t>b) of the d</w:t>
      </w:r>
      <w:r w:rsidRPr="00616350">
        <w:rPr>
          <w:rFonts w:ascii="Times New Roman" w:hAnsi="Times New Roman"/>
          <w:szCs w:val="24"/>
        </w:rPr>
        <w:t xml:space="preserve">irective does not infringe the principle of non-discrimination as regards sex and sexual orientation as laid down in  Article 21 of the </w:t>
      </w:r>
      <w:r>
        <w:rPr>
          <w:rFonts w:ascii="Times New Roman" w:hAnsi="Times New Roman"/>
          <w:szCs w:val="24"/>
        </w:rPr>
        <w:t xml:space="preserve">EU </w:t>
      </w:r>
      <w:r w:rsidRPr="00616350">
        <w:rPr>
          <w:rFonts w:ascii="Times New Roman" w:hAnsi="Times New Roman"/>
          <w:szCs w:val="24"/>
        </w:rPr>
        <w:t>Charter</w:t>
      </w:r>
      <w:r>
        <w:rPr>
          <w:rFonts w:ascii="Times New Roman" w:hAnsi="Times New Roman"/>
          <w:szCs w:val="24"/>
        </w:rPr>
        <w:t xml:space="preserve"> of Fundamental Rights</w:t>
      </w:r>
      <w:r w:rsidRPr="00616350">
        <w:rPr>
          <w:rFonts w:ascii="Times New Roman" w:hAnsi="Times New Roman"/>
          <w:szCs w:val="24"/>
        </w:rPr>
        <w:t>. The provisions of this paragraph apply indistinctly to register partnerships, whether of different sex or same sex persons, and cannot therefore constitute a discriminati</w:t>
      </w:r>
      <w:r>
        <w:rPr>
          <w:rFonts w:ascii="Times New Roman" w:hAnsi="Times New Roman"/>
          <w:szCs w:val="24"/>
        </w:rPr>
        <w:t>on based on sexual orientation.</w:t>
      </w:r>
    </w:p>
    <w:p w:rsidR="00373B0E" w:rsidRPr="00616350" w:rsidRDefault="00373B0E" w:rsidP="00373B0E">
      <w:pPr>
        <w:spacing w:after="120"/>
        <w:rPr>
          <w:rFonts w:ascii="Times New Roman" w:hAnsi="Times New Roman"/>
          <w:szCs w:val="24"/>
        </w:rPr>
      </w:pPr>
      <w:r w:rsidRPr="00616350">
        <w:rPr>
          <w:rFonts w:ascii="Times New Roman" w:hAnsi="Times New Roman"/>
          <w:szCs w:val="24"/>
        </w:rPr>
        <w:t>Partners whose partnerships would not meet the criteria of Article 2(2</w:t>
      </w:r>
      <w:proofErr w:type="gramStart"/>
      <w:r w:rsidRPr="00616350">
        <w:rPr>
          <w:rFonts w:ascii="Times New Roman" w:hAnsi="Times New Roman"/>
          <w:szCs w:val="24"/>
        </w:rPr>
        <w:t>)(</w:t>
      </w:r>
      <w:proofErr w:type="gramEnd"/>
      <w:r w:rsidRPr="00616350">
        <w:rPr>
          <w:rFonts w:ascii="Times New Roman" w:hAnsi="Times New Roman"/>
          <w:szCs w:val="24"/>
        </w:rPr>
        <w:t xml:space="preserve">b) have the possibility to fall </w:t>
      </w:r>
      <w:r>
        <w:rPr>
          <w:rFonts w:ascii="Times New Roman" w:hAnsi="Times New Roman"/>
          <w:szCs w:val="24"/>
        </w:rPr>
        <w:t>into the scope of the d</w:t>
      </w:r>
      <w:r w:rsidRPr="00616350">
        <w:rPr>
          <w:rFonts w:ascii="Times New Roman" w:hAnsi="Times New Roman"/>
          <w:szCs w:val="24"/>
        </w:rPr>
        <w:t xml:space="preserve">irective, as extended family members, by relying on its Article 3(2)(b). </w:t>
      </w:r>
    </w:p>
    <w:p w:rsidR="00373B0E" w:rsidRPr="00616350" w:rsidRDefault="00373B0E" w:rsidP="00373B0E">
      <w:pPr>
        <w:spacing w:after="120"/>
        <w:rPr>
          <w:rFonts w:ascii="Times New Roman" w:hAnsi="Times New Roman"/>
          <w:szCs w:val="24"/>
        </w:rPr>
      </w:pPr>
      <w:r w:rsidRPr="00616350">
        <w:rPr>
          <w:rFonts w:ascii="Times New Roman" w:hAnsi="Times New Roman"/>
          <w:szCs w:val="24"/>
        </w:rPr>
        <w:t>Hence, the Commission does not see the need to change Article 2(2</w:t>
      </w:r>
      <w:proofErr w:type="gramStart"/>
      <w:r w:rsidRPr="00616350">
        <w:rPr>
          <w:rFonts w:ascii="Times New Roman" w:hAnsi="Times New Roman"/>
          <w:szCs w:val="24"/>
        </w:rPr>
        <w:t>)(</w:t>
      </w:r>
      <w:proofErr w:type="gramEnd"/>
      <w:r w:rsidRPr="00616350">
        <w:rPr>
          <w:rFonts w:ascii="Times New Roman" w:hAnsi="Times New Roman"/>
          <w:szCs w:val="24"/>
        </w:rPr>
        <w:t>b) to address the alleged incompatibility with Article 21 of the Charter.</w:t>
      </w:r>
    </w:p>
    <w:p w:rsidR="00373B0E" w:rsidRPr="00616350" w:rsidRDefault="00373B0E" w:rsidP="00373B0E">
      <w:pPr>
        <w:spacing w:after="120"/>
        <w:rPr>
          <w:rFonts w:ascii="Times New Roman" w:hAnsi="Times New Roman"/>
          <w:szCs w:val="24"/>
        </w:rPr>
      </w:pPr>
      <w:r w:rsidRPr="00616350">
        <w:rPr>
          <w:rFonts w:ascii="Times New Roman" w:hAnsi="Times New Roman"/>
          <w:szCs w:val="24"/>
          <w:u w:val="single"/>
        </w:rPr>
        <w:t>Paragraph 13</w:t>
      </w:r>
    </w:p>
    <w:p w:rsidR="00373B0E" w:rsidRPr="00616350" w:rsidRDefault="00373B0E" w:rsidP="00373B0E">
      <w:pPr>
        <w:spacing w:after="120"/>
        <w:rPr>
          <w:rFonts w:ascii="Times New Roman" w:hAnsi="Times New Roman"/>
          <w:szCs w:val="24"/>
        </w:rPr>
      </w:pPr>
      <w:r w:rsidRPr="00616350">
        <w:rPr>
          <w:rFonts w:ascii="Times New Roman" w:hAnsi="Times New Roman"/>
          <w:szCs w:val="24"/>
        </w:rPr>
        <w:t xml:space="preserve">The reviewed Guidelines will provide updated guidance for all interested parties, in particular EU citizens, and support the work of national authorities dealing with citizens’ rights, as well as courts and legal practitioners. It </w:t>
      </w:r>
      <w:proofErr w:type="gramStart"/>
      <w:r w:rsidRPr="00616350">
        <w:rPr>
          <w:rFonts w:ascii="Times New Roman" w:hAnsi="Times New Roman"/>
          <w:szCs w:val="24"/>
        </w:rPr>
        <w:t>is intended</w:t>
      </w:r>
      <w:proofErr w:type="gramEnd"/>
      <w:r w:rsidRPr="00616350">
        <w:rPr>
          <w:rFonts w:ascii="Times New Roman" w:hAnsi="Times New Roman"/>
          <w:szCs w:val="24"/>
        </w:rPr>
        <w:t xml:space="preserve"> to integrate the interpretations made since 2009 by the Court of Justice of the European Union of key concepts and provisions of Directive 2004/38/EC. The reviewed guidelines should reflect the diversity of</w:t>
      </w:r>
      <w:r>
        <w:rPr>
          <w:rFonts w:ascii="Times New Roman" w:hAnsi="Times New Roman"/>
          <w:szCs w:val="24"/>
        </w:rPr>
        <w:t xml:space="preserve"> families and therefore help al</w:t>
      </w:r>
      <w:r w:rsidRPr="00616350">
        <w:rPr>
          <w:rFonts w:ascii="Times New Roman" w:hAnsi="Times New Roman"/>
          <w:szCs w:val="24"/>
        </w:rPr>
        <w:t xml:space="preserve"> families - including rainbow families – exercis</w:t>
      </w:r>
      <w:r>
        <w:rPr>
          <w:rFonts w:ascii="Times New Roman" w:hAnsi="Times New Roman"/>
          <w:szCs w:val="24"/>
        </w:rPr>
        <w:t>e their right to free movement.</w:t>
      </w:r>
    </w:p>
    <w:p w:rsidR="00373B0E" w:rsidRPr="00616350" w:rsidRDefault="00373B0E" w:rsidP="00373B0E">
      <w:pPr>
        <w:spacing w:after="120"/>
        <w:rPr>
          <w:rFonts w:ascii="Times New Roman" w:hAnsi="Times New Roman"/>
          <w:szCs w:val="24"/>
        </w:rPr>
      </w:pPr>
      <w:r w:rsidRPr="00C43692">
        <w:rPr>
          <w:rFonts w:ascii="Times New Roman" w:hAnsi="Times New Roman"/>
          <w:szCs w:val="24"/>
        </w:rPr>
        <w:t>The review of the Guidelines will be an opportunity to remind the Member States that the EU free movement</w:t>
      </w:r>
      <w:r w:rsidRPr="00616350">
        <w:rPr>
          <w:rFonts w:ascii="Times New Roman" w:hAnsi="Times New Roman"/>
          <w:szCs w:val="24"/>
        </w:rPr>
        <w:t xml:space="preserve"> right enshrined u</w:t>
      </w:r>
      <w:r>
        <w:rPr>
          <w:rFonts w:ascii="Times New Roman" w:hAnsi="Times New Roman"/>
          <w:szCs w:val="24"/>
        </w:rPr>
        <w:t>nder Article 21 TFEU, which the d</w:t>
      </w:r>
      <w:r w:rsidRPr="00616350">
        <w:rPr>
          <w:rFonts w:ascii="Times New Roman" w:hAnsi="Times New Roman"/>
          <w:szCs w:val="24"/>
        </w:rPr>
        <w:t>irective implements</w:t>
      </w:r>
      <w:r>
        <w:rPr>
          <w:rFonts w:ascii="Times New Roman" w:hAnsi="Times New Roman"/>
          <w:szCs w:val="24"/>
        </w:rPr>
        <w:t>,</w:t>
      </w:r>
      <w:r w:rsidRPr="00616350">
        <w:rPr>
          <w:rFonts w:ascii="Times New Roman" w:hAnsi="Times New Roman"/>
          <w:szCs w:val="24"/>
        </w:rPr>
        <w:t xml:space="preserve"> </w:t>
      </w:r>
      <w:r w:rsidRPr="00616350">
        <w:rPr>
          <w:rFonts w:ascii="Times New Roman" w:hAnsi="Times New Roman"/>
          <w:szCs w:val="24"/>
        </w:rPr>
        <w:lastRenderedPageBreak/>
        <w:t>includes the right to conduct a normal family life</w:t>
      </w:r>
      <w:r w:rsidRPr="00616350">
        <w:rPr>
          <w:rFonts w:ascii="Times New Roman" w:hAnsi="Times New Roman"/>
          <w:szCs w:val="24"/>
          <w:vertAlign w:val="superscript"/>
        </w:rPr>
        <w:footnoteReference w:id="4"/>
      </w:r>
      <w:r w:rsidRPr="00616350">
        <w:rPr>
          <w:rFonts w:ascii="Times New Roman" w:hAnsi="Times New Roman"/>
          <w:szCs w:val="24"/>
        </w:rPr>
        <w:t>. In turn, the notion of “family life”, which corresponds to the one resulting from the case law of the European Court of Human Rights, may include family life developed in the framework of a same sex relationship.</w:t>
      </w:r>
    </w:p>
    <w:p w:rsidR="00373B0E" w:rsidRPr="00616350" w:rsidRDefault="00373B0E" w:rsidP="00373B0E">
      <w:pPr>
        <w:spacing w:after="120"/>
        <w:rPr>
          <w:rFonts w:ascii="Times New Roman" w:hAnsi="Times New Roman"/>
          <w:szCs w:val="24"/>
        </w:rPr>
      </w:pPr>
      <w:r w:rsidRPr="00616350">
        <w:rPr>
          <w:rFonts w:ascii="Times New Roman" w:hAnsi="Times New Roman"/>
          <w:szCs w:val="24"/>
          <w:u w:val="single"/>
        </w:rPr>
        <w:t>Paragraph 14</w:t>
      </w:r>
    </w:p>
    <w:p w:rsidR="00373B0E" w:rsidRPr="00616350" w:rsidRDefault="00373B0E" w:rsidP="00373B0E">
      <w:pPr>
        <w:spacing w:after="120"/>
        <w:rPr>
          <w:rFonts w:ascii="Times New Roman" w:hAnsi="Times New Roman"/>
          <w:szCs w:val="24"/>
          <w:lang w:val="en-IE"/>
        </w:rPr>
      </w:pPr>
      <w:r w:rsidRPr="00616350">
        <w:rPr>
          <w:rFonts w:ascii="Times New Roman" w:hAnsi="Times New Roman"/>
          <w:szCs w:val="24"/>
          <w:lang w:val="en-IE"/>
        </w:rPr>
        <w:t xml:space="preserve">The Commission has a clear position on resolutions adopted </w:t>
      </w:r>
      <w:r w:rsidRPr="00616350">
        <w:rPr>
          <w:rFonts w:ascii="Times New Roman" w:hAnsi="Times New Roman"/>
          <w:szCs w:val="24"/>
        </w:rPr>
        <w:t xml:space="preserve">in Poland regarding the so-called ‘LGBT ideology-free zones’, expressed at various occasions, including by the Commission’s President: these </w:t>
      </w:r>
      <w:r w:rsidRPr="00616350">
        <w:rPr>
          <w:rFonts w:ascii="Times New Roman" w:hAnsi="Times New Roman"/>
          <w:szCs w:val="24"/>
          <w:lang w:val="en-IE"/>
        </w:rPr>
        <w:t>zones are humanity free zones and they have no place in the European Union.</w:t>
      </w:r>
    </w:p>
    <w:p w:rsidR="00373B0E" w:rsidRPr="00616350" w:rsidRDefault="00373B0E" w:rsidP="00373B0E">
      <w:pPr>
        <w:spacing w:after="120"/>
        <w:rPr>
          <w:rFonts w:ascii="Times New Roman" w:hAnsi="Times New Roman"/>
          <w:szCs w:val="24"/>
        </w:rPr>
      </w:pPr>
      <w:r w:rsidRPr="00616350">
        <w:rPr>
          <w:rFonts w:ascii="Times New Roman" w:hAnsi="Times New Roman"/>
          <w:szCs w:val="24"/>
        </w:rPr>
        <w:t xml:space="preserve">The Commission is examining carefully the compatibility with EU law of these resolutions and, for this purpose, has sought from Poland information relating to their scope and effects. As the Polish authorities had failed </w:t>
      </w:r>
      <w:proofErr w:type="gramStart"/>
      <w:r w:rsidRPr="00616350">
        <w:rPr>
          <w:rFonts w:ascii="Times New Roman" w:hAnsi="Times New Roman"/>
          <w:szCs w:val="24"/>
        </w:rPr>
        <w:t>to fully and appropriately provide</w:t>
      </w:r>
      <w:proofErr w:type="gramEnd"/>
      <w:r w:rsidRPr="00616350">
        <w:rPr>
          <w:rFonts w:ascii="Times New Roman" w:hAnsi="Times New Roman"/>
          <w:szCs w:val="24"/>
        </w:rPr>
        <w:t xml:space="preserve"> the requested information, the Commission sent </w:t>
      </w:r>
      <w:r>
        <w:rPr>
          <w:rFonts w:ascii="Times New Roman" w:hAnsi="Times New Roman"/>
          <w:szCs w:val="24"/>
        </w:rPr>
        <w:t xml:space="preserve">a letter of formal notice on 15 </w:t>
      </w:r>
      <w:r w:rsidRPr="00616350">
        <w:rPr>
          <w:rFonts w:ascii="Times New Roman" w:hAnsi="Times New Roman"/>
          <w:szCs w:val="24"/>
        </w:rPr>
        <w:t>J</w:t>
      </w:r>
      <w:r>
        <w:rPr>
          <w:rFonts w:ascii="Times New Roman" w:hAnsi="Times New Roman"/>
          <w:szCs w:val="24"/>
        </w:rPr>
        <w:t>uly 2021 for lack of cooperation.</w:t>
      </w:r>
    </w:p>
    <w:p w:rsidR="00373B0E" w:rsidRPr="00616350" w:rsidRDefault="00373B0E" w:rsidP="00373B0E">
      <w:pPr>
        <w:spacing w:after="120"/>
        <w:rPr>
          <w:rFonts w:ascii="Times New Roman" w:hAnsi="Times New Roman"/>
          <w:szCs w:val="24"/>
        </w:rPr>
      </w:pPr>
      <w:proofErr w:type="gramStart"/>
      <w:r w:rsidRPr="00616350">
        <w:rPr>
          <w:rFonts w:ascii="Times New Roman" w:hAnsi="Times New Roman"/>
          <w:szCs w:val="24"/>
        </w:rPr>
        <w:t>On the same day, the Commission sent two letters of formal notice to Hungary: one concerning the violation of several provisions of EU law, including the EU Charter of Fundamental Rights, by the Hungarian Act LXXIX of 2021 on taking more severe action against paedophile offenders and amending certain Acts for the protection of children; and one concerning the violation of the Unfair Commercial Practice</w:t>
      </w:r>
      <w:r>
        <w:rPr>
          <w:rFonts w:ascii="Times New Roman" w:hAnsi="Times New Roman"/>
          <w:szCs w:val="24"/>
        </w:rPr>
        <w:t xml:space="preserve">s Directive and of the Charter </w:t>
      </w:r>
      <w:r w:rsidRPr="00616350">
        <w:rPr>
          <w:rFonts w:ascii="Times New Roman" w:hAnsi="Times New Roman"/>
          <w:szCs w:val="24"/>
        </w:rPr>
        <w:t>by the decision to impose an obligation to put on a children’s book with LGBT content</w:t>
      </w:r>
      <w:r w:rsidRPr="00616350">
        <w:rPr>
          <w:rFonts w:ascii="Times New Roman" w:hAnsi="Times New Roman"/>
          <w:szCs w:val="24"/>
          <w:lang w:val="en-US"/>
        </w:rPr>
        <w:t xml:space="preserve"> a disclaimer that it depicts forms of </w:t>
      </w:r>
      <w:r w:rsidRPr="008160BC">
        <w:rPr>
          <w:rFonts w:ascii="Times New Roman" w:hAnsi="Times New Roman"/>
          <w:szCs w:val="24"/>
        </w:rPr>
        <w:t>‘behaviour deviating</w:t>
      </w:r>
      <w:r w:rsidRPr="00616350">
        <w:rPr>
          <w:rFonts w:ascii="Times New Roman" w:hAnsi="Times New Roman"/>
          <w:szCs w:val="24"/>
          <w:lang w:val="en-US"/>
        </w:rPr>
        <w:t xml:space="preserve"> from traditional gender roles’</w:t>
      </w:r>
      <w:r w:rsidRPr="00616350">
        <w:rPr>
          <w:rFonts w:ascii="Times New Roman" w:hAnsi="Times New Roman"/>
          <w:szCs w:val="24"/>
        </w:rPr>
        <w:t>.</w:t>
      </w:r>
      <w:proofErr w:type="gramEnd"/>
      <w:r w:rsidRPr="00616350">
        <w:rPr>
          <w:rFonts w:ascii="Times New Roman" w:hAnsi="Times New Roman"/>
          <w:szCs w:val="24"/>
        </w:rPr>
        <w:t xml:space="preserve"> </w:t>
      </w:r>
    </w:p>
    <w:p w:rsidR="00373B0E" w:rsidRPr="00616350" w:rsidRDefault="00373B0E" w:rsidP="00373B0E">
      <w:pPr>
        <w:spacing w:after="120"/>
        <w:rPr>
          <w:rFonts w:ascii="Times New Roman" w:hAnsi="Times New Roman"/>
          <w:szCs w:val="24"/>
        </w:rPr>
      </w:pPr>
      <w:r w:rsidRPr="00616350">
        <w:rPr>
          <w:rFonts w:ascii="Times New Roman" w:hAnsi="Times New Roman"/>
          <w:szCs w:val="24"/>
        </w:rPr>
        <w:t xml:space="preserve">The Commission is currently assessing the replies received from the two Member States to these </w:t>
      </w:r>
      <w:r>
        <w:rPr>
          <w:rFonts w:ascii="Times New Roman" w:hAnsi="Times New Roman"/>
          <w:szCs w:val="24"/>
        </w:rPr>
        <w:t>three letters of formal notice.</w:t>
      </w:r>
    </w:p>
    <w:sectPr w:rsidR="00373B0E" w:rsidRPr="006163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0E" w:rsidRDefault="00373B0E" w:rsidP="00373B0E">
      <w:pPr>
        <w:spacing w:after="0"/>
      </w:pPr>
      <w:r>
        <w:separator/>
      </w:r>
    </w:p>
  </w:endnote>
  <w:endnote w:type="continuationSeparator" w:id="0">
    <w:p w:rsidR="00373B0E" w:rsidRDefault="00373B0E" w:rsidP="00373B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0E" w:rsidRDefault="00373B0E" w:rsidP="00373B0E">
      <w:pPr>
        <w:spacing w:after="0"/>
      </w:pPr>
      <w:r>
        <w:separator/>
      </w:r>
    </w:p>
  </w:footnote>
  <w:footnote w:type="continuationSeparator" w:id="0">
    <w:p w:rsidR="00373B0E" w:rsidRDefault="00373B0E" w:rsidP="00373B0E">
      <w:pPr>
        <w:spacing w:after="0"/>
      </w:pPr>
      <w:r>
        <w:continuationSeparator/>
      </w:r>
    </w:p>
  </w:footnote>
  <w:footnote w:id="1">
    <w:p w:rsidR="00373B0E" w:rsidRPr="00DD2458" w:rsidRDefault="00373B0E" w:rsidP="00373B0E">
      <w:pPr>
        <w:pStyle w:val="FootnoteText"/>
        <w:spacing w:after="0"/>
        <w:rPr>
          <w:rFonts w:ascii="Times New Roman" w:hAnsi="Times New Roman"/>
        </w:rPr>
      </w:pPr>
      <w:r w:rsidRPr="00B242F5">
        <w:rPr>
          <w:rFonts w:ascii="Times New Roman" w:hAnsi="Times New Roman"/>
        </w:rPr>
        <w:footnoteRef/>
      </w:r>
      <w:r w:rsidRPr="00B242F5">
        <w:rPr>
          <w:rFonts w:ascii="Times New Roman" w:hAnsi="Times New Roman"/>
        </w:rPr>
        <w:t xml:space="preserve"> </w:t>
      </w:r>
      <w:r>
        <w:rPr>
          <w:rFonts w:ascii="Times New Roman" w:hAnsi="Times New Roman"/>
        </w:rPr>
        <w:tab/>
      </w:r>
      <w:r w:rsidRPr="00DD2458">
        <w:rPr>
          <w:rFonts w:ascii="Times New Roman" w:hAnsi="Times New Roman"/>
        </w:rPr>
        <w:t xml:space="preserve">C-673/16, </w:t>
      </w:r>
      <w:proofErr w:type="spellStart"/>
      <w:r w:rsidRPr="00DD2458">
        <w:rPr>
          <w:rFonts w:ascii="Times New Roman" w:hAnsi="Times New Roman"/>
        </w:rPr>
        <w:t>Coman</w:t>
      </w:r>
      <w:proofErr w:type="spellEnd"/>
      <w:r w:rsidRPr="00DD2458">
        <w:rPr>
          <w:rFonts w:ascii="Times New Roman" w:hAnsi="Times New Roman"/>
        </w:rPr>
        <w:t>, para. 45.</w:t>
      </w:r>
    </w:p>
  </w:footnote>
  <w:footnote w:id="2">
    <w:p w:rsidR="00373B0E" w:rsidRPr="006D06B3" w:rsidRDefault="00373B0E" w:rsidP="00373B0E">
      <w:pPr>
        <w:pStyle w:val="FootnoteText"/>
        <w:spacing w:after="0"/>
        <w:ind w:left="284" w:hanging="284"/>
      </w:pPr>
      <w:r w:rsidRPr="00DD2458">
        <w:rPr>
          <w:rStyle w:val="FootnoteReference"/>
          <w:rFonts w:ascii="Times New Roman" w:hAnsi="Times New Roman"/>
        </w:rPr>
        <w:footnoteRef/>
      </w:r>
      <w:r w:rsidRPr="00DD2458">
        <w:rPr>
          <w:rFonts w:ascii="Times New Roman" w:hAnsi="Times New Roman"/>
        </w:rPr>
        <w:t xml:space="preserve"> </w:t>
      </w:r>
      <w:r w:rsidRPr="00DD2458">
        <w:rPr>
          <w:rFonts w:ascii="Times New Roman" w:hAnsi="Times New Roman"/>
        </w:rPr>
        <w:tab/>
        <w:t>Communication from the Commission to the European Parliament and the on guidance for better transposition and application of Directive 2004/38/EC on the right of citizens of the Union and their family members to move and reside freely</w:t>
      </w:r>
      <w:r w:rsidRPr="006D06B3">
        <w:rPr>
          <w:rFonts w:ascii="Times New Roman" w:hAnsi="Times New Roman"/>
        </w:rPr>
        <w:t xml:space="preserve"> within the territory of the Member States</w:t>
      </w:r>
      <w:r>
        <w:rPr>
          <w:rFonts w:ascii="Times New Roman" w:hAnsi="Times New Roman"/>
        </w:rPr>
        <w:t>, COM(2009)313 final.</w:t>
      </w:r>
    </w:p>
  </w:footnote>
  <w:footnote w:id="3">
    <w:p w:rsidR="00373B0E" w:rsidRPr="00DD2458" w:rsidRDefault="00373B0E" w:rsidP="00373B0E">
      <w:pPr>
        <w:spacing w:after="0"/>
        <w:ind w:left="284" w:hanging="284"/>
        <w:rPr>
          <w:rFonts w:ascii="Times New Roman" w:hAnsi="Times New Roman"/>
          <w:sz w:val="20"/>
        </w:rPr>
      </w:pPr>
      <w:r w:rsidRPr="00DD2458">
        <w:rPr>
          <w:rStyle w:val="FootnoteReference"/>
          <w:rFonts w:ascii="Times New Roman" w:hAnsi="Times New Roman"/>
          <w:sz w:val="20"/>
        </w:rPr>
        <w:footnoteRef/>
      </w:r>
      <w:r w:rsidRPr="00DD2458">
        <w:rPr>
          <w:rFonts w:ascii="Times New Roman" w:hAnsi="Times New Roman"/>
          <w:sz w:val="20"/>
        </w:rPr>
        <w:t xml:space="preserve"> </w:t>
      </w:r>
      <w:r w:rsidRPr="00DD2458">
        <w:rPr>
          <w:rFonts w:ascii="Times New Roman" w:hAnsi="Times New Roman"/>
          <w:sz w:val="20"/>
        </w:rPr>
        <w:tab/>
      </w:r>
      <w:hyperlink r:id="rId1" w:history="1">
        <w:r w:rsidRPr="00DD2458">
          <w:rPr>
            <w:rStyle w:val="Hyperlink"/>
            <w:rFonts w:ascii="Times New Roman" w:hAnsi="Times New Roman"/>
            <w:sz w:val="20"/>
          </w:rPr>
          <w:t>Decision of the Constitutional Court of Romania</w:t>
        </w:r>
      </w:hyperlink>
      <w:r w:rsidRPr="00DD2458">
        <w:rPr>
          <w:rFonts w:ascii="Times New Roman" w:hAnsi="Times New Roman"/>
          <w:sz w:val="20"/>
        </w:rPr>
        <w:t xml:space="preserve"> No. 534 of July 18, 2018, published in the Official Gazette of Romania no. 842 of 3 October 2018</w:t>
      </w:r>
    </w:p>
    <w:p w:rsidR="00373B0E" w:rsidRPr="00AD1B97" w:rsidRDefault="00373B0E" w:rsidP="00373B0E">
      <w:pPr>
        <w:pStyle w:val="FootnoteText"/>
      </w:pPr>
    </w:p>
  </w:footnote>
  <w:footnote w:id="4">
    <w:p w:rsidR="00373B0E" w:rsidRPr="00D0316C" w:rsidRDefault="00373B0E" w:rsidP="00373B0E">
      <w:pPr>
        <w:pStyle w:val="FootnoteText"/>
        <w:spacing w:after="0"/>
        <w:rPr>
          <w:lang w:val="pt-PT"/>
        </w:rPr>
      </w:pPr>
      <w:r>
        <w:rPr>
          <w:rStyle w:val="FootnoteReference"/>
        </w:rPr>
        <w:footnoteRef/>
      </w:r>
      <w:r>
        <w:t xml:space="preserve"> </w:t>
      </w:r>
      <w:r>
        <w:tab/>
      </w:r>
      <w:r w:rsidRPr="0088009D">
        <w:rPr>
          <w:rFonts w:ascii="Times New Roman" w:hAnsi="Times New Roman"/>
        </w:rPr>
        <w:t xml:space="preserve">Judgment of 5 June 2018, </w:t>
      </w:r>
      <w:proofErr w:type="spellStart"/>
      <w:r w:rsidRPr="0088009D">
        <w:rPr>
          <w:rFonts w:ascii="Times New Roman" w:hAnsi="Times New Roman"/>
        </w:rPr>
        <w:t>Coman</w:t>
      </w:r>
      <w:proofErr w:type="spellEnd"/>
      <w:r w:rsidRPr="0088009D">
        <w:rPr>
          <w:rFonts w:ascii="Times New Roman" w:hAnsi="Times New Roman"/>
        </w:rPr>
        <w:t xml:space="preserve">, case C-673/16, para. </w:t>
      </w:r>
      <w:proofErr w:type="gramStart"/>
      <w:r w:rsidRPr="0088009D">
        <w:rPr>
          <w:rFonts w:ascii="Times New Roman" w:hAnsi="Times New Roman"/>
        </w:rPr>
        <w:t>32</w:t>
      </w:r>
      <w:proofErr w:type="gramEnd"/>
      <w:r w:rsidRPr="0088009D">
        <w:rPr>
          <w:rFonts w:ascii="Times New Roman" w:hAnsi="Times New Roman"/>
        </w:rPr>
        <w:t xml:space="preserve">; of 14 November 2017, </w:t>
      </w:r>
      <w:proofErr w:type="spellStart"/>
      <w:r w:rsidRPr="0088009D">
        <w:rPr>
          <w:rFonts w:ascii="Times New Roman" w:hAnsi="Times New Roman"/>
        </w:rPr>
        <w:t>Lounes</w:t>
      </w:r>
      <w:proofErr w:type="spellEnd"/>
      <w:r w:rsidRPr="0088009D">
        <w:rPr>
          <w:rFonts w:ascii="Times New Roman" w:hAnsi="Times New Roman"/>
        </w:rPr>
        <w:t xml:space="preserve">, case C-165/16, para. </w:t>
      </w:r>
      <w:r w:rsidRPr="00D0316C">
        <w:rPr>
          <w:rFonts w:ascii="Times New Roman" w:hAnsi="Times New Roman"/>
          <w:lang w:val="pt-PT"/>
        </w:rPr>
        <w:t>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0E"/>
    <w:rsid w:val="00373B0E"/>
    <w:rsid w:val="00841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57602-3800-4057-A756-EF1FD827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B0E"/>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rsid w:val="00373B0E"/>
    <w:pPr>
      <w:ind w:left="357" w:hanging="357"/>
    </w:pPr>
    <w:rPr>
      <w:sz w:val="20"/>
    </w:rPr>
  </w:style>
  <w:style w:type="character" w:customStyle="1" w:styleId="FootnoteTextChar">
    <w:name w:val="Footnote Text Char"/>
    <w:basedOn w:val="DefaultParagraphFont"/>
    <w:uiPriority w:val="99"/>
    <w:semiHidden/>
    <w:rsid w:val="00373B0E"/>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373B0E"/>
    <w:rPr>
      <w:vertAlign w:val="superscript"/>
    </w:rPr>
  </w:style>
  <w:style w:type="character" w:styleId="Hyperlink">
    <w:name w:val="Hyperlink"/>
    <w:aliases w:val="Char1"/>
    <w:uiPriority w:val="99"/>
    <w:rsid w:val="00373B0E"/>
    <w:rPr>
      <w:color w:val="0000FF"/>
      <w:u w:val="single"/>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373B0E"/>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373B0E"/>
    <w:pPr>
      <w:spacing w:after="160" w:line="240" w:lineRule="exact"/>
      <w:jc w:val="left"/>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e.just.ro/Public/DetaliiDocumentAfis/205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1639</Words>
  <Characters>9295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DODEKOVA Gabriela (SG)</dc:creator>
  <cp:keywords/>
  <dc:description/>
  <cp:lastModifiedBy>DODEKOVA Gabriela (SG)</cp:lastModifiedBy>
  <cp:revision>1</cp:revision>
  <dcterms:created xsi:type="dcterms:W3CDTF">2021-11-17T09:09:00Z</dcterms:created>
  <dcterms:modified xsi:type="dcterms:W3CDTF">2021-11-17T09:11:00Z</dcterms:modified>
</cp:coreProperties>
</file>