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BC" w:rsidRPr="00BE1ABC" w:rsidRDefault="00BE1ABC" w:rsidP="00BE1ABC">
      <w:pPr>
        <w:spacing w:after="240"/>
        <w:jc w:val="center"/>
        <w:rPr>
          <w:lang w:val="fr-BE"/>
        </w:rPr>
      </w:pPr>
      <w:r w:rsidRPr="00BE1ABC">
        <w:rPr>
          <w:b/>
          <w:caps/>
          <w:lang w:val="fr-BE"/>
        </w:rPr>
        <w:t>Procédure</w:t>
      </w:r>
      <w:r w:rsidRPr="00BE1ABC">
        <w:rPr>
          <w:b/>
          <w:lang w:val="fr-BE"/>
        </w:rPr>
        <w:t xml:space="preserve"> LÉGISLATIVE ORDINAIRE – Première lecture</w:t>
      </w:r>
    </w:p>
    <w:p w:rsidR="00BE1ABC" w:rsidRPr="00BE1ABC" w:rsidRDefault="00BE1ABC" w:rsidP="00BE1ABC">
      <w:pPr>
        <w:spacing w:after="600"/>
        <w:jc w:val="center"/>
        <w:rPr>
          <w:b/>
          <w:bCs/>
          <w:lang w:val="fr-BE"/>
        </w:rPr>
      </w:pPr>
      <w:bookmarkStart w:id="0" w:name="VERHEYEN"/>
      <w:r w:rsidRPr="00BE1ABC">
        <w:rPr>
          <w:b/>
          <w:bCs/>
          <w:lang w:val="fr-BE"/>
        </w:rPr>
        <w:t xml:space="preserve">Suite donnée à la </w:t>
      </w:r>
      <w:r w:rsidRPr="00BE1ABC">
        <w:rPr>
          <w:b/>
          <w:lang w:val="fr-BE"/>
        </w:rPr>
        <w:t xml:space="preserve">résolution législative du Parlement européen </w:t>
      </w:r>
      <w:r w:rsidRPr="00BE1ABC">
        <w:rPr>
          <w:b/>
          <w:bCs/>
          <w:shd w:val="clear" w:color="auto" w:fill="FFFFFF"/>
          <w:lang w:val="fr-BE"/>
        </w:rPr>
        <w:t>sur la proposition de décision du Parlement européen et du Conseil sur</w:t>
      </w:r>
      <w:r w:rsidRPr="00BE1ABC">
        <w:rPr>
          <w:lang w:val="fr-BE"/>
        </w:rPr>
        <w:t xml:space="preserve"> </w:t>
      </w:r>
      <w:r w:rsidRPr="00BE1ABC">
        <w:rPr>
          <w:lang w:val="fr-BE"/>
        </w:rPr>
        <w:br/>
      </w:r>
      <w:r w:rsidRPr="00BE1ABC">
        <w:rPr>
          <w:b/>
          <w:bCs/>
          <w:shd w:val="clear" w:color="auto" w:fill="FFFFFF"/>
          <w:lang w:val="fr-BE"/>
        </w:rPr>
        <w:t>une Année européenne de la jeunesse 2022</w:t>
      </w:r>
      <w:bookmarkEnd w:id="0"/>
    </w:p>
    <w:p w:rsidR="00BE1ABC" w:rsidRPr="00BE1ABC" w:rsidRDefault="00BE1ABC" w:rsidP="00BE1ABC">
      <w:pPr>
        <w:spacing w:before="100" w:beforeAutospacing="1" w:after="100" w:afterAutospacing="1"/>
        <w:ind w:left="567" w:hanging="567"/>
        <w:rPr>
          <w:lang w:val="fr-BE"/>
        </w:rPr>
      </w:pPr>
      <w:r w:rsidRPr="00BE1ABC">
        <w:rPr>
          <w:b/>
          <w:lang w:val="fr-BE"/>
        </w:rPr>
        <w:t>1.</w:t>
      </w:r>
      <w:r w:rsidRPr="00BE1ABC">
        <w:rPr>
          <w:lang w:val="fr-BE"/>
        </w:rPr>
        <w:tab/>
      </w:r>
      <w:r w:rsidRPr="00BE1ABC">
        <w:rPr>
          <w:b/>
          <w:lang w:val="fr-BE"/>
        </w:rPr>
        <w:t xml:space="preserve">Rapporteure: </w:t>
      </w:r>
      <w:r w:rsidRPr="00BE1ABC">
        <w:rPr>
          <w:color w:val="1E1E1F"/>
          <w:lang w:val="fr-BE"/>
        </w:rPr>
        <w:t>Sabine VERHEYEN (PPE/DE)</w:t>
      </w:r>
    </w:p>
    <w:p w:rsidR="00BE1ABC" w:rsidRPr="00BE1ABC" w:rsidRDefault="00BE1ABC" w:rsidP="00BE1ABC">
      <w:pPr>
        <w:spacing w:before="100" w:beforeAutospacing="1" w:after="100" w:afterAutospacing="1"/>
        <w:ind w:left="567" w:hanging="567"/>
        <w:rPr>
          <w:lang w:val="fr-BE"/>
        </w:rPr>
      </w:pPr>
      <w:r w:rsidRPr="00BE1ABC">
        <w:rPr>
          <w:b/>
          <w:lang w:val="fr-BE"/>
        </w:rPr>
        <w:t>2.</w:t>
      </w:r>
      <w:r w:rsidRPr="00BE1ABC">
        <w:rPr>
          <w:lang w:val="fr-BE"/>
        </w:rPr>
        <w:tab/>
      </w:r>
      <w:r w:rsidRPr="00BE1ABC">
        <w:rPr>
          <w:b/>
          <w:lang w:val="fr-BE"/>
        </w:rPr>
        <w:t>Numéros de référence:</w:t>
      </w:r>
      <w:r w:rsidRPr="00BE1ABC">
        <w:rPr>
          <w:lang w:val="fr-BE"/>
        </w:rPr>
        <w:t xml:space="preserve"> 2021/0328 (COD) / A9-0332/2021 / P9_TA-</w:t>
      </w:r>
      <w:proofErr w:type="gramStart"/>
      <w:r w:rsidRPr="00BE1ABC">
        <w:rPr>
          <w:lang w:val="fr-BE"/>
        </w:rPr>
        <w:t>PROV(</w:t>
      </w:r>
      <w:proofErr w:type="gramEnd"/>
      <w:r w:rsidRPr="00BE1ABC">
        <w:rPr>
          <w:lang w:val="fr-BE"/>
        </w:rPr>
        <w:t>2021)0468</w:t>
      </w:r>
    </w:p>
    <w:p w:rsidR="00BE1ABC" w:rsidRPr="00BE1ABC" w:rsidRDefault="00BE1ABC" w:rsidP="00BE1ABC">
      <w:pPr>
        <w:spacing w:before="100" w:beforeAutospacing="1" w:after="100" w:afterAutospacing="1"/>
        <w:ind w:left="567" w:hanging="567"/>
        <w:rPr>
          <w:lang w:val="fr-BE"/>
        </w:rPr>
      </w:pPr>
      <w:r w:rsidRPr="00BE1ABC">
        <w:rPr>
          <w:b/>
          <w:lang w:val="fr-BE"/>
        </w:rPr>
        <w:t>3.</w:t>
      </w:r>
      <w:r w:rsidRPr="00BE1ABC">
        <w:rPr>
          <w:lang w:val="fr-BE"/>
        </w:rPr>
        <w:tab/>
      </w:r>
      <w:r w:rsidRPr="00BE1ABC">
        <w:rPr>
          <w:b/>
          <w:lang w:val="fr-BE"/>
        </w:rPr>
        <w:t xml:space="preserve">Date d’adoption de la résolution: </w:t>
      </w:r>
      <w:r w:rsidRPr="00BE1ABC">
        <w:rPr>
          <w:lang w:val="fr-BE"/>
        </w:rPr>
        <w:t>14 décembre 2021</w:t>
      </w:r>
    </w:p>
    <w:p w:rsidR="00BE1ABC" w:rsidRPr="00BE1ABC" w:rsidRDefault="00BE1ABC" w:rsidP="00BE1ABC">
      <w:pPr>
        <w:spacing w:before="100" w:beforeAutospacing="1" w:after="100" w:afterAutospacing="1"/>
        <w:ind w:left="567" w:hanging="567"/>
        <w:rPr>
          <w:lang w:val="fr-BE"/>
        </w:rPr>
      </w:pPr>
      <w:r w:rsidRPr="00BE1ABC">
        <w:rPr>
          <w:b/>
          <w:lang w:val="fr-BE"/>
        </w:rPr>
        <w:t>4.</w:t>
      </w:r>
      <w:r w:rsidRPr="00BE1ABC">
        <w:rPr>
          <w:lang w:val="fr-BE"/>
        </w:rPr>
        <w:tab/>
      </w:r>
      <w:r w:rsidRPr="00BE1ABC">
        <w:rPr>
          <w:b/>
          <w:lang w:val="fr-BE"/>
        </w:rPr>
        <w:t xml:space="preserve">Base juridique: </w:t>
      </w:r>
      <w:r w:rsidRPr="00BE1ABC">
        <w:rPr>
          <w:lang w:val="fr-BE"/>
        </w:rPr>
        <w:t>article 165, paragraphe 4, et article 166, paragraphe 4, du traité sur le fonctionnement de l’Union européenne</w:t>
      </w:r>
    </w:p>
    <w:p w:rsidR="00BE1ABC" w:rsidRPr="00BE1ABC" w:rsidRDefault="00BE1ABC" w:rsidP="00BE1ABC">
      <w:pPr>
        <w:shd w:val="clear" w:color="auto" w:fill="FFFFFF"/>
        <w:spacing w:after="100" w:afterAutospacing="1" w:line="288" w:lineRule="atLeast"/>
        <w:ind w:left="567" w:hanging="567"/>
        <w:textAlignment w:val="center"/>
        <w:rPr>
          <w:i/>
          <w:lang w:val="fr-BE"/>
        </w:rPr>
      </w:pPr>
      <w:r w:rsidRPr="00BE1ABC">
        <w:rPr>
          <w:b/>
          <w:lang w:val="fr-BE"/>
        </w:rPr>
        <w:t>5.</w:t>
      </w:r>
      <w:r w:rsidRPr="00BE1ABC">
        <w:rPr>
          <w:lang w:val="fr-BE"/>
        </w:rPr>
        <w:tab/>
      </w:r>
      <w:r w:rsidRPr="00BE1ABC">
        <w:rPr>
          <w:b/>
          <w:lang w:val="fr-BE"/>
        </w:rPr>
        <w:t xml:space="preserve">Commission parlementaire compétente: </w:t>
      </w:r>
      <w:r w:rsidRPr="00BE1ABC">
        <w:rPr>
          <w:lang w:val="fr-BE"/>
        </w:rPr>
        <w:t>commission de la culture et de l’éducation (CULT)</w:t>
      </w:r>
    </w:p>
    <w:p w:rsidR="00BE1ABC" w:rsidRPr="00BE1ABC" w:rsidRDefault="00BE1ABC" w:rsidP="00BE1ABC">
      <w:pPr>
        <w:spacing w:after="240" w:line="276" w:lineRule="auto"/>
        <w:ind w:left="567" w:hanging="567"/>
        <w:rPr>
          <w:color w:val="000000"/>
          <w:lang w:val="fr-BE"/>
        </w:rPr>
      </w:pPr>
      <w:r w:rsidRPr="00BE1ABC">
        <w:rPr>
          <w:b/>
          <w:lang w:val="fr-BE"/>
        </w:rPr>
        <w:t>6.</w:t>
      </w:r>
      <w:r w:rsidRPr="00BE1ABC">
        <w:rPr>
          <w:lang w:val="fr-BE"/>
        </w:rPr>
        <w:tab/>
      </w:r>
      <w:r w:rsidRPr="00BE1ABC">
        <w:rPr>
          <w:b/>
          <w:lang w:val="fr-BE"/>
        </w:rPr>
        <w:t>Position de la Commission:</w:t>
      </w:r>
      <w:r w:rsidRPr="00BE1ABC">
        <w:rPr>
          <w:color w:val="000000"/>
          <w:sz w:val="22"/>
          <w:szCs w:val="22"/>
          <w:lang w:val="fr-BE"/>
        </w:rPr>
        <w:t xml:space="preserve"> </w:t>
      </w:r>
      <w:r w:rsidRPr="00BE1ABC">
        <w:rPr>
          <w:color w:val="000000"/>
          <w:lang w:val="fr-BE"/>
        </w:rPr>
        <w:t>la Commission accepte tous les amendements. La Commission a présenté la déclaration suivante:</w:t>
      </w:r>
    </w:p>
    <w:p w:rsidR="00BE1ABC" w:rsidRPr="009D2705" w:rsidRDefault="00BE1ABC" w:rsidP="00BE1ABC">
      <w:pPr>
        <w:pStyle w:val="ManualConsidrant"/>
        <w:spacing w:before="0"/>
        <w:ind w:left="0" w:firstLine="0"/>
        <w:rPr>
          <w:iCs/>
        </w:rPr>
      </w:pPr>
      <w:r>
        <w:t xml:space="preserve">La Commission prend note que les </w:t>
      </w:r>
      <w:proofErr w:type="spellStart"/>
      <w:r>
        <w:t>colégislateurs</w:t>
      </w:r>
      <w:proofErr w:type="spellEnd"/>
      <w:r>
        <w:t xml:space="preserve"> sont convenus d’introduire un budget opérationnel minimal de 8 millions d’EUR pour la mise en œuvre de l’Année européenne de la jeunesse (2022), sans préjudice de la possibilité de contributions complémentaires provenant d’autres programmes et instruments pertinents de l’Union, en sus de ce montant de 8 millions d’EUR.</w:t>
      </w:r>
    </w:p>
    <w:p w:rsidR="008765BE" w:rsidRPr="00BE1ABC" w:rsidRDefault="00BE1ABC" w:rsidP="00BE1ABC">
      <w:pPr>
        <w:rPr>
          <w:lang w:val="fr-BE"/>
        </w:rPr>
      </w:pPr>
      <w:r w:rsidRPr="00BE1ABC">
        <w:rPr>
          <w:lang w:val="fr-BE"/>
        </w:rPr>
        <w:t>En outre, la Commission mènera, tout au long de l’année, un exercice d’inventaire qu’elle actualisera régulièrement en indiquant les contributions possibles ou effectives des programmes et instruments de l’UE à la mise en œuvre de l’Année européenne de la jeunesse, et en faisant rapport sur les activités. Les progrès réalisés dans le déploiement des contributions des programmes de l’Union seront régulièrement présentés au Parlement européen et au Conseil. Ces contributions devraient être considérées comme étant complémentaires et venant s’ajouter au budget opérationnel minimal de 8 millions d’EUR.</w:t>
      </w:r>
      <w:bookmarkStart w:id="1" w:name="_GoBack"/>
      <w:bookmarkEnd w:id="1"/>
    </w:p>
    <w:sectPr w:rsidR="008765BE" w:rsidRPr="00BE1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BC"/>
    <w:rsid w:val="005762E3"/>
    <w:rsid w:val="008765BE"/>
    <w:rsid w:val="00BE1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94570-85A1-45B0-9059-05CDE427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ManualConsidrant">
    <w:name w:val="Manual Considérant"/>
    <w:basedOn w:val="Normal"/>
    <w:rsid w:val="00BE1ABC"/>
    <w:pPr>
      <w:spacing w:before="120" w:after="120"/>
      <w:ind w:left="709" w:hanging="709"/>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BRABANDER Liesbet</dc:creator>
  <cp:keywords/>
  <dc:description/>
  <cp:lastModifiedBy>DE BRABANDER Liesbet</cp:lastModifiedBy>
  <cp:revision>1</cp:revision>
  <dcterms:created xsi:type="dcterms:W3CDTF">2022-02-21T12:51:00Z</dcterms:created>
  <dcterms:modified xsi:type="dcterms:W3CDTF">2022-02-21T12:51:00Z</dcterms:modified>
</cp:coreProperties>
</file>