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4F" w:rsidRPr="00120C4F" w:rsidRDefault="00120C4F" w:rsidP="00120C4F">
      <w:pPr>
        <w:spacing w:after="600" w:line="240" w:lineRule="auto"/>
        <w:jc w:val="center"/>
        <w:rPr>
          <w:rFonts w:eastAsia="Times New Roman" w:cs="Times New Roman"/>
          <w:b/>
          <w:szCs w:val="24"/>
          <w:lang w:eastAsia="en-GB"/>
        </w:rPr>
      </w:pPr>
      <w:bookmarkStart w:id="0" w:name="Works"/>
      <w:bookmarkStart w:id="1" w:name="VATgap"/>
      <w:r w:rsidRPr="00120C4F">
        <w:rPr>
          <w:rFonts w:eastAsia="Times New Roman" w:cs="Times New Roman"/>
          <w:b/>
          <w:bCs/>
          <w:szCs w:val="24"/>
          <w:lang w:eastAsia="en-GB"/>
        </w:rPr>
        <w:t xml:space="preserve">Follow up to the </w:t>
      </w:r>
      <w:r w:rsidRPr="00120C4F">
        <w:rPr>
          <w:rFonts w:eastAsia="Times New Roman" w:cs="Times New Roman"/>
          <w:b/>
          <w:szCs w:val="24"/>
          <w:lang w:eastAsia="en-GB"/>
        </w:rPr>
        <w:t xml:space="preserve">European Parliament non-legislative resolution </w:t>
      </w:r>
      <w:bookmarkEnd w:id="0"/>
      <w:r w:rsidRPr="00120C4F">
        <w:rPr>
          <w:rFonts w:eastAsia="Times New Roman" w:cs="Times New Roman"/>
          <w:b/>
          <w:bCs/>
          <w:szCs w:val="24"/>
          <w:lang w:eastAsia="en-GB"/>
        </w:rPr>
        <w:t>on the implementation of the Sixth VAT Directive: what is the missing part to reduce the EU VAT gap?</w:t>
      </w:r>
      <w:bookmarkEnd w:id="1"/>
    </w:p>
    <w:p w:rsidR="00120C4F" w:rsidRPr="00120C4F" w:rsidRDefault="00120C4F" w:rsidP="00120C4F">
      <w:pPr>
        <w:spacing w:after="240" w:line="240" w:lineRule="auto"/>
        <w:jc w:val="both"/>
        <w:rPr>
          <w:rFonts w:eastAsia="Times New Roman" w:cs="Times New Roman"/>
          <w:i/>
          <w:szCs w:val="24"/>
          <w:lang w:eastAsia="en-GB"/>
        </w:rPr>
      </w:pPr>
      <w:r w:rsidRPr="00120C4F">
        <w:rPr>
          <w:rFonts w:eastAsia="Times New Roman" w:cs="Times New Roman"/>
          <w:b/>
          <w:szCs w:val="24"/>
          <w:lang w:eastAsia="en-GB"/>
        </w:rPr>
        <w:t>1.</w:t>
      </w:r>
      <w:r w:rsidRPr="00120C4F">
        <w:rPr>
          <w:rFonts w:eastAsia="Times New Roman" w:cs="Times New Roman"/>
          <w:b/>
          <w:szCs w:val="24"/>
          <w:lang w:eastAsia="en-GB"/>
        </w:rPr>
        <w:tab/>
        <w:t>Rapporteur:</w:t>
      </w:r>
      <w:r w:rsidRPr="00120C4F">
        <w:rPr>
          <w:rFonts w:ascii="Courier New" w:eastAsia="Times New Roman" w:hAnsi="Courier New" w:cs="Times New Roman"/>
          <w:szCs w:val="20"/>
          <w:lang w:eastAsia="en-GB"/>
        </w:rPr>
        <w:t xml:space="preserve"> </w:t>
      </w:r>
      <w:r w:rsidRPr="00120C4F">
        <w:rPr>
          <w:rFonts w:eastAsia="Times New Roman" w:cs="Times New Roman"/>
          <w:szCs w:val="20"/>
          <w:lang w:eastAsia="en-GB"/>
        </w:rPr>
        <w:t xml:space="preserve">Olivier </w:t>
      </w:r>
      <w:proofErr w:type="spellStart"/>
      <w:r w:rsidRPr="00120C4F">
        <w:rPr>
          <w:rFonts w:eastAsia="Times New Roman" w:cs="Times New Roman"/>
          <w:szCs w:val="20"/>
          <w:lang w:eastAsia="en-GB"/>
        </w:rPr>
        <w:t>CHASTEL</w:t>
      </w:r>
      <w:proofErr w:type="spellEnd"/>
      <w:r w:rsidRPr="00120C4F">
        <w:rPr>
          <w:rFonts w:eastAsia="Times New Roman" w:cs="Times New Roman"/>
          <w:szCs w:val="20"/>
          <w:lang w:eastAsia="en-GB"/>
        </w:rPr>
        <w:t xml:space="preserve"> (Renew / BE)</w:t>
      </w:r>
    </w:p>
    <w:p w:rsidR="00120C4F" w:rsidRPr="00120C4F" w:rsidRDefault="00120C4F" w:rsidP="00120C4F">
      <w:pPr>
        <w:spacing w:after="240" w:line="240" w:lineRule="auto"/>
        <w:jc w:val="both"/>
        <w:rPr>
          <w:rFonts w:eastAsia="Times New Roman" w:cs="Times New Roman"/>
          <w:i/>
          <w:szCs w:val="24"/>
          <w:lang w:eastAsia="en-GB"/>
        </w:rPr>
      </w:pPr>
      <w:r w:rsidRPr="00120C4F">
        <w:rPr>
          <w:rFonts w:eastAsia="Times New Roman" w:cs="Times New Roman"/>
          <w:b/>
          <w:szCs w:val="24"/>
          <w:lang w:eastAsia="en-GB"/>
        </w:rPr>
        <w:t>2.</w:t>
      </w:r>
      <w:r w:rsidRPr="00120C4F">
        <w:rPr>
          <w:rFonts w:eastAsia="Times New Roman" w:cs="Times New Roman"/>
          <w:b/>
          <w:szCs w:val="24"/>
          <w:lang w:eastAsia="en-GB"/>
        </w:rPr>
        <w:tab/>
        <w:t xml:space="preserve">Reference number: </w:t>
      </w:r>
      <w:r w:rsidRPr="00120C4F">
        <w:rPr>
          <w:rFonts w:eastAsia="Times New Roman" w:cs="Times New Roman"/>
          <w:noProof/>
          <w:szCs w:val="20"/>
          <w:lang w:eastAsia="fr-BE"/>
        </w:rPr>
        <w:t xml:space="preserve">2020/2263 (INI) </w:t>
      </w:r>
      <w:r w:rsidRPr="00120C4F">
        <w:rPr>
          <w:rFonts w:eastAsia="Times New Roman" w:cs="Times New Roman"/>
          <w:szCs w:val="20"/>
          <w:lang w:eastAsia="en-GB"/>
        </w:rPr>
        <w:t xml:space="preserve">/ </w:t>
      </w:r>
      <w:bookmarkStart w:id="2" w:name="_GoBack"/>
      <w:r w:rsidRPr="00120C4F">
        <w:rPr>
          <w:rFonts w:eastAsia="Times New Roman" w:cs="Times New Roman"/>
          <w:noProof/>
          <w:szCs w:val="20"/>
          <w:lang w:eastAsia="fr-BE"/>
        </w:rPr>
        <w:t>A9-0355/2021</w:t>
      </w:r>
      <w:bookmarkEnd w:id="2"/>
      <w:r w:rsidRPr="00120C4F">
        <w:rPr>
          <w:rFonts w:eastAsia="Times New Roman" w:cs="Times New Roman"/>
          <w:noProof/>
          <w:szCs w:val="20"/>
          <w:lang w:eastAsia="fr-BE"/>
        </w:rPr>
        <w:t xml:space="preserve"> </w:t>
      </w:r>
      <w:r w:rsidRPr="00120C4F">
        <w:rPr>
          <w:rFonts w:eastAsia="Times New Roman" w:cs="Times New Roman"/>
          <w:szCs w:val="20"/>
          <w:lang w:eastAsia="en-GB"/>
        </w:rPr>
        <w:t xml:space="preserve">/ P9_TA </w:t>
      </w:r>
      <w:proofErr w:type="spellStart"/>
      <w:proofErr w:type="gramStart"/>
      <w:r w:rsidRPr="00120C4F">
        <w:rPr>
          <w:rFonts w:eastAsia="Times New Roman" w:cs="Times New Roman"/>
          <w:szCs w:val="20"/>
          <w:lang w:eastAsia="en-GB"/>
        </w:rPr>
        <w:t>PROV</w:t>
      </w:r>
      <w:proofErr w:type="spellEnd"/>
      <w:r w:rsidRPr="00120C4F">
        <w:rPr>
          <w:rFonts w:eastAsia="Times New Roman" w:cs="Times New Roman"/>
          <w:szCs w:val="20"/>
          <w:lang w:eastAsia="en-GB"/>
        </w:rPr>
        <w:t>(</w:t>
      </w:r>
      <w:proofErr w:type="gramEnd"/>
      <w:r w:rsidRPr="00120C4F">
        <w:rPr>
          <w:rFonts w:eastAsia="Times New Roman" w:cs="Times New Roman"/>
          <w:szCs w:val="20"/>
          <w:lang w:eastAsia="en-GB"/>
        </w:rPr>
        <w:t>2022)0034</w:t>
      </w:r>
    </w:p>
    <w:p w:rsidR="00120C4F" w:rsidRPr="00120C4F" w:rsidRDefault="00120C4F" w:rsidP="00120C4F">
      <w:pPr>
        <w:spacing w:after="240" w:line="240" w:lineRule="auto"/>
        <w:jc w:val="both"/>
        <w:rPr>
          <w:rFonts w:eastAsia="Times New Roman" w:cs="Times New Roman"/>
          <w:szCs w:val="24"/>
          <w:lang w:eastAsia="en-GB"/>
        </w:rPr>
      </w:pPr>
      <w:r w:rsidRPr="00120C4F">
        <w:rPr>
          <w:rFonts w:eastAsia="Times New Roman" w:cs="Times New Roman"/>
          <w:b/>
          <w:szCs w:val="24"/>
          <w:lang w:eastAsia="en-GB"/>
        </w:rPr>
        <w:t>3.</w:t>
      </w:r>
      <w:r w:rsidRPr="00120C4F">
        <w:rPr>
          <w:rFonts w:eastAsia="Times New Roman" w:cs="Times New Roman"/>
          <w:b/>
          <w:szCs w:val="24"/>
          <w:lang w:eastAsia="en-GB"/>
        </w:rPr>
        <w:tab/>
        <w:t>Date of adoption of the resolution:</w:t>
      </w:r>
      <w:r w:rsidRPr="00120C4F">
        <w:rPr>
          <w:rFonts w:eastAsia="Times New Roman" w:cs="Times New Roman"/>
          <w:szCs w:val="24"/>
          <w:lang w:eastAsia="en-GB"/>
        </w:rPr>
        <w:t xml:space="preserve"> 16 February 2022</w:t>
      </w:r>
    </w:p>
    <w:p w:rsidR="00120C4F" w:rsidRPr="00120C4F" w:rsidRDefault="00120C4F" w:rsidP="00120C4F">
      <w:pPr>
        <w:spacing w:after="240" w:line="240" w:lineRule="auto"/>
        <w:ind w:left="720" w:hanging="720"/>
        <w:jc w:val="both"/>
        <w:rPr>
          <w:rFonts w:eastAsia="Times New Roman" w:cs="Times New Roman"/>
          <w:i/>
          <w:szCs w:val="24"/>
          <w:lang w:eastAsia="en-GB"/>
        </w:rPr>
      </w:pPr>
      <w:r w:rsidRPr="00120C4F">
        <w:rPr>
          <w:rFonts w:eastAsia="Times New Roman" w:cs="Times New Roman"/>
          <w:b/>
          <w:szCs w:val="24"/>
          <w:lang w:eastAsia="en-GB"/>
        </w:rPr>
        <w:t>4.</w:t>
      </w:r>
      <w:r w:rsidRPr="00120C4F">
        <w:rPr>
          <w:rFonts w:eastAsia="Times New Roman" w:cs="Times New Roman"/>
          <w:b/>
          <w:szCs w:val="24"/>
          <w:lang w:eastAsia="en-GB"/>
        </w:rPr>
        <w:tab/>
        <w:t xml:space="preserve">Competent Parliamentary Committee: </w:t>
      </w:r>
      <w:r w:rsidRPr="00120C4F">
        <w:rPr>
          <w:rFonts w:eastAsia="Times New Roman" w:cs="Times New Roman"/>
          <w:szCs w:val="20"/>
          <w:lang w:eastAsia="en-GB"/>
        </w:rPr>
        <w:t>Committee on Economic and Monetary Affairs (ECON)</w:t>
      </w:r>
    </w:p>
    <w:p w:rsidR="00120C4F" w:rsidRPr="00120C4F" w:rsidRDefault="00120C4F" w:rsidP="00120C4F">
      <w:pPr>
        <w:widowControl w:val="0"/>
        <w:spacing w:after="240" w:line="240" w:lineRule="auto"/>
        <w:jc w:val="both"/>
        <w:rPr>
          <w:rFonts w:eastAsia="Times New Roman" w:cs="Times New Roman"/>
          <w:b/>
          <w:szCs w:val="24"/>
          <w:lang w:eastAsia="en-GB"/>
        </w:rPr>
      </w:pPr>
      <w:r w:rsidRPr="00120C4F">
        <w:rPr>
          <w:rFonts w:eastAsia="Times New Roman" w:cs="Times New Roman"/>
          <w:b/>
          <w:szCs w:val="24"/>
          <w:lang w:eastAsia="en-GB"/>
        </w:rPr>
        <w:t>5.</w:t>
      </w:r>
      <w:r w:rsidRPr="00120C4F">
        <w:rPr>
          <w:rFonts w:eastAsia="Times New Roman" w:cs="Times New Roman"/>
          <w:b/>
          <w:szCs w:val="24"/>
          <w:lang w:eastAsia="en-GB"/>
        </w:rPr>
        <w:tab/>
        <w:t>Brief analysis/assessment of the resolution and requests made in it:</w:t>
      </w:r>
    </w:p>
    <w:p w:rsidR="00120C4F" w:rsidRPr="00120C4F" w:rsidRDefault="00120C4F" w:rsidP="00120C4F">
      <w:pPr>
        <w:widowControl w:val="0"/>
        <w:spacing w:after="240" w:line="240" w:lineRule="auto"/>
        <w:jc w:val="both"/>
        <w:rPr>
          <w:rFonts w:eastAsia="Times New Roman" w:cs="Times New Roman"/>
          <w:szCs w:val="24"/>
          <w:lang w:eastAsia="en-GB"/>
        </w:rPr>
      </w:pPr>
      <w:r w:rsidRPr="00120C4F">
        <w:rPr>
          <w:rFonts w:eastAsia="Times New Roman" w:cs="Times New Roman"/>
          <w:szCs w:val="24"/>
          <w:lang w:eastAsia="en-GB"/>
        </w:rPr>
        <w:t>The resolution calls on the Council to adopt the Commission proposal for a definitive VAT system based on the principle of taxation in the country of destination. It also calls for limits on exemptions and reduced rates, and advocates for the introduction of a uniform standard rate, whilst recognising the importance of the ability of the Member States to set their own rates according to societal and budgetary requirements. The resolution also calls on the Commission to explore how to expand the scope of the EU One-Stop Shop. It furthermore considers it necessary to explore a more harmonised introduction of electronic invoicing in all the EU Member States, and the use of digital technology to improve the frequency and speed of data exchanges relating to supplies between the Member States. When it comes to reducing the VAT gap, the resolution calls on the Commission and the Member States to analyse and exchange best practices.</w:t>
      </w:r>
    </w:p>
    <w:p w:rsidR="00120C4F" w:rsidRPr="00120C4F" w:rsidRDefault="00120C4F" w:rsidP="00120C4F">
      <w:pPr>
        <w:widowControl w:val="0"/>
        <w:spacing w:after="240" w:line="240" w:lineRule="auto"/>
        <w:ind w:left="720" w:hanging="720"/>
        <w:jc w:val="both"/>
        <w:rPr>
          <w:rFonts w:eastAsia="Times New Roman" w:cs="Times New Roman"/>
          <w:b/>
          <w:szCs w:val="24"/>
          <w:lang w:eastAsia="en-GB"/>
        </w:rPr>
      </w:pPr>
      <w:r w:rsidRPr="00120C4F">
        <w:rPr>
          <w:rFonts w:eastAsia="Times New Roman" w:cs="Times New Roman"/>
          <w:b/>
          <w:szCs w:val="24"/>
          <w:lang w:eastAsia="en-GB"/>
        </w:rPr>
        <w:t>6.</w:t>
      </w:r>
      <w:r w:rsidRPr="00120C4F">
        <w:rPr>
          <w:rFonts w:eastAsia="Times New Roman" w:cs="Times New Roman"/>
          <w:b/>
          <w:szCs w:val="24"/>
          <w:lang w:eastAsia="en-GB"/>
        </w:rPr>
        <w:tab/>
        <w:t xml:space="preserve">Response to requests and overview of action taken, or </w:t>
      </w:r>
      <w:proofErr w:type="gramStart"/>
      <w:r w:rsidRPr="00120C4F">
        <w:rPr>
          <w:rFonts w:eastAsia="Times New Roman" w:cs="Times New Roman"/>
          <w:b/>
          <w:szCs w:val="24"/>
          <w:lang w:eastAsia="en-GB"/>
        </w:rPr>
        <w:t>intended to be taken</w:t>
      </w:r>
      <w:proofErr w:type="gramEnd"/>
      <w:r w:rsidRPr="00120C4F">
        <w:rPr>
          <w:rFonts w:eastAsia="Times New Roman" w:cs="Times New Roman"/>
          <w:b/>
          <w:szCs w:val="24"/>
          <w:lang w:eastAsia="en-GB"/>
        </w:rPr>
        <w:t>, by the Commission:</w:t>
      </w:r>
    </w:p>
    <w:p w:rsidR="00120C4F" w:rsidRPr="00120C4F" w:rsidRDefault="00120C4F" w:rsidP="00120C4F">
      <w:pPr>
        <w:widowControl w:val="0"/>
        <w:spacing w:after="120" w:line="240" w:lineRule="auto"/>
        <w:jc w:val="both"/>
        <w:rPr>
          <w:rFonts w:eastAsia="Times New Roman" w:cs="Times New Roman"/>
          <w:b/>
          <w:szCs w:val="24"/>
          <w:lang w:eastAsia="en-GB"/>
        </w:rPr>
      </w:pPr>
      <w:r w:rsidRPr="00120C4F">
        <w:rPr>
          <w:rFonts w:eastAsia="Times New Roman" w:cs="Times New Roman"/>
          <w:b/>
          <w:szCs w:val="24"/>
          <w:lang w:eastAsia="en-GB"/>
        </w:rPr>
        <w:t>Analysis and exchange of best practice in avoiding large VAT gaps, VAT gap measurements (paragraphs 1, 2 and 9)</w:t>
      </w:r>
    </w:p>
    <w:p w:rsidR="00120C4F" w:rsidRPr="00120C4F" w:rsidRDefault="00120C4F" w:rsidP="00120C4F">
      <w:pPr>
        <w:widowControl w:val="0"/>
        <w:spacing w:after="120" w:line="240" w:lineRule="auto"/>
        <w:jc w:val="both"/>
        <w:rPr>
          <w:rFonts w:eastAsia="Times New Roman" w:cs="Times New Roman"/>
          <w:szCs w:val="24"/>
          <w:lang w:eastAsia="en-GB"/>
        </w:rPr>
      </w:pPr>
      <w:r w:rsidRPr="00120C4F">
        <w:rPr>
          <w:rFonts w:eastAsia="Times New Roman" w:cs="Times New Roman"/>
          <w:szCs w:val="24"/>
          <w:lang w:eastAsia="en-GB"/>
        </w:rPr>
        <w:t>The ninth Commission report under Article 12 of Regulation (EEC, EURATOM) No 1553/89 on VAT collection and control procedures entitled ‘VAT Administration in the EU: Screening and Diagnostic Report’, will be adopted on 7 April 2022. It will identify opportunities for change and improvement of the performance of VAT administrations while paying attention to each country’s specificities. The recommendations in the report will all be based on good practice observed in those Member States that have succeeded in avoiding large VAT gaps or in reducing their national VAT gap substantially.</w:t>
      </w:r>
    </w:p>
    <w:p w:rsidR="00120C4F" w:rsidRPr="00120C4F" w:rsidRDefault="00120C4F" w:rsidP="00120C4F">
      <w:pPr>
        <w:widowControl w:val="0"/>
        <w:spacing w:after="120" w:line="240" w:lineRule="auto"/>
        <w:jc w:val="both"/>
        <w:rPr>
          <w:rFonts w:eastAsia="Times New Roman" w:cs="Times New Roman"/>
          <w:szCs w:val="24"/>
          <w:lang w:eastAsia="en-GB"/>
        </w:rPr>
      </w:pPr>
      <w:r w:rsidRPr="00120C4F">
        <w:rPr>
          <w:rFonts w:eastAsia="Times New Roman" w:cs="Times New Roman"/>
          <w:szCs w:val="24"/>
          <w:lang w:eastAsia="en-GB"/>
        </w:rPr>
        <w:t>Furthermore, the Commission supports and participates in a project launched by Heads of tax administrations in the EU (</w:t>
      </w:r>
      <w:proofErr w:type="spellStart"/>
      <w:r w:rsidRPr="00120C4F">
        <w:rPr>
          <w:rFonts w:eastAsia="Times New Roman" w:cs="Times New Roman"/>
          <w:szCs w:val="24"/>
          <w:lang w:eastAsia="en-GB"/>
        </w:rPr>
        <w:t>TADEUS</w:t>
      </w:r>
      <w:proofErr w:type="spellEnd"/>
      <w:r w:rsidRPr="00120C4F">
        <w:rPr>
          <w:rFonts w:eastAsia="Times New Roman" w:cs="Times New Roman"/>
          <w:szCs w:val="24"/>
          <w:lang w:eastAsia="en-GB"/>
        </w:rPr>
        <w:t>) on the estimation of several causes of the VAT gap, including missing trader intra-community (</w:t>
      </w:r>
      <w:proofErr w:type="spellStart"/>
      <w:r w:rsidRPr="00120C4F">
        <w:rPr>
          <w:rFonts w:eastAsia="Times New Roman" w:cs="Times New Roman"/>
          <w:szCs w:val="24"/>
          <w:lang w:eastAsia="en-GB"/>
        </w:rPr>
        <w:t>MTIC</w:t>
      </w:r>
      <w:proofErr w:type="spellEnd"/>
      <w:r w:rsidRPr="00120C4F">
        <w:rPr>
          <w:rFonts w:eastAsia="Times New Roman" w:cs="Times New Roman"/>
          <w:szCs w:val="24"/>
          <w:lang w:eastAsia="en-GB"/>
        </w:rPr>
        <w:t>) and e-commerce fraud. The VAT gap corresponds to the difference between the VAT due and the actual VAT revenues. As such, it represents the VAT revenues lost compared to a theoretical VAT calculation.</w:t>
      </w:r>
    </w:p>
    <w:p w:rsidR="00120C4F" w:rsidRPr="00120C4F" w:rsidRDefault="00120C4F" w:rsidP="00120C4F">
      <w:pPr>
        <w:widowControl w:val="0"/>
        <w:spacing w:after="120" w:line="240" w:lineRule="auto"/>
        <w:jc w:val="both"/>
        <w:rPr>
          <w:rFonts w:eastAsia="Times New Roman" w:cs="Times New Roman"/>
          <w:szCs w:val="24"/>
          <w:lang w:eastAsia="en-GB"/>
        </w:rPr>
      </w:pPr>
      <w:r w:rsidRPr="00120C4F">
        <w:rPr>
          <w:rFonts w:eastAsia="Times New Roman" w:cs="Times New Roman"/>
          <w:szCs w:val="24"/>
          <w:lang w:eastAsia="en-GB"/>
        </w:rPr>
        <w:t>Under the leadership of Italy, the related subgroups of that project are gathering information on methodologies applied in Member States and elsewhere, with the purpose of agreeing on best practices and building a common set of methodologies that can be used across the Member States.</w:t>
      </w:r>
    </w:p>
    <w:p w:rsidR="00120C4F" w:rsidRPr="00120C4F" w:rsidRDefault="00120C4F" w:rsidP="00120C4F">
      <w:pPr>
        <w:widowControl w:val="0"/>
        <w:spacing w:after="120" w:line="240" w:lineRule="auto"/>
        <w:jc w:val="both"/>
        <w:rPr>
          <w:rFonts w:eastAsia="Times New Roman" w:cs="Times New Roman"/>
          <w:szCs w:val="24"/>
          <w:lang w:eastAsia="en-GB"/>
        </w:rPr>
      </w:pPr>
      <w:r w:rsidRPr="00120C4F">
        <w:rPr>
          <w:rFonts w:eastAsia="Times New Roman" w:cs="Times New Roman"/>
          <w:szCs w:val="24"/>
          <w:lang w:eastAsia="en-GB"/>
        </w:rPr>
        <w:t xml:space="preserve">Currently, to estimate the VAT gap in the EU, the Commission applies a consumption-side </w:t>
      </w:r>
      <w:r w:rsidRPr="00120C4F">
        <w:rPr>
          <w:rFonts w:eastAsia="Times New Roman" w:cs="Times New Roman"/>
          <w:szCs w:val="24"/>
          <w:lang w:eastAsia="en-GB"/>
        </w:rPr>
        <w:lastRenderedPageBreak/>
        <w:t xml:space="preserve">top-down methodology. This means that the estimates of the actual VAT revenues are based on the total VAT collected by the authorities in the Member States, measured and aggregated at national level. Member States do not provide </w:t>
      </w:r>
      <w:proofErr w:type="gramStart"/>
      <w:r w:rsidRPr="00120C4F">
        <w:rPr>
          <w:rFonts w:eastAsia="Times New Roman" w:cs="Times New Roman"/>
          <w:szCs w:val="24"/>
          <w:lang w:eastAsia="en-GB"/>
        </w:rPr>
        <w:t>more detailed data on the VAT collected</w:t>
      </w:r>
      <w:proofErr w:type="gramEnd"/>
      <w:r w:rsidRPr="00120C4F">
        <w:rPr>
          <w:rFonts w:eastAsia="Times New Roman" w:cs="Times New Roman"/>
          <w:szCs w:val="24"/>
          <w:lang w:eastAsia="en-GB"/>
        </w:rPr>
        <w:t>. Estimates of the VAT gap by sector of economic activity or regional VAT gap measurements are therefore not possible.</w:t>
      </w:r>
    </w:p>
    <w:p w:rsidR="00120C4F" w:rsidRPr="00120C4F" w:rsidRDefault="00120C4F" w:rsidP="00120C4F">
      <w:pPr>
        <w:widowControl w:val="0"/>
        <w:spacing w:after="120" w:line="240" w:lineRule="auto"/>
        <w:jc w:val="both"/>
        <w:rPr>
          <w:rFonts w:eastAsia="Times New Roman" w:cs="Times New Roman"/>
          <w:b/>
          <w:szCs w:val="24"/>
          <w:lang w:eastAsia="en-GB"/>
        </w:rPr>
      </w:pPr>
      <w:r w:rsidRPr="00120C4F">
        <w:rPr>
          <w:rFonts w:eastAsia="Times New Roman" w:cs="Times New Roman"/>
          <w:b/>
          <w:szCs w:val="24"/>
          <w:lang w:eastAsia="en-GB"/>
        </w:rPr>
        <w:t>VAT rates (paragraphs 20, 21, 24, 25, 26, 27, 29, 31, 32, 33, 36, 37 and 38)</w:t>
      </w:r>
    </w:p>
    <w:p w:rsidR="00120C4F" w:rsidRPr="00120C4F" w:rsidRDefault="00120C4F" w:rsidP="00120C4F">
      <w:pPr>
        <w:widowControl w:val="0"/>
        <w:spacing w:after="120" w:line="240" w:lineRule="auto"/>
        <w:jc w:val="both"/>
        <w:rPr>
          <w:rFonts w:eastAsia="Times New Roman" w:cs="Times New Roman"/>
          <w:szCs w:val="24"/>
          <w:lang w:eastAsia="en-GB"/>
        </w:rPr>
      </w:pPr>
      <w:r w:rsidRPr="00120C4F">
        <w:rPr>
          <w:rFonts w:eastAsia="Times New Roman" w:cs="Times New Roman"/>
          <w:szCs w:val="24"/>
          <w:lang w:eastAsia="en-GB"/>
        </w:rPr>
        <w:t>The Commission proposed in 2018 to modernise and rationalise the VAT rates system</w:t>
      </w:r>
      <w:r w:rsidRPr="00120C4F">
        <w:rPr>
          <w:rFonts w:eastAsia="Times New Roman" w:cs="Times New Roman"/>
          <w:szCs w:val="24"/>
          <w:vertAlign w:val="superscript"/>
          <w:lang w:eastAsia="en-GB"/>
        </w:rPr>
        <w:footnoteReference w:id="1"/>
      </w:r>
      <w:r w:rsidRPr="00120C4F">
        <w:rPr>
          <w:rFonts w:eastAsia="Times New Roman" w:cs="Times New Roman"/>
          <w:szCs w:val="24"/>
          <w:lang w:eastAsia="en-GB"/>
        </w:rPr>
        <w:t>, to which the Council has agreed a general approach</w:t>
      </w:r>
      <w:r w:rsidRPr="00120C4F">
        <w:rPr>
          <w:rFonts w:eastAsia="Times New Roman" w:cs="Times New Roman"/>
          <w:szCs w:val="24"/>
          <w:vertAlign w:val="superscript"/>
          <w:lang w:eastAsia="en-GB"/>
        </w:rPr>
        <w:footnoteReference w:id="2"/>
      </w:r>
      <w:r w:rsidRPr="00120C4F">
        <w:rPr>
          <w:rFonts w:eastAsia="Times New Roman" w:cs="Times New Roman"/>
          <w:szCs w:val="24"/>
          <w:lang w:eastAsia="en-GB"/>
        </w:rPr>
        <w:t>. The European Parliament was consulted a second time</w:t>
      </w:r>
      <w:r w:rsidRPr="00120C4F">
        <w:rPr>
          <w:rFonts w:eastAsia="Times New Roman" w:cs="Times New Roman"/>
          <w:szCs w:val="24"/>
          <w:vertAlign w:val="superscript"/>
          <w:lang w:eastAsia="en-GB"/>
        </w:rPr>
        <w:footnoteReference w:id="3"/>
      </w:r>
      <w:r w:rsidRPr="00120C4F">
        <w:rPr>
          <w:rFonts w:eastAsia="Times New Roman" w:cs="Times New Roman"/>
          <w:szCs w:val="24"/>
          <w:lang w:eastAsia="en-GB"/>
        </w:rPr>
        <w:t>. Formal adoption is planned for 5 April 2022. The new rules provide Member States with more flexibility in the rates they can apply and ensure their equal treatment. At the same time, the updated legislation will bring the VAT rules into line with common EU priorities such as fighting climate change, supporting digitalisation and protecting public health.</w:t>
      </w:r>
    </w:p>
    <w:p w:rsidR="00120C4F" w:rsidRPr="00120C4F" w:rsidRDefault="00120C4F" w:rsidP="00120C4F">
      <w:pPr>
        <w:widowControl w:val="0"/>
        <w:spacing w:after="120" w:line="240" w:lineRule="auto"/>
        <w:jc w:val="both"/>
        <w:rPr>
          <w:rFonts w:eastAsia="Times New Roman" w:cs="Times New Roman"/>
          <w:szCs w:val="24"/>
          <w:lang w:eastAsia="en-GB"/>
        </w:rPr>
      </w:pPr>
      <w:r w:rsidRPr="00120C4F">
        <w:rPr>
          <w:rFonts w:eastAsia="Times New Roman" w:cs="Times New Roman"/>
          <w:szCs w:val="24"/>
          <w:lang w:eastAsia="en-GB"/>
        </w:rPr>
        <w:t>Specifically, the rules:</w:t>
      </w:r>
    </w:p>
    <w:p w:rsidR="00120C4F" w:rsidRPr="00120C4F" w:rsidRDefault="00120C4F" w:rsidP="00120C4F">
      <w:pPr>
        <w:widowControl w:val="0"/>
        <w:numPr>
          <w:ilvl w:val="0"/>
          <w:numId w:val="1"/>
        </w:numPr>
        <w:spacing w:after="120" w:line="240" w:lineRule="auto"/>
        <w:ind w:left="360"/>
        <w:jc w:val="both"/>
        <w:rPr>
          <w:rFonts w:eastAsia="Times New Roman" w:cs="Times New Roman"/>
          <w:szCs w:val="24"/>
          <w:lang w:eastAsia="en-GB"/>
        </w:rPr>
      </w:pPr>
      <w:r w:rsidRPr="00120C4F">
        <w:rPr>
          <w:rFonts w:eastAsia="Times New Roman" w:cs="Times New Roman"/>
          <w:szCs w:val="24"/>
          <w:lang w:eastAsia="en-GB"/>
        </w:rPr>
        <w:t>Update the list of goods and services (Annex III to the VAT Directive) to which all Member States can apply reduced VAT rates. New products and services added to the list include those that protect public health, are environmentally friendly and support the digital transition. Once the rules come into force, the Member States will for the first time also be able to exempt from VAT certain listed goods and services considered to cover basic needs.</w:t>
      </w:r>
    </w:p>
    <w:p w:rsidR="00120C4F" w:rsidRPr="00120C4F" w:rsidRDefault="00120C4F" w:rsidP="00120C4F">
      <w:pPr>
        <w:widowControl w:val="0"/>
        <w:numPr>
          <w:ilvl w:val="0"/>
          <w:numId w:val="1"/>
        </w:numPr>
        <w:spacing w:after="120" w:line="240" w:lineRule="auto"/>
        <w:ind w:left="360"/>
        <w:jc w:val="both"/>
        <w:rPr>
          <w:rFonts w:eastAsia="Times New Roman" w:cs="Times New Roman"/>
          <w:szCs w:val="24"/>
          <w:lang w:eastAsia="en-GB"/>
        </w:rPr>
      </w:pPr>
      <w:r w:rsidRPr="00120C4F">
        <w:rPr>
          <w:rFonts w:eastAsia="Times New Roman" w:cs="Times New Roman"/>
          <w:szCs w:val="24"/>
          <w:lang w:eastAsia="en-GB"/>
        </w:rPr>
        <w:t>Remove the possibility by 2030 for Member States to apply reduced rates and exemptions to goods and services deemed detrimental to the environment and to the EU's climate change objectives.</w:t>
      </w:r>
    </w:p>
    <w:p w:rsidR="00120C4F" w:rsidRPr="00120C4F" w:rsidRDefault="00120C4F" w:rsidP="00120C4F">
      <w:pPr>
        <w:widowControl w:val="0"/>
        <w:numPr>
          <w:ilvl w:val="0"/>
          <w:numId w:val="1"/>
        </w:numPr>
        <w:spacing w:after="120" w:line="240" w:lineRule="auto"/>
        <w:ind w:left="360"/>
        <w:jc w:val="both"/>
        <w:rPr>
          <w:rFonts w:eastAsia="Times New Roman" w:cs="Times New Roman"/>
          <w:szCs w:val="24"/>
          <w:lang w:eastAsia="en-GB"/>
        </w:rPr>
      </w:pPr>
      <w:r w:rsidRPr="00120C4F">
        <w:rPr>
          <w:rFonts w:eastAsia="Times New Roman" w:cs="Times New Roman"/>
          <w:szCs w:val="24"/>
          <w:lang w:eastAsia="en-GB"/>
        </w:rPr>
        <w:t>Make derogations and exemptions for specific goods and services, currently in place for historical reasons in certain Member States, available to all countries to ensure equal treatment and avoid distortions of competition. However, existing derogations that are not justified by public policy objectives and do not support EU climate action will need to end by 2032.</w:t>
      </w:r>
    </w:p>
    <w:p w:rsidR="00120C4F" w:rsidRPr="00120C4F" w:rsidRDefault="00120C4F" w:rsidP="00120C4F">
      <w:pPr>
        <w:widowControl w:val="0"/>
        <w:spacing w:after="120" w:line="240" w:lineRule="auto"/>
        <w:ind w:left="720" w:hanging="720"/>
        <w:jc w:val="both"/>
        <w:rPr>
          <w:rFonts w:eastAsia="Times New Roman" w:cs="Times New Roman"/>
          <w:b/>
          <w:szCs w:val="24"/>
          <w:lang w:eastAsia="en-GB"/>
        </w:rPr>
      </w:pPr>
      <w:r w:rsidRPr="00120C4F">
        <w:rPr>
          <w:rFonts w:eastAsia="Times New Roman" w:cs="Times New Roman"/>
          <w:b/>
          <w:szCs w:val="24"/>
          <w:lang w:eastAsia="en-GB"/>
        </w:rPr>
        <w:t>Digital Reporting Requirements and the One Stop Shop (paragraph 15, 16, 38 and 48)</w:t>
      </w:r>
    </w:p>
    <w:p w:rsidR="00120C4F" w:rsidRPr="00120C4F" w:rsidRDefault="00120C4F" w:rsidP="00120C4F">
      <w:pPr>
        <w:widowControl w:val="0"/>
        <w:spacing w:after="120" w:line="240" w:lineRule="auto"/>
        <w:jc w:val="both"/>
        <w:rPr>
          <w:rFonts w:eastAsia="Times New Roman" w:cs="Times New Roman"/>
          <w:szCs w:val="24"/>
          <w:lang w:eastAsia="en-GB"/>
        </w:rPr>
      </w:pPr>
      <w:r w:rsidRPr="00120C4F">
        <w:rPr>
          <w:rFonts w:eastAsia="Times New Roman" w:cs="Times New Roman"/>
          <w:szCs w:val="24"/>
          <w:lang w:eastAsia="en-GB"/>
        </w:rPr>
        <w:t>The 2020 Tax Action Plan announced a legislative proposal in 2022 under the heading VAT in the Digital Age covering:</w:t>
      </w:r>
    </w:p>
    <w:p w:rsidR="00120C4F" w:rsidRPr="00120C4F" w:rsidRDefault="00120C4F" w:rsidP="00120C4F">
      <w:pPr>
        <w:widowControl w:val="0"/>
        <w:numPr>
          <w:ilvl w:val="0"/>
          <w:numId w:val="2"/>
        </w:numPr>
        <w:spacing w:after="120" w:line="240" w:lineRule="auto"/>
        <w:ind w:left="720"/>
        <w:jc w:val="both"/>
        <w:rPr>
          <w:rFonts w:eastAsia="Times New Roman" w:cs="Times New Roman"/>
          <w:szCs w:val="24"/>
          <w:lang w:eastAsia="en-GB"/>
        </w:rPr>
      </w:pPr>
      <w:r w:rsidRPr="00120C4F">
        <w:rPr>
          <w:rFonts w:eastAsia="Times New Roman" w:cs="Times New Roman"/>
          <w:szCs w:val="24"/>
          <w:lang w:eastAsia="en-GB"/>
        </w:rPr>
        <w:t>Digital Reporting Requirements (</w:t>
      </w:r>
      <w:proofErr w:type="spellStart"/>
      <w:r w:rsidRPr="00120C4F">
        <w:rPr>
          <w:rFonts w:eastAsia="Times New Roman" w:cs="Times New Roman"/>
          <w:szCs w:val="24"/>
          <w:lang w:eastAsia="en-GB"/>
        </w:rPr>
        <w:t>DRR</w:t>
      </w:r>
      <w:proofErr w:type="spellEnd"/>
      <w:r w:rsidRPr="00120C4F">
        <w:rPr>
          <w:rFonts w:eastAsia="Times New Roman" w:cs="Times New Roman"/>
          <w:szCs w:val="24"/>
          <w:lang w:eastAsia="en-GB"/>
        </w:rPr>
        <w:t xml:space="preserve">) and e-invoicing focusing on modernising VAT reporting obligations and the role of </w:t>
      </w:r>
      <w:proofErr w:type="gramStart"/>
      <w:r w:rsidRPr="00120C4F">
        <w:rPr>
          <w:rFonts w:eastAsia="Times New Roman" w:cs="Times New Roman"/>
          <w:szCs w:val="24"/>
          <w:lang w:eastAsia="en-GB"/>
        </w:rPr>
        <w:t>e-invoicing</w:t>
      </w:r>
      <w:proofErr w:type="gramEnd"/>
      <w:r w:rsidRPr="00120C4F">
        <w:rPr>
          <w:rFonts w:eastAsia="Times New Roman" w:cs="Times New Roman"/>
          <w:szCs w:val="24"/>
          <w:lang w:eastAsia="en-GB"/>
        </w:rPr>
        <w:t xml:space="preserve"> in order to combat fraud.</w:t>
      </w:r>
    </w:p>
    <w:p w:rsidR="00120C4F" w:rsidRPr="00120C4F" w:rsidRDefault="00120C4F" w:rsidP="00120C4F">
      <w:pPr>
        <w:widowControl w:val="0"/>
        <w:numPr>
          <w:ilvl w:val="0"/>
          <w:numId w:val="2"/>
        </w:numPr>
        <w:spacing w:after="120" w:line="240" w:lineRule="auto"/>
        <w:ind w:left="720"/>
        <w:jc w:val="both"/>
        <w:rPr>
          <w:rFonts w:eastAsia="Times New Roman" w:cs="Times New Roman"/>
          <w:szCs w:val="24"/>
          <w:lang w:eastAsia="en-GB"/>
        </w:rPr>
      </w:pPr>
      <w:r w:rsidRPr="00120C4F">
        <w:rPr>
          <w:rFonts w:eastAsia="Times New Roman" w:cs="Times New Roman"/>
          <w:szCs w:val="24"/>
          <w:lang w:eastAsia="en-GB"/>
        </w:rPr>
        <w:t>VAT aspects of the platform economy (sharing, gig) aiming to find uniform ways to qualify and tax these activities from a VAT perspective.</w:t>
      </w:r>
    </w:p>
    <w:p w:rsidR="00120C4F" w:rsidRPr="00120C4F" w:rsidRDefault="00120C4F" w:rsidP="00120C4F">
      <w:pPr>
        <w:widowControl w:val="0"/>
        <w:numPr>
          <w:ilvl w:val="0"/>
          <w:numId w:val="2"/>
        </w:numPr>
        <w:spacing w:after="120" w:line="240" w:lineRule="auto"/>
        <w:ind w:left="720"/>
        <w:jc w:val="both"/>
        <w:rPr>
          <w:rFonts w:eastAsia="Times New Roman" w:cs="Times New Roman"/>
          <w:szCs w:val="24"/>
          <w:lang w:eastAsia="en-GB"/>
        </w:rPr>
      </w:pPr>
      <w:r w:rsidRPr="00120C4F">
        <w:rPr>
          <w:rFonts w:eastAsia="Times New Roman" w:cs="Times New Roman"/>
          <w:szCs w:val="24"/>
          <w:lang w:eastAsia="en-GB"/>
        </w:rPr>
        <w:t>The Single VAT Registration in the EU (</w:t>
      </w:r>
      <w:proofErr w:type="spellStart"/>
      <w:r w:rsidRPr="00120C4F">
        <w:rPr>
          <w:rFonts w:eastAsia="Times New Roman" w:cs="Times New Roman"/>
          <w:szCs w:val="24"/>
          <w:lang w:eastAsia="en-GB"/>
        </w:rPr>
        <w:t>SVR</w:t>
      </w:r>
      <w:proofErr w:type="spellEnd"/>
      <w:r w:rsidRPr="00120C4F">
        <w:rPr>
          <w:rFonts w:eastAsia="Times New Roman" w:cs="Times New Roman"/>
          <w:szCs w:val="24"/>
          <w:lang w:eastAsia="en-GB"/>
        </w:rPr>
        <w:t xml:space="preserve">) aiming </w:t>
      </w:r>
      <w:proofErr w:type="gramStart"/>
      <w:r w:rsidRPr="00120C4F">
        <w:rPr>
          <w:rFonts w:eastAsia="Times New Roman" w:cs="Times New Roman"/>
          <w:szCs w:val="24"/>
          <w:lang w:eastAsia="en-GB"/>
        </w:rPr>
        <w:t>to further extend</w:t>
      </w:r>
      <w:proofErr w:type="gramEnd"/>
      <w:r w:rsidRPr="00120C4F">
        <w:rPr>
          <w:rFonts w:eastAsia="Times New Roman" w:cs="Times New Roman"/>
          <w:szCs w:val="24"/>
          <w:lang w:eastAsia="en-GB"/>
        </w:rPr>
        <w:t xml:space="preserve"> the scope of the transactions covered by the One-Stop-Shop (OSS) and to avoid registration in Member States where the business is not established, even if it is carrying out taxable transactions in those Member States. The Commission will also analyse the possibility to provide for the obligatory use of the Import One Stop Shop (</w:t>
      </w:r>
      <w:proofErr w:type="spellStart"/>
      <w:r w:rsidRPr="00120C4F">
        <w:rPr>
          <w:rFonts w:eastAsia="Times New Roman" w:cs="Times New Roman"/>
          <w:szCs w:val="24"/>
          <w:lang w:eastAsia="en-GB"/>
        </w:rPr>
        <w:t>IOSS</w:t>
      </w:r>
      <w:proofErr w:type="spellEnd"/>
      <w:r w:rsidRPr="00120C4F">
        <w:rPr>
          <w:rFonts w:eastAsia="Times New Roman" w:cs="Times New Roman"/>
          <w:szCs w:val="24"/>
          <w:lang w:eastAsia="en-GB"/>
        </w:rPr>
        <w:t>). The removal of the EUR150 threshold set for its use will also be examined.</w:t>
      </w:r>
    </w:p>
    <w:p w:rsidR="00120C4F" w:rsidRPr="00120C4F" w:rsidRDefault="00120C4F" w:rsidP="00120C4F">
      <w:pPr>
        <w:widowControl w:val="0"/>
        <w:spacing w:after="120" w:line="240" w:lineRule="auto"/>
        <w:jc w:val="both"/>
        <w:rPr>
          <w:rFonts w:eastAsia="Times New Roman" w:cs="Times New Roman"/>
          <w:szCs w:val="24"/>
          <w:lang w:eastAsia="en-GB"/>
        </w:rPr>
      </w:pPr>
      <w:r w:rsidRPr="00120C4F">
        <w:rPr>
          <w:rFonts w:eastAsia="Times New Roman" w:cs="Times New Roman"/>
          <w:szCs w:val="24"/>
          <w:lang w:eastAsia="en-GB"/>
        </w:rPr>
        <w:lastRenderedPageBreak/>
        <w:t>A study covering all the three topics was launched in 2020 and aims to identify options for the future legislative proposal, which is due for adoption by the Commission in October 2022. A public consultation is underway and will close in early May.</w:t>
      </w:r>
    </w:p>
    <w:p w:rsidR="00120C4F" w:rsidRPr="00120C4F" w:rsidRDefault="00120C4F" w:rsidP="00120C4F">
      <w:pPr>
        <w:widowControl w:val="0"/>
        <w:spacing w:after="120" w:line="240" w:lineRule="auto"/>
        <w:jc w:val="both"/>
        <w:rPr>
          <w:rFonts w:eastAsia="Times New Roman" w:cs="Times New Roman"/>
          <w:b/>
          <w:szCs w:val="24"/>
          <w:lang w:eastAsia="en-GB"/>
        </w:rPr>
      </w:pPr>
      <w:r w:rsidRPr="00120C4F">
        <w:rPr>
          <w:rFonts w:eastAsia="Times New Roman" w:cs="Times New Roman"/>
          <w:b/>
          <w:szCs w:val="24"/>
          <w:lang w:eastAsia="en-GB"/>
        </w:rPr>
        <w:t>Mechanism revising the multiannual weighted average rate during the period covered by the multiannual financial framework</w:t>
      </w:r>
    </w:p>
    <w:p w:rsidR="00120C4F" w:rsidRPr="00120C4F" w:rsidRDefault="00120C4F" w:rsidP="00120C4F">
      <w:pPr>
        <w:widowControl w:val="0"/>
        <w:spacing w:after="120" w:line="240" w:lineRule="auto"/>
        <w:jc w:val="both"/>
        <w:rPr>
          <w:rFonts w:eastAsia="Times New Roman" w:cs="Times New Roman"/>
          <w:szCs w:val="24"/>
          <w:lang w:eastAsia="en-GB"/>
        </w:rPr>
      </w:pPr>
      <w:r w:rsidRPr="00120C4F">
        <w:rPr>
          <w:rFonts w:eastAsia="Times New Roman" w:cs="Times New Roman"/>
          <w:szCs w:val="24"/>
          <w:lang w:eastAsia="en-GB"/>
        </w:rPr>
        <w:t xml:space="preserve">The Court of Auditor’s proposal included in the Opinion 11/2020 on the draft Council regulation (EU, Euratom) amending Regulation (EEC, Euratom) No 1553/89 on the definitive uniform arrangements for value added tax based own resource was analysed in the framework of the Council’s Working Party on Own Resources. The agreed text of the Council Regulation 2021/769 of 30 April 2021 amending Regulation (EEC, </w:t>
      </w:r>
      <w:proofErr w:type="gramStart"/>
      <w:r w:rsidRPr="00120C4F">
        <w:rPr>
          <w:rFonts w:eastAsia="Times New Roman" w:cs="Times New Roman"/>
          <w:szCs w:val="24"/>
          <w:lang w:eastAsia="en-GB"/>
        </w:rPr>
        <w:t>Euratom</w:t>
      </w:r>
      <w:proofErr w:type="gramEnd"/>
      <w:r w:rsidRPr="00120C4F">
        <w:rPr>
          <w:rFonts w:eastAsia="Times New Roman" w:cs="Times New Roman"/>
          <w:szCs w:val="24"/>
          <w:lang w:eastAsia="en-GB"/>
        </w:rPr>
        <w:t>) No 1553/89 does not currently include any mechanism of revising the multiannual weighted average rate, however this will be taken into consideration for the following amendments.</w:t>
      </w:r>
    </w:p>
    <w:p w:rsidR="00F36993" w:rsidRDefault="00F36993"/>
    <w:sectPr w:rsidR="00F369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C4F" w:rsidRDefault="00120C4F" w:rsidP="00120C4F">
      <w:pPr>
        <w:spacing w:after="0" w:line="240" w:lineRule="auto"/>
      </w:pPr>
      <w:r>
        <w:separator/>
      </w:r>
    </w:p>
  </w:endnote>
  <w:endnote w:type="continuationSeparator" w:id="0">
    <w:p w:rsidR="00120C4F" w:rsidRDefault="00120C4F" w:rsidP="0012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C4F" w:rsidRDefault="00120C4F" w:rsidP="00120C4F">
      <w:pPr>
        <w:spacing w:after="0" w:line="240" w:lineRule="auto"/>
      </w:pPr>
      <w:r>
        <w:separator/>
      </w:r>
    </w:p>
  </w:footnote>
  <w:footnote w:type="continuationSeparator" w:id="0">
    <w:p w:rsidR="00120C4F" w:rsidRDefault="00120C4F" w:rsidP="00120C4F">
      <w:pPr>
        <w:spacing w:after="0" w:line="240" w:lineRule="auto"/>
      </w:pPr>
      <w:r>
        <w:continuationSeparator/>
      </w:r>
    </w:p>
  </w:footnote>
  <w:footnote w:id="1">
    <w:p w:rsidR="00120C4F" w:rsidRPr="006E196E" w:rsidRDefault="00120C4F" w:rsidP="00120C4F">
      <w:pPr>
        <w:pStyle w:val="FootnoteText"/>
        <w:rPr>
          <w:lang w:val="en-IE"/>
        </w:rPr>
      </w:pPr>
      <w:r>
        <w:rPr>
          <w:rStyle w:val="FootnoteReference"/>
        </w:rPr>
        <w:footnoteRef/>
      </w:r>
      <w:r>
        <w:t xml:space="preserve"> </w:t>
      </w:r>
      <w:r>
        <w:tab/>
      </w:r>
      <w:hyperlink r:id="rId1" w:history="1">
        <w:r w:rsidRPr="006E196E">
          <w:rPr>
            <w:rStyle w:val="Hyperlink"/>
          </w:rPr>
          <w:t>COM/2018/020 Final</w:t>
        </w:r>
      </w:hyperlink>
    </w:p>
  </w:footnote>
  <w:footnote w:id="2">
    <w:p w:rsidR="00120C4F" w:rsidRPr="006E196E" w:rsidRDefault="00120C4F" w:rsidP="00120C4F">
      <w:pPr>
        <w:pStyle w:val="FootnoteText"/>
        <w:rPr>
          <w:lang w:val="en-IE"/>
        </w:rPr>
      </w:pPr>
      <w:r w:rsidRPr="006E196E">
        <w:rPr>
          <w:rStyle w:val="FootnoteReference"/>
        </w:rPr>
        <w:footnoteRef/>
      </w:r>
      <w:r w:rsidRPr="006E196E">
        <w:t xml:space="preserve"> </w:t>
      </w:r>
      <w:r>
        <w:tab/>
      </w:r>
      <w:hyperlink r:id="rId2" w:history="1">
        <w:r w:rsidRPr="006E196E">
          <w:rPr>
            <w:rStyle w:val="Hyperlink"/>
          </w:rPr>
          <w:t>Council General Approach to VAT rates</w:t>
        </w:r>
      </w:hyperlink>
    </w:p>
  </w:footnote>
  <w:footnote w:id="3">
    <w:p w:rsidR="00120C4F" w:rsidRPr="00F25EB5" w:rsidRDefault="00120C4F" w:rsidP="00120C4F">
      <w:pPr>
        <w:pStyle w:val="FootnoteText"/>
        <w:rPr>
          <w:lang w:val="en-IE"/>
        </w:rPr>
      </w:pPr>
      <w:r w:rsidRPr="006E196E">
        <w:rPr>
          <w:rStyle w:val="FootnoteReference"/>
        </w:rPr>
        <w:footnoteRef/>
      </w:r>
      <w:r w:rsidRPr="006E196E">
        <w:t xml:space="preserve"> </w:t>
      </w:r>
      <w:r>
        <w:tab/>
      </w:r>
      <w:hyperlink r:id="rId3" w:history="1">
        <w:r w:rsidRPr="006E196E">
          <w:rPr>
            <w:rStyle w:val="Hyperlink"/>
          </w:rPr>
          <w:t>European Parliament re-consultation on VAT rates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D3792"/>
    <w:multiLevelType w:val="hybridMultilevel"/>
    <w:tmpl w:val="DA628FD6"/>
    <w:lvl w:ilvl="0" w:tplc="E8FE1C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6C4E47"/>
    <w:multiLevelType w:val="hybridMultilevel"/>
    <w:tmpl w:val="699E6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4F"/>
    <w:rsid w:val="000F15F1"/>
    <w:rsid w:val="00120C4F"/>
    <w:rsid w:val="001E37D4"/>
    <w:rsid w:val="00512EE8"/>
    <w:rsid w:val="0065281F"/>
    <w:rsid w:val="0076069D"/>
    <w:rsid w:val="00815B75"/>
    <w:rsid w:val="008342CE"/>
    <w:rsid w:val="0095347B"/>
    <w:rsid w:val="00EF1DA5"/>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18F2A-B5FB-4E11-9EAB-0BEC648A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0C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C4F"/>
    <w:rPr>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120C4F"/>
    <w:rPr>
      <w:vertAlign w:val="superscript"/>
    </w:rPr>
  </w:style>
  <w:style w:type="character" w:styleId="Hyperlink">
    <w:name w:val="Hyperlink"/>
    <w:aliases w:val="Char1"/>
    <w:rsid w:val="00120C4F"/>
    <w:rPr>
      <w:color w:val="0000FF"/>
      <w:u w:val="single"/>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120C4F"/>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doceo/document/TA-9-2022-0061_EN.html" TargetMode="External"/><Relationship Id="rId2" Type="http://schemas.openxmlformats.org/officeDocument/2006/relationships/hyperlink" Target="https://data.consilium.europa.eu/doc/document/ST-14754-2021-INIT/en/pdf" TargetMode="External"/><Relationship Id="rId1" Type="http://schemas.openxmlformats.org/officeDocument/2006/relationships/hyperlink" Target="https://eur-lex.europa.eu/legal-content/EN/TXT/?uri=COM%3A2018%3A20%3AF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5973</Characters>
  <Application>Microsoft Office Word</Application>
  <DocSecurity>0</DocSecurity>
  <Lines>91</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1</cp:revision>
  <dcterms:created xsi:type="dcterms:W3CDTF">2022-04-04T13:54:00Z</dcterms:created>
  <dcterms:modified xsi:type="dcterms:W3CDTF">2022-04-04T13:55:00Z</dcterms:modified>
</cp:coreProperties>
</file>