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5AC" w:rsidRPr="006C05AC" w:rsidRDefault="006C05AC" w:rsidP="006C05AC">
      <w:pPr>
        <w:spacing w:after="240"/>
        <w:jc w:val="center"/>
        <w:rPr>
          <w:lang w:val="fr-BE"/>
        </w:rPr>
      </w:pPr>
      <w:r w:rsidRPr="006C05AC">
        <w:rPr>
          <w:b/>
          <w:caps/>
          <w:lang w:val="fr-BE"/>
        </w:rPr>
        <w:t>Procédure</w:t>
      </w:r>
      <w:r w:rsidRPr="006C05AC">
        <w:rPr>
          <w:b/>
          <w:lang w:val="fr-BE"/>
        </w:rPr>
        <w:t xml:space="preserve"> LÉGISLATIVE ORDINAIRE – Première lecture</w:t>
      </w:r>
    </w:p>
    <w:p w:rsidR="006C05AC" w:rsidRPr="006C05AC" w:rsidRDefault="006C05AC" w:rsidP="006C05AC">
      <w:pPr>
        <w:spacing w:after="600"/>
        <w:jc w:val="center"/>
        <w:rPr>
          <w:b/>
          <w:bCs/>
          <w:lang w:val="fr-BE"/>
        </w:rPr>
      </w:pPr>
      <w:bookmarkStart w:id="0" w:name="POPS"/>
      <w:r w:rsidRPr="006C05AC">
        <w:rPr>
          <w:b/>
          <w:lang w:val="fr-BE"/>
        </w:rPr>
        <w:t>Suite donnée à la résolution législative du Parlement européen sur la proposition de règlement du Parlement européen et du Conseil modifiant les annexes IV et V du règlement (UE) 2019/1021 du Parlement européen et du Conseil concernant les polluants organiques persistants</w:t>
      </w:r>
      <w:bookmarkEnd w:id="0"/>
    </w:p>
    <w:p w:rsidR="006C05AC" w:rsidRPr="00D824A0" w:rsidRDefault="006C05AC" w:rsidP="006C05AC">
      <w:pPr>
        <w:spacing w:after="240"/>
        <w:ind w:left="567" w:hanging="567"/>
      </w:pPr>
      <w:r>
        <w:rPr>
          <w:b/>
        </w:rPr>
        <w:t>1.</w:t>
      </w:r>
      <w:r>
        <w:tab/>
      </w:r>
      <w:r>
        <w:rPr>
          <w:b/>
        </w:rPr>
        <w:t xml:space="preserve">Rapporteur: </w:t>
      </w:r>
      <w:r>
        <w:t xml:space="preserve">Martin HOJSÍK </w:t>
      </w:r>
      <w:r>
        <w:rPr>
          <w:color w:val="1E1E1F"/>
        </w:rPr>
        <w:t>(Renew/SK)</w:t>
      </w:r>
    </w:p>
    <w:p w:rsidR="006C05AC" w:rsidRPr="006C05AC" w:rsidRDefault="006C05AC" w:rsidP="006C05AC">
      <w:pPr>
        <w:spacing w:after="240"/>
        <w:ind w:left="567" w:hanging="567"/>
        <w:rPr>
          <w:lang w:val="fr-BE"/>
        </w:rPr>
      </w:pPr>
      <w:r w:rsidRPr="006C05AC">
        <w:rPr>
          <w:b/>
          <w:lang w:val="fr-BE"/>
        </w:rPr>
        <w:t>2.</w:t>
      </w:r>
      <w:r w:rsidRPr="006C05AC">
        <w:rPr>
          <w:lang w:val="fr-BE"/>
        </w:rPr>
        <w:tab/>
      </w:r>
      <w:r w:rsidRPr="006C05AC">
        <w:rPr>
          <w:b/>
          <w:lang w:val="fr-BE"/>
        </w:rPr>
        <w:t>Numéros de référence:</w:t>
      </w:r>
      <w:r w:rsidRPr="006C05AC">
        <w:rPr>
          <w:lang w:val="fr-BE"/>
        </w:rPr>
        <w:t xml:space="preserve"> 2021/0340 (COD) / A9-0092/2022 / P9_</w:t>
      </w:r>
      <w:proofErr w:type="gramStart"/>
      <w:r w:rsidRPr="006C05AC">
        <w:rPr>
          <w:lang w:val="fr-BE"/>
        </w:rPr>
        <w:t>TA(</w:t>
      </w:r>
      <w:proofErr w:type="gramEnd"/>
      <w:r w:rsidRPr="006C05AC">
        <w:rPr>
          <w:lang w:val="fr-BE"/>
        </w:rPr>
        <w:t>2022)0342</w:t>
      </w:r>
    </w:p>
    <w:p w:rsidR="006C05AC" w:rsidRPr="006C05AC" w:rsidRDefault="006C05AC" w:rsidP="006C05AC">
      <w:pPr>
        <w:spacing w:after="240"/>
        <w:ind w:left="567" w:hanging="567"/>
        <w:rPr>
          <w:lang w:val="fr-BE"/>
        </w:rPr>
      </w:pPr>
      <w:r w:rsidRPr="006C05AC">
        <w:rPr>
          <w:b/>
          <w:lang w:val="fr-BE"/>
        </w:rPr>
        <w:t>3.</w:t>
      </w:r>
      <w:r w:rsidRPr="006C05AC">
        <w:rPr>
          <w:lang w:val="fr-BE"/>
        </w:rPr>
        <w:tab/>
      </w:r>
      <w:r w:rsidRPr="006C05AC">
        <w:rPr>
          <w:b/>
          <w:lang w:val="fr-BE"/>
        </w:rPr>
        <w:t>Date d’adoption de la résolution:</w:t>
      </w:r>
      <w:r w:rsidRPr="006C05AC">
        <w:rPr>
          <w:lang w:val="fr-BE"/>
        </w:rPr>
        <w:t xml:space="preserve"> 4 octobre 2022</w:t>
      </w:r>
    </w:p>
    <w:p w:rsidR="006C05AC" w:rsidRPr="006C05AC" w:rsidRDefault="006C05AC" w:rsidP="006C05AC">
      <w:pPr>
        <w:spacing w:after="240"/>
        <w:ind w:left="567" w:hanging="567"/>
        <w:rPr>
          <w:lang w:val="fr-BE"/>
        </w:rPr>
      </w:pPr>
      <w:r w:rsidRPr="006C05AC">
        <w:rPr>
          <w:b/>
          <w:lang w:val="fr-BE"/>
        </w:rPr>
        <w:t>4.</w:t>
      </w:r>
      <w:r w:rsidRPr="006C05AC">
        <w:rPr>
          <w:lang w:val="fr-BE"/>
        </w:rPr>
        <w:tab/>
      </w:r>
      <w:r w:rsidRPr="006C05AC">
        <w:rPr>
          <w:b/>
          <w:lang w:val="fr-BE"/>
        </w:rPr>
        <w:t xml:space="preserve">Base juridique: </w:t>
      </w:r>
      <w:r w:rsidRPr="006C05AC">
        <w:rPr>
          <w:lang w:val="fr-BE"/>
        </w:rPr>
        <w:t>article 192, paragraphe 1, du traité sur le fonctionnement de l’Union européenne</w:t>
      </w:r>
    </w:p>
    <w:p w:rsidR="006C05AC" w:rsidRPr="006C05AC" w:rsidRDefault="006C05AC" w:rsidP="006C05AC">
      <w:pPr>
        <w:shd w:val="clear" w:color="auto" w:fill="FFFFFF"/>
        <w:spacing w:after="240" w:line="288" w:lineRule="atLeast"/>
        <w:ind w:left="567" w:hanging="567"/>
        <w:textAlignment w:val="center"/>
        <w:rPr>
          <w:i/>
          <w:lang w:val="fr-BE"/>
        </w:rPr>
      </w:pPr>
      <w:r w:rsidRPr="006C05AC">
        <w:rPr>
          <w:b/>
          <w:lang w:val="fr-BE"/>
        </w:rPr>
        <w:t>5.</w:t>
      </w:r>
      <w:r w:rsidRPr="006C05AC">
        <w:rPr>
          <w:lang w:val="fr-BE"/>
        </w:rPr>
        <w:tab/>
      </w:r>
      <w:r w:rsidRPr="006C05AC">
        <w:rPr>
          <w:b/>
          <w:lang w:val="fr-BE"/>
        </w:rPr>
        <w:t xml:space="preserve">Commission parlementaire compétente: </w:t>
      </w:r>
      <w:r w:rsidRPr="006C05AC">
        <w:rPr>
          <w:lang w:val="fr-BE"/>
        </w:rPr>
        <w:t>commission de l’environnement, de la santé publique et de la sécurité alimentaire (ENVI)</w:t>
      </w:r>
    </w:p>
    <w:p w:rsidR="006C05AC" w:rsidRPr="006C05AC" w:rsidRDefault="006C05AC" w:rsidP="006C05AC">
      <w:pPr>
        <w:spacing w:after="120"/>
        <w:ind w:left="567" w:hanging="567"/>
        <w:rPr>
          <w:u w:val="single"/>
          <w:lang w:val="fr-BE"/>
        </w:rPr>
      </w:pPr>
      <w:r w:rsidRPr="006C05AC">
        <w:rPr>
          <w:b/>
          <w:lang w:val="fr-BE"/>
        </w:rPr>
        <w:t>6.</w:t>
      </w:r>
      <w:r w:rsidRPr="006C05AC">
        <w:rPr>
          <w:lang w:val="fr-BE"/>
        </w:rPr>
        <w:tab/>
      </w:r>
      <w:r w:rsidRPr="006C05AC">
        <w:rPr>
          <w:b/>
          <w:lang w:val="fr-BE"/>
        </w:rPr>
        <w:t>Position de la Commission:</w:t>
      </w:r>
      <w:r w:rsidRPr="006C05AC">
        <w:rPr>
          <w:color w:val="000000"/>
          <w:sz w:val="22"/>
          <w:lang w:val="fr-BE"/>
        </w:rPr>
        <w:t xml:space="preserve"> </w:t>
      </w:r>
      <w:r w:rsidRPr="006C05AC">
        <w:rPr>
          <w:color w:val="000000"/>
          <w:lang w:val="fr-BE"/>
        </w:rPr>
        <w:t xml:space="preserve">la Commission accepte tous les amendements. </w:t>
      </w:r>
      <w:r w:rsidRPr="006C05AC">
        <w:rPr>
          <w:lang w:val="fr-BE"/>
        </w:rPr>
        <w:t>La Commission a présenté la déclaration suivante concernant l’inclusion du code d’identification des déchets 17 05 04</w:t>
      </w:r>
      <w:proofErr w:type="gramStart"/>
      <w:r w:rsidRPr="006C05AC">
        <w:rPr>
          <w:lang w:val="fr-BE"/>
        </w:rPr>
        <w:t xml:space="preserve"> «terres</w:t>
      </w:r>
      <w:proofErr w:type="gramEnd"/>
      <w:r w:rsidRPr="006C05AC">
        <w:rPr>
          <w:lang w:val="fr-BE"/>
        </w:rPr>
        <w:t xml:space="preserve"> et cailloux autres que ceux visés à la rubrique 17 05 03» à l’annexe V, partie 2, du règlement (UE) 2019/1021:</w:t>
      </w:r>
    </w:p>
    <w:p w:rsidR="006C05AC" w:rsidRPr="0043644C" w:rsidRDefault="006C05AC" w:rsidP="006C05AC">
      <w:pPr>
        <w:pStyle w:val="Text1"/>
        <w:spacing w:after="120"/>
        <w:ind w:left="0"/>
      </w:pPr>
      <w:proofErr w:type="gramStart"/>
      <w:r>
        <w:t>«L’inclusion</w:t>
      </w:r>
      <w:proofErr w:type="gramEnd"/>
      <w:r>
        <w:t xml:space="preserve"> du code d’identification des déchets “terres et cailloux autres que ceux visés à la rubrique 17 05 03” dans la partie 2 de l’annexe V ne devrait pas être interprétée comme favorisant l’élimination des terres en tant que déchets plutôt que l’assainissement en vue de prévenir la production de déchets.</w:t>
      </w:r>
    </w:p>
    <w:p w:rsidR="006C05AC" w:rsidRPr="0043644C" w:rsidRDefault="006C05AC" w:rsidP="006C05AC">
      <w:pPr>
        <w:pStyle w:val="Text1"/>
        <w:spacing w:after="120"/>
        <w:ind w:left="0"/>
      </w:pPr>
      <w:r>
        <w:t>Lorsque l’élimination offre la meilleure option de gestion environnementale des déchets, la dérogation exceptionnelle au traitement destructif est soumise aux exigences de l’article 7, paragraphe 4, du règlement (UE) 2019/1021</w:t>
      </w:r>
      <w:proofErr w:type="gramStart"/>
      <w:r>
        <w:t>.»</w:t>
      </w:r>
      <w:proofErr w:type="gramEnd"/>
    </w:p>
    <w:p w:rsidR="008765BE" w:rsidRPr="006C05AC" w:rsidRDefault="008765BE">
      <w:pPr>
        <w:rPr>
          <w:lang w:val="fr-FR"/>
        </w:rPr>
      </w:pPr>
      <w:bookmarkStart w:id="1" w:name="_GoBack"/>
      <w:bookmarkEnd w:id="1"/>
    </w:p>
    <w:sectPr w:rsidR="008765BE" w:rsidRPr="006C05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AC"/>
    <w:rsid w:val="005762E3"/>
    <w:rsid w:val="006C05AC"/>
    <w:rsid w:val="0087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CCE31-E595-4EA0-9EE2-AA06DE94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customStyle="1" w:styleId="Text1">
    <w:name w:val="Text 1"/>
    <w:basedOn w:val="Normal"/>
    <w:link w:val="Text1Char"/>
    <w:qFormat/>
    <w:rsid w:val="006C05AC"/>
    <w:pPr>
      <w:spacing w:after="240"/>
      <w:ind w:left="482"/>
    </w:pPr>
    <w:rPr>
      <w:rFonts w:eastAsia="Times New Roman"/>
      <w:szCs w:val="20"/>
      <w:lang w:val="fr-FR"/>
    </w:rPr>
  </w:style>
  <w:style w:type="character" w:customStyle="1" w:styleId="Text1Char">
    <w:name w:val="Text 1 Char"/>
    <w:link w:val="Text1"/>
    <w:rsid w:val="006C05AC"/>
    <w:rPr>
      <w:rFonts w:ascii="Times New Roman" w:eastAsia="Times New Roman" w:hAnsi="Times New Roman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BRABANDER Liesbet</dc:creator>
  <cp:keywords/>
  <dc:description/>
  <cp:lastModifiedBy>DE BRABANDER Liesbet</cp:lastModifiedBy>
  <cp:revision>1</cp:revision>
  <dcterms:created xsi:type="dcterms:W3CDTF">2022-12-07T16:22:00Z</dcterms:created>
  <dcterms:modified xsi:type="dcterms:W3CDTF">2022-12-07T16:22:00Z</dcterms:modified>
</cp:coreProperties>
</file>