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45" w:rsidRPr="00E80F45" w:rsidRDefault="00E80F45" w:rsidP="00E80F45">
      <w:pPr>
        <w:spacing w:after="600" w:line="240" w:lineRule="auto"/>
        <w:jc w:val="center"/>
        <w:rPr>
          <w:rFonts w:eastAsia="Times New Roman" w:cs="Times New Roman"/>
          <w:b/>
          <w:bCs/>
          <w:szCs w:val="24"/>
          <w:lang w:eastAsia="en-GB"/>
        </w:rPr>
      </w:pPr>
      <w:bookmarkStart w:id="0" w:name="Macedonia"/>
      <w:bookmarkStart w:id="1" w:name="_GoBack"/>
      <w:bookmarkEnd w:id="1"/>
      <w:r w:rsidRPr="00E80F45">
        <w:rPr>
          <w:rFonts w:eastAsia="Times New Roman" w:cs="Times New Roman"/>
          <w:b/>
          <w:szCs w:val="24"/>
          <w:lang w:eastAsia="en-GB"/>
        </w:rPr>
        <w:t xml:space="preserve">Follow-up to the European Parliament non-legislative resolution </w:t>
      </w:r>
      <w:r w:rsidRPr="00E80F45">
        <w:rPr>
          <w:rFonts w:eastAsia="Times New Roman" w:cs="Times New Roman"/>
          <w:b/>
          <w:bCs/>
          <w:szCs w:val="24"/>
          <w:lang w:eastAsia="en-GB"/>
        </w:rPr>
        <w:t xml:space="preserve">on </w:t>
      </w:r>
      <w:r w:rsidRPr="00E80F45">
        <w:rPr>
          <w:rFonts w:eastAsia="Times New Roman" w:cs="Times New Roman"/>
          <w:b/>
          <w:bCs/>
          <w:szCs w:val="24"/>
          <w:lang w:eastAsia="en-GB"/>
        </w:rPr>
        <w:br/>
      </w:r>
      <w:r w:rsidRPr="00E80F45">
        <w:rPr>
          <w:rFonts w:eastAsia="Calibri" w:cs="Times New Roman"/>
          <w:b/>
          <w:noProof/>
          <w:szCs w:val="24"/>
        </w:rPr>
        <w:t xml:space="preserve">2021 Report on North Macedonia </w:t>
      </w:r>
    </w:p>
    <w:bookmarkEnd w:id="0"/>
    <w:p w:rsidR="00E80F45" w:rsidRPr="00E80F45" w:rsidRDefault="00E80F45" w:rsidP="00E80F45">
      <w:pPr>
        <w:spacing w:after="240" w:line="240" w:lineRule="auto"/>
        <w:jc w:val="both"/>
        <w:rPr>
          <w:rFonts w:eastAsia="Times New Roman" w:cs="Times New Roman"/>
          <w:i/>
          <w:szCs w:val="24"/>
          <w:lang w:val="fr-BE" w:eastAsia="en-GB"/>
        </w:rPr>
      </w:pPr>
      <w:r w:rsidRPr="00E80F45">
        <w:rPr>
          <w:rFonts w:eastAsia="Times New Roman" w:cs="Times New Roman"/>
          <w:b/>
          <w:szCs w:val="24"/>
          <w:lang w:val="fr-BE" w:eastAsia="en-GB"/>
        </w:rPr>
        <w:t>1.</w:t>
      </w:r>
      <w:r w:rsidRPr="00E80F45">
        <w:rPr>
          <w:rFonts w:eastAsia="Times New Roman" w:cs="Times New Roman"/>
          <w:b/>
          <w:szCs w:val="24"/>
          <w:lang w:val="fr-BE" w:eastAsia="en-GB"/>
        </w:rPr>
        <w:tab/>
        <w:t>Rapporteur:</w:t>
      </w:r>
      <w:r w:rsidRPr="00E80F45">
        <w:rPr>
          <w:rFonts w:eastAsia="Times New Roman" w:cs="Times New Roman"/>
          <w:szCs w:val="24"/>
          <w:lang w:val="fr-BE" w:eastAsia="en-GB"/>
        </w:rPr>
        <w:t xml:space="preserve"> </w:t>
      </w:r>
      <w:r w:rsidRPr="00E80F45">
        <w:rPr>
          <w:rFonts w:eastAsia="Calibri" w:cs="Times New Roman"/>
          <w:noProof/>
          <w:szCs w:val="24"/>
          <w:lang w:val="fr-BE" w:eastAsia="en-GB"/>
        </w:rPr>
        <w:t>Ilhan KYUCHYUK</w:t>
      </w:r>
      <w:r w:rsidRPr="00E80F45">
        <w:rPr>
          <w:rFonts w:eastAsia="Times New Roman" w:cs="Times New Roman"/>
          <w:szCs w:val="24"/>
          <w:lang w:val="fr-BE" w:eastAsia="en-GB"/>
        </w:rPr>
        <w:t xml:space="preserve"> (Renew / BG)</w:t>
      </w:r>
    </w:p>
    <w:p w:rsidR="00E80F45" w:rsidRPr="00E80F45" w:rsidRDefault="00E80F45" w:rsidP="00E80F45">
      <w:pPr>
        <w:spacing w:after="240" w:line="240" w:lineRule="auto"/>
        <w:jc w:val="both"/>
        <w:rPr>
          <w:rFonts w:eastAsia="Times New Roman" w:cs="Times New Roman"/>
          <w:i/>
          <w:szCs w:val="24"/>
          <w:lang w:eastAsia="en-GB"/>
        </w:rPr>
      </w:pPr>
      <w:r w:rsidRPr="00E80F45">
        <w:rPr>
          <w:rFonts w:eastAsia="Times New Roman" w:cs="Times New Roman"/>
          <w:b/>
          <w:szCs w:val="24"/>
          <w:lang w:eastAsia="en-GB"/>
        </w:rPr>
        <w:t>2.</w:t>
      </w:r>
      <w:r w:rsidRPr="00E80F45">
        <w:rPr>
          <w:rFonts w:eastAsia="Times New Roman" w:cs="Times New Roman"/>
          <w:b/>
          <w:szCs w:val="24"/>
          <w:lang w:eastAsia="en-GB"/>
        </w:rPr>
        <w:tab/>
        <w:t xml:space="preserve">Reference number: </w:t>
      </w:r>
      <w:r w:rsidRPr="00E80F45">
        <w:rPr>
          <w:rFonts w:eastAsia="Calibri" w:cs="Times New Roman"/>
          <w:noProof/>
          <w:szCs w:val="24"/>
        </w:rPr>
        <w:t xml:space="preserve">2021/2248 (INI) </w:t>
      </w:r>
      <w:r w:rsidRPr="00E80F45">
        <w:rPr>
          <w:rFonts w:eastAsia="Times New Roman" w:cs="Times New Roman"/>
          <w:szCs w:val="20"/>
          <w:lang w:eastAsia="en-GB"/>
        </w:rPr>
        <w:t xml:space="preserve">/ </w:t>
      </w:r>
      <w:r w:rsidRPr="00E80F45">
        <w:rPr>
          <w:rFonts w:eastAsia="Calibri" w:cs="Times New Roman"/>
          <w:noProof/>
          <w:szCs w:val="24"/>
          <w:lang w:eastAsia="en-GB"/>
        </w:rPr>
        <w:t>A9-0133/2022</w:t>
      </w:r>
      <w:r w:rsidRPr="00E80F45">
        <w:rPr>
          <w:rFonts w:eastAsia="Calibri" w:cs="Times New Roman"/>
          <w:szCs w:val="24"/>
          <w:lang w:eastAsia="en-GB"/>
        </w:rPr>
        <w:t xml:space="preserve"> </w:t>
      </w:r>
      <w:r w:rsidRPr="00E80F45">
        <w:rPr>
          <w:rFonts w:eastAsia="Times New Roman" w:cs="Times New Roman"/>
          <w:szCs w:val="20"/>
          <w:lang w:eastAsia="en-GB"/>
        </w:rPr>
        <w:t>/ T9-0213/2022</w:t>
      </w:r>
    </w:p>
    <w:p w:rsidR="00E80F45" w:rsidRPr="00E80F45" w:rsidRDefault="00E80F45" w:rsidP="00E80F45">
      <w:pPr>
        <w:spacing w:after="240" w:line="240" w:lineRule="auto"/>
        <w:jc w:val="both"/>
        <w:rPr>
          <w:rFonts w:eastAsia="Times New Roman" w:cs="Times New Roman"/>
          <w:szCs w:val="24"/>
          <w:lang w:eastAsia="en-GB"/>
        </w:rPr>
      </w:pPr>
      <w:r w:rsidRPr="00E80F45">
        <w:rPr>
          <w:rFonts w:eastAsia="Times New Roman" w:cs="Times New Roman"/>
          <w:b/>
          <w:szCs w:val="24"/>
          <w:lang w:eastAsia="en-GB"/>
        </w:rPr>
        <w:t>3.</w:t>
      </w:r>
      <w:r w:rsidRPr="00E80F45">
        <w:rPr>
          <w:rFonts w:eastAsia="Times New Roman" w:cs="Times New Roman"/>
          <w:b/>
          <w:szCs w:val="24"/>
          <w:lang w:eastAsia="en-GB"/>
        </w:rPr>
        <w:tab/>
        <w:t>Date of adoption of the resolution:</w:t>
      </w:r>
      <w:r w:rsidRPr="00E80F45">
        <w:rPr>
          <w:rFonts w:eastAsia="Times New Roman" w:cs="Times New Roman"/>
          <w:szCs w:val="24"/>
          <w:lang w:eastAsia="en-GB"/>
        </w:rPr>
        <w:t xml:space="preserve"> </w:t>
      </w:r>
      <w:r w:rsidRPr="00E80F45">
        <w:rPr>
          <w:rFonts w:eastAsia="Calibri" w:cs="Times New Roman"/>
          <w:noProof/>
          <w:szCs w:val="24"/>
          <w:lang w:eastAsia="en-GB"/>
        </w:rPr>
        <w:t>19 May 2022</w:t>
      </w:r>
    </w:p>
    <w:p w:rsidR="00E80F45" w:rsidRPr="00E80F45" w:rsidRDefault="00E80F45" w:rsidP="00E80F45">
      <w:pPr>
        <w:spacing w:after="240" w:line="240" w:lineRule="auto"/>
        <w:jc w:val="both"/>
        <w:rPr>
          <w:rFonts w:eastAsia="Times New Roman" w:cs="Times New Roman"/>
          <w:i/>
          <w:szCs w:val="24"/>
          <w:lang w:eastAsia="en-GB"/>
        </w:rPr>
      </w:pPr>
      <w:r w:rsidRPr="00E80F45">
        <w:rPr>
          <w:rFonts w:eastAsia="Times New Roman" w:cs="Times New Roman"/>
          <w:b/>
          <w:szCs w:val="24"/>
          <w:lang w:eastAsia="en-GB"/>
        </w:rPr>
        <w:t>4.</w:t>
      </w:r>
      <w:r w:rsidRPr="00E80F45">
        <w:rPr>
          <w:rFonts w:eastAsia="Times New Roman" w:cs="Times New Roman"/>
          <w:b/>
          <w:szCs w:val="24"/>
          <w:lang w:eastAsia="en-GB"/>
        </w:rPr>
        <w:tab/>
        <w:t xml:space="preserve">Competent Parliamentary Committee: </w:t>
      </w:r>
      <w:r w:rsidRPr="00E80F45">
        <w:rPr>
          <w:rFonts w:eastAsia="Times New Roman" w:cs="Times New Roman"/>
          <w:szCs w:val="24"/>
          <w:lang w:eastAsia="en-GB"/>
        </w:rPr>
        <w:t>Committee on Foreign Affairs (AFET)</w:t>
      </w:r>
    </w:p>
    <w:p w:rsidR="00E80F45" w:rsidRPr="00E80F45" w:rsidRDefault="00E80F45" w:rsidP="00E80F45">
      <w:pPr>
        <w:widowControl w:val="0"/>
        <w:spacing w:after="240" w:line="240" w:lineRule="auto"/>
        <w:jc w:val="both"/>
        <w:rPr>
          <w:rFonts w:eastAsia="Times New Roman" w:cs="Times New Roman"/>
          <w:b/>
          <w:szCs w:val="24"/>
          <w:lang w:eastAsia="en-GB"/>
        </w:rPr>
      </w:pPr>
      <w:r w:rsidRPr="00E80F45">
        <w:rPr>
          <w:rFonts w:eastAsia="Times New Roman" w:cs="Times New Roman"/>
          <w:b/>
          <w:szCs w:val="24"/>
          <w:lang w:eastAsia="en-GB"/>
        </w:rPr>
        <w:t>5.</w:t>
      </w:r>
      <w:r w:rsidRPr="00E80F45">
        <w:rPr>
          <w:rFonts w:eastAsia="Times New Roman" w:cs="Times New Roman"/>
          <w:b/>
          <w:szCs w:val="24"/>
          <w:lang w:eastAsia="en-GB"/>
        </w:rPr>
        <w:tab/>
        <w:t xml:space="preserve">Brief analysis/assessment of the resolution and requests made in it: </w:t>
      </w:r>
    </w:p>
    <w:p w:rsidR="00E80F45" w:rsidRPr="00E80F45" w:rsidRDefault="00E80F45" w:rsidP="00E80F45">
      <w:pPr>
        <w:widowControl w:val="0"/>
        <w:spacing w:after="120" w:line="240" w:lineRule="auto"/>
        <w:jc w:val="both"/>
        <w:rPr>
          <w:rFonts w:eastAsia="Times New Roman" w:cs="Times New Roman"/>
          <w:spacing w:val="-6"/>
          <w:szCs w:val="24"/>
          <w:lang w:eastAsia="de-AT"/>
        </w:rPr>
      </w:pPr>
      <w:r w:rsidRPr="00E80F45">
        <w:rPr>
          <w:rFonts w:eastAsia="Times New Roman" w:cs="Times New Roman"/>
          <w:spacing w:val="-6"/>
          <w:szCs w:val="24"/>
          <w:lang w:eastAsia="de-AT"/>
        </w:rPr>
        <w:t>T</w:t>
      </w:r>
      <w:r w:rsidRPr="00E80F45">
        <w:rPr>
          <w:rFonts w:eastAsia="Times New Roman" w:cs="Times New Roman"/>
          <w:spacing w:val="-6"/>
          <w:szCs w:val="24"/>
          <w:lang w:val="en-US" w:eastAsia="de-AT"/>
        </w:rPr>
        <w:t>he resolution on North Macedonia on the 2021 Commission report on North Macedonia supports the official launch of accession negotiations with the country as soon as possible. It ‘</w:t>
      </w:r>
      <w:r w:rsidRPr="00E80F45">
        <w:rPr>
          <w:rFonts w:eastAsia="Times New Roman" w:cs="Times New Roman"/>
          <w:i/>
          <w:spacing w:val="-6"/>
          <w:szCs w:val="24"/>
          <w:lang w:val="en-US" w:eastAsia="de-AT"/>
        </w:rPr>
        <w:t>r</w:t>
      </w:r>
      <w:r w:rsidRPr="00E80F45">
        <w:rPr>
          <w:rFonts w:eastAsia="Times New Roman" w:cs="Times New Roman"/>
          <w:i/>
          <w:spacing w:val="-6"/>
          <w:szCs w:val="24"/>
          <w:lang w:eastAsia="de-AT"/>
        </w:rPr>
        <w:t>egrets the Council’s failure to officially open long overdue accession negotiations’</w:t>
      </w:r>
      <w:r w:rsidRPr="00E80F45">
        <w:rPr>
          <w:rFonts w:eastAsia="Times New Roman" w:cs="Times New Roman"/>
          <w:spacing w:val="-6"/>
          <w:szCs w:val="24"/>
          <w:lang w:eastAsia="de-AT"/>
        </w:rPr>
        <w:t>. The European Parliament considers that this poses a ‘</w:t>
      </w:r>
      <w:r w:rsidRPr="00E80F45">
        <w:rPr>
          <w:rFonts w:eastAsia="Times New Roman" w:cs="Times New Roman"/>
          <w:i/>
          <w:spacing w:val="-6"/>
          <w:szCs w:val="24"/>
          <w:lang w:eastAsia="de-AT"/>
        </w:rPr>
        <w:t>serious danger to enlargement policy as a whole’</w:t>
      </w:r>
      <w:r w:rsidRPr="00E80F45">
        <w:rPr>
          <w:rFonts w:eastAsia="Times New Roman" w:cs="Times New Roman"/>
          <w:spacing w:val="-6"/>
          <w:szCs w:val="24"/>
          <w:lang w:eastAsia="de-AT"/>
        </w:rPr>
        <w:t xml:space="preserve"> and is ‘</w:t>
      </w:r>
      <w:r w:rsidRPr="00E80F45">
        <w:rPr>
          <w:rFonts w:eastAsia="Times New Roman" w:cs="Times New Roman"/>
          <w:i/>
          <w:spacing w:val="-6"/>
          <w:szCs w:val="24"/>
          <w:lang w:eastAsia="de-AT"/>
        </w:rPr>
        <w:t>damaging to the EU’s reputation as a reliable partner and serious geopolitical actor’</w:t>
      </w:r>
      <w:r w:rsidRPr="00E80F45">
        <w:rPr>
          <w:rFonts w:eastAsia="Times New Roman" w:cs="Times New Roman"/>
          <w:spacing w:val="-6"/>
          <w:szCs w:val="24"/>
          <w:lang w:eastAsia="de-AT"/>
        </w:rPr>
        <w:t>. The resolution ‘</w:t>
      </w:r>
      <w:r w:rsidRPr="00E80F45">
        <w:rPr>
          <w:rFonts w:eastAsia="Times New Roman" w:cs="Times New Roman"/>
          <w:i/>
          <w:spacing w:val="-6"/>
          <w:szCs w:val="24"/>
          <w:lang w:eastAsia="de-AT"/>
        </w:rPr>
        <w:t>urges the Council to demonstrate full political commitment to enlargement and to accelerate the pace and strengthen the credibility of EU integration by officially starting accession negotiations […], especially in the geostrategic context of relations with Russia and its aggression against Ukraine’</w:t>
      </w:r>
      <w:r w:rsidRPr="00E80F45">
        <w:rPr>
          <w:rFonts w:eastAsia="Times New Roman" w:cs="Times New Roman"/>
          <w:spacing w:val="-6"/>
          <w:szCs w:val="24"/>
          <w:lang w:eastAsia="de-AT"/>
        </w:rPr>
        <w:t xml:space="preserve">. </w:t>
      </w:r>
      <w:r w:rsidRPr="00E80F45">
        <w:rPr>
          <w:rFonts w:eastAsia="Times New Roman" w:cs="Times New Roman"/>
          <w:spacing w:val="-6"/>
          <w:szCs w:val="24"/>
          <w:lang w:val="en-US" w:eastAsia="de-AT"/>
        </w:rPr>
        <w:t xml:space="preserve">Concerning EU related reforms, it compliments North Macedonia on its continuous efforts to strengthen the rule of law, judicial independence and minority rights, counter corruption and </w:t>
      </w:r>
      <w:r w:rsidRPr="00E80F45">
        <w:rPr>
          <w:rFonts w:eastAsia="Times New Roman" w:cs="Times New Roman"/>
          <w:spacing w:val="-6"/>
          <w:szCs w:val="24"/>
          <w:lang w:eastAsia="de-AT"/>
        </w:rPr>
        <w:t>organised crime</w:t>
      </w:r>
      <w:r w:rsidRPr="00E80F45">
        <w:rPr>
          <w:rFonts w:eastAsia="Times New Roman" w:cs="Times New Roman"/>
          <w:spacing w:val="-6"/>
          <w:szCs w:val="24"/>
          <w:lang w:val="en-US" w:eastAsia="de-AT"/>
        </w:rPr>
        <w:t xml:space="preserve">, reform its public administration and consolidate media freedom. It encourages the country to sustain and intensify these efforts. </w:t>
      </w:r>
      <w:r w:rsidRPr="00E80F45">
        <w:rPr>
          <w:rFonts w:eastAsia="Times New Roman" w:cs="Times New Roman"/>
          <w:spacing w:val="-6"/>
          <w:szCs w:val="24"/>
          <w:lang w:eastAsia="de-AT"/>
        </w:rPr>
        <w:t xml:space="preserve">It commends the swift alignment of North Macedonia with the sanctions imposed in the context of the Russian aggression, thereby reaching 100% alignment with the </w:t>
      </w:r>
      <w:r w:rsidRPr="00E80F45">
        <w:rPr>
          <w:rFonts w:eastAsia="Times New Roman" w:cs="Times New Roman"/>
          <w:bCs/>
          <w:spacing w:val="-6"/>
          <w:szCs w:val="24"/>
          <w:lang w:eastAsia="de-AT"/>
        </w:rPr>
        <w:t xml:space="preserve">Common foreign and security policy </w:t>
      </w:r>
      <w:r w:rsidRPr="00E80F45">
        <w:rPr>
          <w:rFonts w:eastAsia="Times New Roman" w:cs="Times New Roman"/>
          <w:spacing w:val="-6"/>
          <w:szCs w:val="24"/>
          <w:lang w:eastAsia="de-AT"/>
        </w:rPr>
        <w:t>(CFSP).</w:t>
      </w:r>
    </w:p>
    <w:p w:rsidR="00E80F45" w:rsidRPr="00E80F45" w:rsidRDefault="00E80F45" w:rsidP="00E80F45">
      <w:pPr>
        <w:widowControl w:val="0"/>
        <w:spacing w:after="120" w:line="240" w:lineRule="auto"/>
        <w:jc w:val="both"/>
        <w:rPr>
          <w:rFonts w:eastAsia="Times New Roman" w:cs="Times New Roman"/>
          <w:spacing w:val="-6"/>
          <w:szCs w:val="24"/>
          <w:lang w:eastAsia="de-AT"/>
        </w:rPr>
      </w:pPr>
      <w:r w:rsidRPr="00E80F45">
        <w:rPr>
          <w:rFonts w:eastAsia="Times New Roman" w:cs="Times New Roman"/>
          <w:spacing w:val="-6"/>
          <w:szCs w:val="24"/>
          <w:lang w:eastAsia="de-AT"/>
        </w:rPr>
        <w:t>The resolution welcomes the process of strengthening good neighbourly relations with neighbouring countries and enhancing regional cooperation.</w:t>
      </w:r>
      <w:r w:rsidRPr="00E80F45">
        <w:rPr>
          <w:rFonts w:eastAsia="Times New Roman" w:cs="Times New Roman"/>
          <w:i/>
          <w:spacing w:val="-6"/>
          <w:szCs w:val="24"/>
          <w:lang w:eastAsia="de-AT"/>
        </w:rPr>
        <w:t xml:space="preserve"> </w:t>
      </w:r>
      <w:r w:rsidRPr="00E80F45">
        <w:rPr>
          <w:rFonts w:eastAsia="Times New Roman" w:cs="Times New Roman"/>
          <w:spacing w:val="-6"/>
          <w:szCs w:val="24"/>
          <w:lang w:val="en-US" w:eastAsia="de-AT"/>
        </w:rPr>
        <w:t>Concerning pending bilateral issues, the resolution ‘</w:t>
      </w:r>
      <w:r w:rsidRPr="00E80F45">
        <w:rPr>
          <w:rFonts w:eastAsia="Times New Roman" w:cs="Times New Roman"/>
          <w:bCs/>
          <w:i/>
          <w:spacing w:val="-6"/>
          <w:szCs w:val="24"/>
          <w:lang w:eastAsia="de-AT"/>
        </w:rPr>
        <w:t>encourages Bulgaria and North Macedonia to solve their cultural historical dispute separately from North Macedonia’s accession process’</w:t>
      </w:r>
      <w:r w:rsidRPr="00E80F45">
        <w:rPr>
          <w:rFonts w:eastAsia="Times New Roman" w:cs="Times New Roman"/>
          <w:bCs/>
          <w:spacing w:val="-6"/>
          <w:szCs w:val="24"/>
          <w:lang w:eastAsia="de-AT"/>
        </w:rPr>
        <w:t xml:space="preserve">. </w:t>
      </w:r>
      <w:r w:rsidRPr="00E80F45">
        <w:rPr>
          <w:rFonts w:eastAsia="Times New Roman" w:cs="Times New Roman"/>
          <w:spacing w:val="-6"/>
          <w:szCs w:val="24"/>
          <w:lang w:eastAsia="de-AT"/>
        </w:rPr>
        <w:t>Paragraphs 79 and 80 refer to the pending bilateral issues, including references to textbooks and history. In its 2021 enlargement package</w:t>
      </w:r>
      <w:r w:rsidRPr="00E80F45">
        <w:rPr>
          <w:rFonts w:eastAsia="Times New Roman" w:cs="Times New Roman"/>
          <w:spacing w:val="-6"/>
          <w:szCs w:val="24"/>
          <w:vertAlign w:val="superscript"/>
          <w:lang w:eastAsia="de-AT"/>
        </w:rPr>
        <w:footnoteReference w:id="1"/>
      </w:r>
      <w:r w:rsidRPr="00E80F45">
        <w:rPr>
          <w:rFonts w:eastAsia="Times New Roman" w:cs="Times New Roman"/>
          <w:spacing w:val="-6"/>
          <w:szCs w:val="24"/>
          <w:lang w:eastAsia="de-AT"/>
        </w:rPr>
        <w:t>, the Commission encouraged both sides to find a mutually acceptable solution to the pending bilateral issues as a matter of priority. Existing bilateral agreements, including the Prespa agreement between North Macedonia and Greece as well as the Treaty of Friendship, Good Neighbourliness and Cooperation with Bulgaria, need to be implemented in good faith by all sides.</w:t>
      </w:r>
    </w:p>
    <w:p w:rsidR="00E80F45" w:rsidRPr="00E80F45" w:rsidRDefault="00E80F45" w:rsidP="00E80F45">
      <w:pPr>
        <w:widowControl w:val="0"/>
        <w:spacing w:after="120" w:line="240" w:lineRule="auto"/>
        <w:jc w:val="both"/>
        <w:rPr>
          <w:rFonts w:eastAsia="Times New Roman" w:cs="Times New Roman"/>
          <w:szCs w:val="24"/>
          <w:lang w:eastAsia="en-GB"/>
        </w:rPr>
      </w:pPr>
      <w:r w:rsidRPr="00E80F45">
        <w:rPr>
          <w:rFonts w:eastAsia="Times New Roman" w:cs="Times New Roman"/>
          <w:spacing w:val="-6"/>
          <w:szCs w:val="24"/>
          <w:lang w:eastAsia="de-AT"/>
        </w:rPr>
        <w:t>The resolution ‘</w:t>
      </w:r>
      <w:r w:rsidRPr="00E80F45">
        <w:rPr>
          <w:rFonts w:eastAsia="Times New Roman" w:cs="Times New Roman"/>
          <w:i/>
          <w:spacing w:val="-6"/>
          <w:szCs w:val="24"/>
          <w:lang w:eastAsia="de-AT"/>
        </w:rPr>
        <w:t xml:space="preserve">urges the Commission to implement the recommendations of the European Court of Auditors Special Report 01/2022 to ensure the effective rule-of-law impact of financial assistance in the Western Balkans, including in North Macedonia’ </w:t>
      </w:r>
      <w:r w:rsidRPr="00E80F45">
        <w:rPr>
          <w:rFonts w:eastAsia="Times New Roman" w:cs="Times New Roman"/>
          <w:spacing w:val="-6"/>
          <w:szCs w:val="24"/>
          <w:lang w:eastAsia="de-AT"/>
        </w:rPr>
        <w:t>(paragraph 42</w:t>
      </w:r>
      <w:r w:rsidRPr="00E80F45">
        <w:rPr>
          <w:rFonts w:eastAsia="Times New Roman" w:cs="Times New Roman"/>
          <w:i/>
          <w:spacing w:val="-6"/>
          <w:szCs w:val="24"/>
          <w:lang w:eastAsia="de-AT"/>
        </w:rPr>
        <w:t xml:space="preserve">). </w:t>
      </w:r>
      <w:r w:rsidRPr="00E80F45">
        <w:rPr>
          <w:rFonts w:eastAsia="Times New Roman" w:cs="Times New Roman"/>
          <w:spacing w:val="-6"/>
          <w:szCs w:val="24"/>
          <w:lang w:eastAsia="de-AT"/>
        </w:rPr>
        <w:t>It encourages the Commission to offer full support to the country ‘</w:t>
      </w:r>
      <w:r w:rsidRPr="00E80F45">
        <w:rPr>
          <w:rFonts w:eastAsia="Times New Roman" w:cs="Times New Roman"/>
          <w:i/>
          <w:spacing w:val="-6"/>
          <w:szCs w:val="24"/>
          <w:lang w:eastAsia="de-AT"/>
        </w:rPr>
        <w:t>in drafting and implementing an action plan intended to reduce dependence on energy sources imported by Russia, with the aim of increasing resilience and energy security, as well as enabling it to meet EU aspirations for climate neutrality</w:t>
      </w:r>
      <w:r w:rsidRPr="00E80F45">
        <w:rPr>
          <w:rFonts w:eastAsia="Times New Roman" w:cs="Times New Roman"/>
          <w:spacing w:val="-6"/>
          <w:szCs w:val="24"/>
          <w:lang w:eastAsia="de-AT"/>
        </w:rPr>
        <w:t>’ (paragraph 65). Concerning pending bilateral issues between Bulgaria and North Macedonia, it calls also on the Commission ‘</w:t>
      </w:r>
      <w:r w:rsidRPr="00E80F45">
        <w:rPr>
          <w:rFonts w:eastAsia="Times New Roman" w:cs="Times New Roman"/>
          <w:i/>
          <w:spacing w:val="-6"/>
          <w:szCs w:val="24"/>
          <w:lang w:eastAsia="de-AT"/>
        </w:rPr>
        <w:t>to step up its efforts to facilitate dialogue, and thus pave the way for a viable and sustainable agreement’</w:t>
      </w:r>
      <w:r w:rsidRPr="00E80F45">
        <w:rPr>
          <w:rFonts w:eastAsia="Times New Roman" w:cs="Times New Roman"/>
          <w:spacing w:val="-6"/>
          <w:szCs w:val="24"/>
          <w:lang w:eastAsia="de-AT"/>
        </w:rPr>
        <w:t xml:space="preserve"> (paragraph 74).</w:t>
      </w:r>
    </w:p>
    <w:p w:rsidR="00E80F45" w:rsidRPr="00E80F45" w:rsidRDefault="00E80F45" w:rsidP="00E80F45">
      <w:pPr>
        <w:keepNext/>
        <w:keepLines/>
        <w:widowControl w:val="0"/>
        <w:spacing w:after="240" w:line="240" w:lineRule="auto"/>
        <w:ind w:left="720" w:hanging="720"/>
        <w:jc w:val="both"/>
        <w:rPr>
          <w:rFonts w:eastAsia="Times New Roman" w:cs="Times New Roman"/>
          <w:b/>
          <w:szCs w:val="24"/>
          <w:lang w:eastAsia="en-GB"/>
        </w:rPr>
      </w:pPr>
      <w:r w:rsidRPr="00E80F45">
        <w:rPr>
          <w:rFonts w:eastAsia="Times New Roman" w:cs="Times New Roman"/>
          <w:b/>
          <w:szCs w:val="24"/>
          <w:lang w:eastAsia="en-GB"/>
        </w:rPr>
        <w:lastRenderedPageBreak/>
        <w:t>6.</w:t>
      </w:r>
      <w:r w:rsidRPr="00E80F45">
        <w:rPr>
          <w:rFonts w:eastAsia="Times New Roman" w:cs="Times New Roman"/>
          <w:b/>
          <w:szCs w:val="24"/>
          <w:lang w:eastAsia="en-GB"/>
        </w:rPr>
        <w:tab/>
        <w:t>Response to requests and overview of action taken, or intended to be taken, by the Commission:</w:t>
      </w:r>
    </w:p>
    <w:p w:rsidR="00E80F45" w:rsidRPr="00E80F45" w:rsidRDefault="00E80F45" w:rsidP="00E80F45">
      <w:pPr>
        <w:keepNext/>
        <w:keepLines/>
        <w:spacing w:after="120" w:line="240" w:lineRule="auto"/>
        <w:jc w:val="both"/>
        <w:rPr>
          <w:rFonts w:eastAsia="Times New Roman" w:cs="Times New Roman"/>
          <w:b/>
          <w:bCs/>
          <w:i/>
          <w:iCs/>
          <w:szCs w:val="24"/>
          <w:lang w:eastAsia="en-GB"/>
        </w:rPr>
      </w:pPr>
      <w:r w:rsidRPr="00E80F45">
        <w:rPr>
          <w:rFonts w:eastAsia="Times New Roman" w:cs="Times New Roman"/>
          <w:bCs/>
          <w:iCs/>
          <w:szCs w:val="24"/>
          <w:lang w:eastAsia="en-GB"/>
        </w:rPr>
        <w:t>Concerning paragraph 42, t</w:t>
      </w:r>
      <w:r w:rsidRPr="00E80F45">
        <w:rPr>
          <w:rFonts w:eastAsia="Times New Roman" w:cs="Times New Roman"/>
          <w:szCs w:val="24"/>
          <w:lang w:val="en-IE" w:eastAsia="en-GB"/>
        </w:rPr>
        <w:t>he Commission welcomes the report of the European Court of Auditors on the EU support for the rule of law in the Western Balkans. The rule of law remains the cornerstone of the accession process. The Commission will continue to engage with Western Balkans’ authorities and other relevant actors to take this work forward. The Commission will also continue to monitor the developments on a regular basis, as part of the accession process, and provide recommendations on actions needed.</w:t>
      </w:r>
    </w:p>
    <w:p w:rsidR="00E80F45" w:rsidRPr="00E80F45" w:rsidRDefault="00E80F45" w:rsidP="00E80F45">
      <w:pPr>
        <w:spacing w:after="120" w:line="240" w:lineRule="auto"/>
        <w:contextualSpacing/>
        <w:jc w:val="both"/>
        <w:rPr>
          <w:rFonts w:eastAsia="Calibri" w:cs="Times New Roman"/>
          <w:szCs w:val="24"/>
        </w:rPr>
      </w:pPr>
      <w:r w:rsidRPr="00E80F45">
        <w:rPr>
          <w:rFonts w:eastAsia="Calibri" w:cs="Times New Roman"/>
          <w:szCs w:val="24"/>
          <w:lang w:val="en-IE" w:eastAsia="en-GB"/>
        </w:rPr>
        <w:t>Concerning paragraph 65, t</w:t>
      </w:r>
      <w:r w:rsidRPr="00E80F45">
        <w:rPr>
          <w:rFonts w:eastAsia="Calibri" w:cs="Times New Roman"/>
          <w:szCs w:val="24"/>
        </w:rPr>
        <w:t>he Commission will continue to support North Macedonia, through technical and financial assistance, to diversify the energy resources and reduce dependencies, including through the Economic and Investment Plan and the Green Agenda.</w:t>
      </w:r>
    </w:p>
    <w:p w:rsidR="00F36993" w:rsidRDefault="00E80F45" w:rsidP="00E80F45">
      <w:r w:rsidRPr="00E80F45">
        <w:rPr>
          <w:rFonts w:eastAsia="Times New Roman" w:cs="Times New Roman"/>
          <w:szCs w:val="24"/>
          <w:lang w:eastAsia="en-GB"/>
        </w:rPr>
        <w:t>Concerning paragraph 74, the Commission will continue to support both Bulgaria and North Macedonia to find a mutually acceptable solution to the pending bilateral issues</w:t>
      </w:r>
    </w:p>
    <w:sectPr w:rsidR="00F3699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45" w:rsidRDefault="00E80F45" w:rsidP="00E80F45">
      <w:pPr>
        <w:spacing w:after="0" w:line="240" w:lineRule="auto"/>
      </w:pPr>
      <w:r>
        <w:separator/>
      </w:r>
    </w:p>
  </w:endnote>
  <w:endnote w:type="continuationSeparator" w:id="0">
    <w:p w:rsidR="00E80F45" w:rsidRDefault="00E80F45" w:rsidP="00E8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12128"/>
      <w:docPartObj>
        <w:docPartGallery w:val="Page Numbers (Bottom of Page)"/>
        <w:docPartUnique/>
      </w:docPartObj>
    </w:sdtPr>
    <w:sdtEndPr>
      <w:rPr>
        <w:noProof/>
      </w:rPr>
    </w:sdtEndPr>
    <w:sdtContent>
      <w:p w:rsidR="00505D5C" w:rsidRDefault="00505D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5D5C" w:rsidRDefault="00505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45" w:rsidRDefault="00E80F45" w:rsidP="00E80F45">
      <w:pPr>
        <w:spacing w:after="0" w:line="240" w:lineRule="auto"/>
      </w:pPr>
      <w:r>
        <w:separator/>
      </w:r>
    </w:p>
  </w:footnote>
  <w:footnote w:type="continuationSeparator" w:id="0">
    <w:p w:rsidR="00E80F45" w:rsidRDefault="00E80F45" w:rsidP="00E80F45">
      <w:pPr>
        <w:spacing w:after="0" w:line="240" w:lineRule="auto"/>
      </w:pPr>
      <w:r>
        <w:continuationSeparator/>
      </w:r>
    </w:p>
  </w:footnote>
  <w:footnote w:id="1">
    <w:p w:rsidR="00E80F45" w:rsidRPr="00886124" w:rsidRDefault="00E80F45" w:rsidP="007779D0">
      <w:pPr>
        <w:pStyle w:val="FootnoteText"/>
        <w:tabs>
          <w:tab w:val="left" w:pos="284"/>
        </w:tabs>
        <w:rPr>
          <w:sz w:val="18"/>
          <w:szCs w:val="18"/>
          <w:lang w:val="fr-BE"/>
        </w:rPr>
      </w:pPr>
      <w:r w:rsidRPr="00886124">
        <w:rPr>
          <w:rStyle w:val="FootnoteReference"/>
          <w:sz w:val="18"/>
          <w:szCs w:val="18"/>
        </w:rPr>
        <w:footnoteRef/>
      </w:r>
      <w:r w:rsidRPr="00886124">
        <w:rPr>
          <w:sz w:val="18"/>
          <w:szCs w:val="18"/>
        </w:rPr>
        <w:t xml:space="preserve"> </w:t>
      </w:r>
      <w:r>
        <w:rPr>
          <w:sz w:val="18"/>
          <w:szCs w:val="18"/>
        </w:rPr>
        <w:tab/>
      </w:r>
      <w:r w:rsidRPr="003071C3">
        <w:rPr>
          <w:lang w:val="fr-BE"/>
        </w:rPr>
        <w:t>COM(2021)644 final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45"/>
    <w:rsid w:val="000F15F1"/>
    <w:rsid w:val="001E37D4"/>
    <w:rsid w:val="00505D5C"/>
    <w:rsid w:val="00512EE8"/>
    <w:rsid w:val="0065281F"/>
    <w:rsid w:val="0076069D"/>
    <w:rsid w:val="007779D0"/>
    <w:rsid w:val="00815B75"/>
    <w:rsid w:val="008342CE"/>
    <w:rsid w:val="0095347B"/>
    <w:rsid w:val="00AF5B02"/>
    <w:rsid w:val="00E80F45"/>
    <w:rsid w:val="00EF1DA5"/>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C4CE-6A7C-483F-9F98-63FCC40E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0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F45"/>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80F45"/>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80F45"/>
    <w:pPr>
      <w:spacing w:line="240" w:lineRule="exact"/>
    </w:pPr>
    <w:rPr>
      <w:vertAlign w:val="superscript"/>
    </w:rPr>
  </w:style>
  <w:style w:type="paragraph" w:styleId="Header">
    <w:name w:val="header"/>
    <w:basedOn w:val="Normal"/>
    <w:link w:val="HeaderChar"/>
    <w:uiPriority w:val="99"/>
    <w:unhideWhenUsed/>
    <w:rsid w:val="00505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5C"/>
  </w:style>
  <w:style w:type="paragraph" w:styleId="Footer">
    <w:name w:val="footer"/>
    <w:basedOn w:val="Normal"/>
    <w:link w:val="FooterChar"/>
    <w:uiPriority w:val="99"/>
    <w:unhideWhenUsed/>
    <w:rsid w:val="00505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3776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3</cp:revision>
  <dcterms:created xsi:type="dcterms:W3CDTF">2022-07-19T11:05:00Z</dcterms:created>
  <dcterms:modified xsi:type="dcterms:W3CDTF">2022-07-19T11:07:00Z</dcterms:modified>
</cp:coreProperties>
</file>