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AF" w:rsidRPr="009B1FF1" w:rsidRDefault="00FE0FAF" w:rsidP="00FE0FAF">
      <w:pPr>
        <w:spacing w:after="240"/>
        <w:jc w:val="center"/>
      </w:pPr>
      <w:r w:rsidRPr="009B1FF1">
        <w:rPr>
          <w:b/>
        </w:rPr>
        <w:t xml:space="preserve">ORDINARY LEGISLATIVE </w:t>
      </w:r>
      <w:r w:rsidRPr="009B1FF1">
        <w:rPr>
          <w:b/>
          <w:caps/>
        </w:rPr>
        <w:t>procedure</w:t>
      </w:r>
      <w:r w:rsidRPr="009B1FF1">
        <w:rPr>
          <w:b/>
        </w:rPr>
        <w:t xml:space="preserve"> – First reading</w:t>
      </w:r>
    </w:p>
    <w:p w:rsidR="00FE0FAF" w:rsidRPr="00132F1E" w:rsidRDefault="00FE0FAF" w:rsidP="00FE0FAF">
      <w:pPr>
        <w:spacing w:after="600"/>
        <w:jc w:val="center"/>
        <w:rPr>
          <w:b/>
          <w:bCs/>
          <w:shd w:val="clear" w:color="auto" w:fill="FFFFFF"/>
        </w:rPr>
      </w:pPr>
      <w:bookmarkStart w:id="0" w:name="standards"/>
      <w:r w:rsidRPr="00DA51AA">
        <w:rPr>
          <w:b/>
          <w:bCs/>
        </w:rPr>
        <w:t xml:space="preserve">Follow up to the </w:t>
      </w:r>
      <w:r w:rsidRPr="00DA51AA">
        <w:rPr>
          <w:b/>
        </w:rPr>
        <w:t>European Parliament legislative resolution</w:t>
      </w:r>
      <w:r w:rsidRPr="00DA51AA">
        <w:rPr>
          <w:b/>
          <w:bCs/>
        </w:rPr>
        <w:t xml:space="preserve"> </w:t>
      </w:r>
      <w:r w:rsidRPr="00132F1E">
        <w:rPr>
          <w:b/>
          <w:bCs/>
          <w:shd w:val="clear" w:color="auto" w:fill="FFFFFF"/>
        </w:rPr>
        <w:t>on the proposal for a regulation of the European Parliament and of the Council amending Regulation (EU) No 1025/2012 as regards the decisions of European standardisation organisations concerning European standards and European standardisation deliverables</w:t>
      </w:r>
      <w:bookmarkEnd w:id="0"/>
    </w:p>
    <w:p w:rsidR="00FE0FAF" w:rsidRPr="00FE0FAF" w:rsidRDefault="00FE0FAF" w:rsidP="00FE0FAF">
      <w:pPr>
        <w:spacing w:after="240"/>
        <w:ind w:left="567" w:hanging="567"/>
        <w:rPr>
          <w:lang w:val="fr-BE"/>
        </w:rPr>
      </w:pPr>
      <w:r w:rsidRPr="00FE0FAF">
        <w:rPr>
          <w:b/>
          <w:lang w:val="fr-BE"/>
        </w:rPr>
        <w:t>1.</w:t>
      </w:r>
      <w:r w:rsidRPr="00FE0FAF">
        <w:rPr>
          <w:b/>
          <w:lang w:val="fr-BE"/>
        </w:rPr>
        <w:tab/>
        <w:t xml:space="preserve">Rapporteur: </w:t>
      </w:r>
      <w:r w:rsidRPr="00FE0FAF">
        <w:rPr>
          <w:noProof/>
          <w:lang w:val="fr-BE"/>
        </w:rPr>
        <w:t xml:space="preserve">Svenja HAHN </w:t>
      </w:r>
      <w:r w:rsidRPr="00FE0FAF">
        <w:rPr>
          <w:lang w:val="fr-BE"/>
        </w:rPr>
        <w:t>(Renew / DE)</w:t>
      </w:r>
    </w:p>
    <w:p w:rsidR="00FE0FAF" w:rsidRPr="00B37FEC" w:rsidRDefault="00FE0FAF" w:rsidP="00FE0FAF">
      <w:pPr>
        <w:spacing w:after="240"/>
        <w:ind w:left="567" w:hanging="567"/>
        <w:rPr>
          <w:lang w:val="fr-BE"/>
        </w:rPr>
      </w:pPr>
      <w:r w:rsidRPr="00B37FEC">
        <w:rPr>
          <w:b/>
          <w:lang w:val="fr-BE"/>
        </w:rPr>
        <w:t>2.</w:t>
      </w:r>
      <w:r w:rsidRPr="00B37FEC">
        <w:rPr>
          <w:b/>
          <w:lang w:val="fr-BE"/>
        </w:rPr>
        <w:tab/>
        <w:t xml:space="preserve">Reference </w:t>
      </w:r>
      <w:proofErr w:type="spellStart"/>
      <w:r w:rsidRPr="00B37FEC">
        <w:rPr>
          <w:b/>
          <w:lang w:val="fr-BE"/>
        </w:rPr>
        <w:t>numbers</w:t>
      </w:r>
      <w:proofErr w:type="spellEnd"/>
      <w:r w:rsidRPr="00B37FEC">
        <w:rPr>
          <w:b/>
          <w:lang w:val="fr-BE"/>
        </w:rPr>
        <w:t>:</w:t>
      </w:r>
      <w:r w:rsidRPr="00B37FEC">
        <w:rPr>
          <w:lang w:val="fr-BE"/>
        </w:rPr>
        <w:t xml:space="preserve"> 2022/0021 (COD) / A9-0206/2022 / P9_</w:t>
      </w:r>
      <w:proofErr w:type="gramStart"/>
      <w:r w:rsidRPr="00B37FEC">
        <w:rPr>
          <w:lang w:val="fr-BE"/>
        </w:rPr>
        <w:t>TA(</w:t>
      </w:r>
      <w:proofErr w:type="gramEnd"/>
      <w:r w:rsidRPr="00B37FEC">
        <w:rPr>
          <w:lang w:val="fr-BE"/>
        </w:rPr>
        <w:t>2022)0396</w:t>
      </w:r>
    </w:p>
    <w:p w:rsidR="00FE0FAF" w:rsidRPr="002B7441" w:rsidRDefault="00FE0FAF" w:rsidP="00FE0FAF">
      <w:pPr>
        <w:spacing w:after="240"/>
        <w:ind w:left="567" w:hanging="567"/>
      </w:pPr>
      <w:r w:rsidRPr="002B7441">
        <w:rPr>
          <w:b/>
        </w:rPr>
        <w:t>3.</w:t>
      </w:r>
      <w:r w:rsidRPr="002B7441">
        <w:rPr>
          <w:b/>
        </w:rPr>
        <w:tab/>
        <w:t xml:space="preserve">Date of adoption of the resolution: </w:t>
      </w:r>
      <w:r>
        <w:t>22 November 2022</w:t>
      </w:r>
    </w:p>
    <w:p w:rsidR="00FE0FAF" w:rsidRPr="002B7441" w:rsidRDefault="00FE0FAF" w:rsidP="00FE0FAF">
      <w:pPr>
        <w:spacing w:after="240"/>
        <w:ind w:left="567" w:hanging="567"/>
      </w:pPr>
      <w:r w:rsidRPr="002B7441">
        <w:rPr>
          <w:b/>
        </w:rPr>
        <w:t>4.</w:t>
      </w:r>
      <w:r w:rsidRPr="002B7441">
        <w:rPr>
          <w:b/>
        </w:rPr>
        <w:tab/>
        <w:t xml:space="preserve">Legal basis: </w:t>
      </w:r>
      <w:r w:rsidRPr="002B7441">
        <w:rPr>
          <w:rStyle w:val="doceo-font-family-base"/>
        </w:rPr>
        <w:t xml:space="preserve">Article </w:t>
      </w:r>
      <w:r>
        <w:rPr>
          <w:rStyle w:val="doceo-font-family-base"/>
        </w:rPr>
        <w:t>11</w:t>
      </w:r>
      <w:r w:rsidRPr="002B7441">
        <w:rPr>
          <w:rStyle w:val="doceo-font-family-base"/>
        </w:rPr>
        <w:t>4 of the Treaty on the Functioning of the European Union</w:t>
      </w:r>
    </w:p>
    <w:p w:rsidR="00FE0FAF" w:rsidRPr="002B7441" w:rsidRDefault="00FE0FAF" w:rsidP="00FE0FAF">
      <w:pPr>
        <w:spacing w:after="240"/>
        <w:ind w:left="567" w:hanging="567"/>
        <w:rPr>
          <w:i/>
        </w:rPr>
      </w:pPr>
      <w:r w:rsidRPr="002B7441">
        <w:rPr>
          <w:b/>
        </w:rPr>
        <w:t>5.</w:t>
      </w:r>
      <w:r w:rsidRPr="002B7441">
        <w:rPr>
          <w:b/>
        </w:rPr>
        <w:tab/>
        <w:t xml:space="preserve">Competent Parliamentary Committee: </w:t>
      </w:r>
      <w:r>
        <w:t>Committee on Fisheries (PECH)</w:t>
      </w:r>
    </w:p>
    <w:p w:rsidR="00FE0FAF" w:rsidRPr="002B7441" w:rsidRDefault="00FE0FAF" w:rsidP="00FE0FAF">
      <w:pPr>
        <w:tabs>
          <w:tab w:val="left" w:pos="567"/>
        </w:tabs>
        <w:spacing w:after="200" w:line="276" w:lineRule="auto"/>
        <w:rPr>
          <w:color w:val="000000"/>
        </w:rPr>
      </w:pPr>
      <w:r w:rsidRPr="002B7441">
        <w:rPr>
          <w:b/>
        </w:rPr>
        <w:t>6.</w:t>
      </w:r>
      <w:r w:rsidRPr="002B7441">
        <w:rPr>
          <w:b/>
        </w:rPr>
        <w:tab/>
        <w:t>Commission's position:</w:t>
      </w:r>
      <w:r w:rsidRPr="002B7441">
        <w:rPr>
          <w:color w:val="000000"/>
          <w:sz w:val="22"/>
          <w:szCs w:val="22"/>
        </w:rPr>
        <w:t xml:space="preserve"> </w:t>
      </w:r>
      <w:r w:rsidRPr="002B7441">
        <w:rPr>
          <w:color w:val="000000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AF"/>
    <w:rsid w:val="005762E3"/>
    <w:rsid w:val="008765BE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ACD6-3925-4737-A384-03DC0E17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doceo-font-family-base">
    <w:name w:val="doceo-font-family-base"/>
    <w:basedOn w:val="DefaultParagraphFont"/>
    <w:rsid w:val="00FE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2023-02-06T12:45:00Z</dcterms:created>
  <dcterms:modified xsi:type="dcterms:W3CDTF">2023-02-06T12:45:00Z</dcterms:modified>
</cp:coreProperties>
</file>